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4C" w:rsidRPr="00492554" w:rsidRDefault="00D6794C" w:rsidP="00D6794C">
      <w:pPr>
        <w:tabs>
          <w:tab w:val="center" w:pos="4680"/>
          <w:tab w:val="right" w:pos="9360"/>
        </w:tabs>
        <w:jc w:val="center"/>
        <w:rPr>
          <w:rFonts w:eastAsiaTheme="minorHAnsi" w:cstheme="minorBidi"/>
          <w:szCs w:val="24"/>
          <w:lang w:eastAsia="en-US"/>
        </w:rPr>
      </w:pPr>
      <w:r w:rsidRPr="0049255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13971203" r:id="rId9"/>
        </w:object>
      </w:r>
    </w:p>
    <w:p w:rsidR="00D6794C" w:rsidRPr="00492554" w:rsidRDefault="00D6794C" w:rsidP="00D6794C">
      <w:pPr>
        <w:tabs>
          <w:tab w:val="center" w:pos="4680"/>
          <w:tab w:val="right" w:pos="9360"/>
        </w:tabs>
        <w:rPr>
          <w:rFonts w:eastAsiaTheme="minorHAnsi" w:cstheme="minorBidi"/>
          <w:szCs w:val="24"/>
          <w:lang w:eastAsia="en-US"/>
        </w:rPr>
      </w:pPr>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COUR SUPRÊME DU CANADA</w:t>
      </w:r>
    </w:p>
    <w:p w:rsidR="00D6794C" w:rsidRPr="00492554" w:rsidRDefault="00D6794C" w:rsidP="00D6794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6794C" w:rsidRPr="00492554" w:rsidTr="00BD5F54">
        <w:trPr>
          <w:cantSplit/>
        </w:trPr>
        <w:tc>
          <w:tcPr>
            <w:tcW w:w="6768" w:type="dxa"/>
          </w:tcPr>
          <w:p w:rsidR="00D6794C" w:rsidRPr="00492554" w:rsidRDefault="00D6794C" w:rsidP="00BD5F54">
            <w:pPr>
              <w:rPr>
                <w:lang w:val="en-US"/>
              </w:rPr>
            </w:pPr>
            <w:r w:rsidRPr="00492554">
              <w:rPr>
                <w:b/>
                <w:smallCaps/>
                <w:lang w:val="en-US"/>
              </w:rPr>
              <w:t>Référence :</w:t>
            </w:r>
            <w:r w:rsidRPr="00492554">
              <w:rPr>
                <w:lang w:val="en-US"/>
              </w:rPr>
              <w:t xml:space="preserve"> </w:t>
            </w:r>
            <w:r w:rsidRPr="00492554">
              <w:rPr>
                <w:lang w:val="en-CA"/>
              </w:rPr>
              <w:t xml:space="preserve">Breeden </w:t>
            </w:r>
            <w:r w:rsidRPr="00492554">
              <w:rPr>
                <w:i/>
                <w:lang w:val="en-US"/>
              </w:rPr>
              <w:t>c.</w:t>
            </w:r>
            <w:r w:rsidRPr="00492554">
              <w:rPr>
                <w:b/>
                <w:lang w:val="en-US"/>
              </w:rPr>
              <w:t xml:space="preserve"> </w:t>
            </w:r>
            <w:r w:rsidRPr="00492554">
              <w:rPr>
                <w:lang w:val="en-CA"/>
              </w:rPr>
              <w:t>Black</w:t>
            </w:r>
            <w:r w:rsidRPr="00492554">
              <w:rPr>
                <w:lang w:val="en-US"/>
              </w:rPr>
              <w:t xml:space="preserve">, </w:t>
            </w:r>
            <w:r>
              <w:rPr>
                <w:lang w:val="en-CA"/>
              </w:rPr>
              <w:t xml:space="preserve">2012 </w:t>
            </w:r>
            <w:r w:rsidRPr="009D25EC">
              <w:rPr>
                <w:lang w:val="en-CA"/>
              </w:rPr>
              <w:t>C</w:t>
            </w:r>
            <w:r>
              <w:rPr>
                <w:lang w:val="en-CA"/>
              </w:rPr>
              <w:t>S</w:t>
            </w:r>
            <w:r w:rsidRPr="009D25EC">
              <w:rPr>
                <w:lang w:val="en-CA"/>
              </w:rPr>
              <w:t xml:space="preserve">C 19, [2012] 1 </w:t>
            </w:r>
            <w:r>
              <w:rPr>
                <w:lang w:val="en-CA"/>
              </w:rPr>
              <w:t>R.C.S</w:t>
            </w:r>
            <w:r w:rsidRPr="009D25EC">
              <w:rPr>
                <w:lang w:val="en-CA"/>
              </w:rPr>
              <w:t>. 666</w:t>
            </w:r>
          </w:p>
        </w:tc>
        <w:tc>
          <w:tcPr>
            <w:tcW w:w="2808" w:type="dxa"/>
          </w:tcPr>
          <w:p w:rsidR="00D6794C" w:rsidRPr="00492554" w:rsidRDefault="00D6794C" w:rsidP="00BD5F54">
            <w:r w:rsidRPr="00492554">
              <w:rPr>
                <w:b/>
                <w:smallCaps/>
              </w:rPr>
              <w:t>Date :</w:t>
            </w:r>
            <w:r w:rsidRPr="00492554">
              <w:t xml:space="preserve"> 20120418</w:t>
            </w:r>
          </w:p>
          <w:p w:rsidR="00D6794C" w:rsidRPr="00492554" w:rsidRDefault="00D6794C" w:rsidP="00BD5F54">
            <w:r w:rsidRPr="00492554">
              <w:rPr>
                <w:b/>
                <w:smallCaps/>
              </w:rPr>
              <w:t>Dossier :</w:t>
            </w:r>
            <w:r w:rsidRPr="00492554">
              <w:t xml:space="preserve"> 33900</w:t>
            </w:r>
          </w:p>
        </w:tc>
      </w:tr>
    </w:tbl>
    <w:p w:rsidR="00D6794C" w:rsidRPr="00492554" w:rsidRDefault="00D6794C" w:rsidP="00D6794C">
      <w:pPr>
        <w:rPr>
          <w:rFonts w:eastAsiaTheme="minorHAnsi" w:cstheme="minorBidi"/>
          <w:szCs w:val="24"/>
          <w:lang w:eastAsia="en-US"/>
        </w:rPr>
      </w:pPr>
    </w:p>
    <w:p w:rsidR="00D6794C" w:rsidRPr="00492554" w:rsidRDefault="00D6794C" w:rsidP="00D6794C">
      <w:pPr>
        <w:rPr>
          <w:rFonts w:eastAsiaTheme="minorHAnsi" w:cstheme="minorBidi"/>
          <w:b/>
          <w:smallCaps/>
          <w:szCs w:val="24"/>
          <w:lang w:eastAsia="en-US"/>
        </w:rPr>
      </w:pPr>
      <w:r w:rsidRPr="00492554">
        <w:rPr>
          <w:rFonts w:eastAsiaTheme="minorHAnsi" w:cstheme="minorBidi"/>
          <w:b/>
          <w:smallCaps/>
          <w:szCs w:val="24"/>
          <w:lang w:eastAsia="en-US"/>
        </w:rPr>
        <w:t>Entre :</w:t>
      </w:r>
    </w:p>
    <w:p w:rsidR="00D6794C" w:rsidRPr="00492554" w:rsidRDefault="00D6794C" w:rsidP="00D6794C">
      <w:pPr>
        <w:jc w:val="center"/>
        <w:rPr>
          <w:rFonts w:eastAsiaTheme="minorHAnsi" w:cstheme="minorBidi"/>
          <w:b/>
          <w:szCs w:val="24"/>
          <w:lang w:val="en-US" w:eastAsia="en-US"/>
        </w:rPr>
      </w:pPr>
      <w:r w:rsidRPr="00492554">
        <w:rPr>
          <w:rFonts w:eastAsiaTheme="minorHAnsi" w:cstheme="minorBidi"/>
          <w:b/>
          <w:szCs w:val="24"/>
          <w:lang w:val="en-US" w:eastAsia="en-US"/>
        </w:rPr>
        <w:t>Richard C. Breeden, Richard C. Breeden &amp; Co., Gordon A. Paris, James R. Thompson, Richard D. Burt, Graham W. Savage et Raymond G.H. Seitz</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Appelants</w:t>
      </w:r>
    </w:p>
    <w:p w:rsidR="00D6794C" w:rsidRPr="00492554" w:rsidRDefault="00D6794C" w:rsidP="00D6794C">
      <w:pPr>
        <w:jc w:val="center"/>
        <w:rPr>
          <w:rFonts w:eastAsiaTheme="minorHAnsi" w:cstheme="minorBidi"/>
          <w:szCs w:val="24"/>
          <w:lang w:eastAsia="en-US"/>
        </w:rPr>
      </w:pPr>
      <w:proofErr w:type="gramStart"/>
      <w:r w:rsidRPr="00492554">
        <w:rPr>
          <w:rFonts w:eastAsiaTheme="minorHAnsi" w:cstheme="minorBidi"/>
          <w:szCs w:val="24"/>
          <w:lang w:eastAsia="en-US"/>
        </w:rPr>
        <w:t>et</w:t>
      </w:r>
      <w:proofErr w:type="gramEnd"/>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Conrad Black</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Intimé</w:t>
      </w:r>
    </w:p>
    <w:p w:rsidR="00D6794C" w:rsidRPr="00492554" w:rsidRDefault="00D6794C" w:rsidP="00D6794C">
      <w:pPr>
        <w:rPr>
          <w:rFonts w:eastAsiaTheme="minorHAnsi" w:cstheme="minorBidi"/>
          <w:b/>
          <w:smallCaps/>
          <w:szCs w:val="24"/>
          <w:lang w:eastAsia="en-US"/>
        </w:rPr>
      </w:pPr>
      <w:r w:rsidRPr="00492554">
        <w:rPr>
          <w:rFonts w:eastAsiaTheme="minorHAnsi" w:cstheme="minorBidi"/>
          <w:b/>
          <w:smallCaps/>
          <w:szCs w:val="24"/>
          <w:lang w:eastAsia="en-US"/>
        </w:rPr>
        <w:t>Et entre :</w:t>
      </w:r>
    </w:p>
    <w:p w:rsidR="00D6794C" w:rsidRPr="00492554" w:rsidRDefault="00D6794C" w:rsidP="00D6794C">
      <w:pPr>
        <w:jc w:val="center"/>
        <w:rPr>
          <w:rFonts w:eastAsiaTheme="minorHAnsi" w:cstheme="minorBidi"/>
          <w:b/>
          <w:szCs w:val="24"/>
          <w:lang w:val="en-US" w:eastAsia="en-US"/>
        </w:rPr>
      </w:pPr>
      <w:r w:rsidRPr="00492554">
        <w:rPr>
          <w:rFonts w:eastAsiaTheme="minorHAnsi" w:cstheme="minorBidi"/>
          <w:b/>
          <w:szCs w:val="24"/>
          <w:lang w:val="en-US" w:eastAsia="en-US"/>
        </w:rPr>
        <w:t>Richard C. Breeden, Richard C. Breeden &amp; Co., Gordon A. Paris, James R. Thompson, Richard D. Burt, Graham W. Savage et Raymond G.H. Seitz</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Appelants</w:t>
      </w:r>
    </w:p>
    <w:p w:rsidR="00D6794C" w:rsidRPr="00492554" w:rsidRDefault="00D6794C" w:rsidP="00D6794C">
      <w:pPr>
        <w:jc w:val="center"/>
        <w:rPr>
          <w:rFonts w:eastAsiaTheme="minorHAnsi" w:cstheme="minorBidi"/>
          <w:szCs w:val="24"/>
          <w:lang w:eastAsia="en-US"/>
        </w:rPr>
      </w:pPr>
      <w:proofErr w:type="gramStart"/>
      <w:r w:rsidRPr="00492554">
        <w:rPr>
          <w:rFonts w:eastAsiaTheme="minorHAnsi" w:cstheme="minorBidi"/>
          <w:szCs w:val="24"/>
          <w:lang w:eastAsia="en-US"/>
        </w:rPr>
        <w:t>et</w:t>
      </w:r>
      <w:proofErr w:type="gramEnd"/>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Conrad Black</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Intimé</w:t>
      </w:r>
    </w:p>
    <w:p w:rsidR="00D6794C" w:rsidRPr="00492554" w:rsidRDefault="00D6794C" w:rsidP="00D6794C">
      <w:pPr>
        <w:rPr>
          <w:rFonts w:eastAsiaTheme="minorHAnsi" w:cstheme="minorBidi"/>
          <w:b/>
          <w:smallCaps/>
          <w:szCs w:val="24"/>
          <w:lang w:eastAsia="en-US"/>
        </w:rPr>
      </w:pPr>
      <w:r w:rsidRPr="00492554">
        <w:rPr>
          <w:rFonts w:eastAsiaTheme="minorHAnsi" w:cstheme="minorBidi"/>
          <w:b/>
          <w:smallCaps/>
          <w:szCs w:val="24"/>
          <w:lang w:eastAsia="en-US"/>
        </w:rPr>
        <w:t>Et entre :</w:t>
      </w:r>
    </w:p>
    <w:p w:rsidR="00D6794C" w:rsidRPr="00492554" w:rsidRDefault="00D6794C" w:rsidP="00D6794C">
      <w:pPr>
        <w:jc w:val="center"/>
        <w:rPr>
          <w:rFonts w:eastAsiaTheme="minorHAnsi" w:cstheme="minorBidi"/>
          <w:b/>
          <w:szCs w:val="24"/>
          <w:lang w:val="en-US" w:eastAsia="en-US"/>
        </w:rPr>
      </w:pPr>
      <w:r w:rsidRPr="00492554">
        <w:rPr>
          <w:rFonts w:eastAsiaTheme="minorHAnsi" w:cstheme="minorBidi"/>
          <w:b/>
          <w:szCs w:val="24"/>
          <w:lang w:val="en-US" w:eastAsia="en-US"/>
        </w:rPr>
        <w:t>Richard C. Breeden, Richard C. Breeden &amp; Co., Gordon A. Paris, James R. Thompson, Richard D. Burt, Graham W. Savage et Raymond G.H. Seitz</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Appelants</w:t>
      </w:r>
    </w:p>
    <w:p w:rsidR="00D6794C" w:rsidRPr="00492554" w:rsidRDefault="00D6794C" w:rsidP="00D6794C">
      <w:pPr>
        <w:jc w:val="center"/>
        <w:rPr>
          <w:rFonts w:eastAsiaTheme="minorHAnsi" w:cstheme="minorBidi"/>
          <w:szCs w:val="24"/>
          <w:lang w:eastAsia="en-US"/>
        </w:rPr>
      </w:pPr>
      <w:proofErr w:type="gramStart"/>
      <w:r w:rsidRPr="00492554">
        <w:rPr>
          <w:rFonts w:eastAsiaTheme="minorHAnsi" w:cstheme="minorBidi"/>
          <w:szCs w:val="24"/>
          <w:lang w:eastAsia="en-US"/>
        </w:rPr>
        <w:t>et</w:t>
      </w:r>
      <w:proofErr w:type="gramEnd"/>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Conrad Black</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Intimé</w:t>
      </w:r>
    </w:p>
    <w:p w:rsidR="00D6794C" w:rsidRPr="00492554" w:rsidRDefault="00D6794C" w:rsidP="00D6794C">
      <w:pPr>
        <w:rPr>
          <w:rFonts w:eastAsiaTheme="minorHAnsi" w:cstheme="minorBidi"/>
          <w:b/>
          <w:smallCaps/>
          <w:szCs w:val="24"/>
          <w:lang w:eastAsia="en-US"/>
        </w:rPr>
      </w:pPr>
      <w:r w:rsidRPr="00492554">
        <w:rPr>
          <w:rFonts w:eastAsiaTheme="minorHAnsi" w:cstheme="minorBidi"/>
          <w:b/>
          <w:smallCaps/>
          <w:szCs w:val="24"/>
          <w:lang w:eastAsia="en-US"/>
        </w:rPr>
        <w:t>Et entre :</w:t>
      </w:r>
    </w:p>
    <w:p w:rsidR="00D6794C" w:rsidRPr="00492554" w:rsidRDefault="00D6794C" w:rsidP="00D6794C">
      <w:pPr>
        <w:jc w:val="center"/>
        <w:rPr>
          <w:rFonts w:eastAsiaTheme="minorHAnsi" w:cstheme="minorBidi"/>
          <w:b/>
          <w:szCs w:val="24"/>
          <w:lang w:val="en-US" w:eastAsia="en-US"/>
        </w:rPr>
      </w:pPr>
      <w:r w:rsidRPr="00492554">
        <w:rPr>
          <w:rFonts w:eastAsiaTheme="minorHAnsi" w:cstheme="minorBidi"/>
          <w:b/>
          <w:szCs w:val="24"/>
          <w:lang w:val="en-US" w:eastAsia="en-US"/>
        </w:rPr>
        <w:t>Richard C. Breeden, Richard C. Breeden &amp; Co., Gordon A. Paris, James R. Thompson, Richard D. Burt, Graham W. Savage et Raymond G.H. Seitz</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Appelants</w:t>
      </w:r>
    </w:p>
    <w:p w:rsidR="00D6794C" w:rsidRPr="00492554" w:rsidRDefault="00D6794C" w:rsidP="00D6794C">
      <w:pPr>
        <w:jc w:val="center"/>
        <w:rPr>
          <w:rFonts w:eastAsiaTheme="minorHAnsi" w:cstheme="minorBidi"/>
          <w:szCs w:val="24"/>
          <w:lang w:eastAsia="en-US"/>
        </w:rPr>
      </w:pPr>
      <w:proofErr w:type="gramStart"/>
      <w:r w:rsidRPr="00492554">
        <w:rPr>
          <w:rFonts w:eastAsiaTheme="minorHAnsi" w:cstheme="minorBidi"/>
          <w:szCs w:val="24"/>
          <w:lang w:eastAsia="en-US"/>
        </w:rPr>
        <w:t>et</w:t>
      </w:r>
      <w:proofErr w:type="gramEnd"/>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Conrad Black</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Intimé</w:t>
      </w:r>
    </w:p>
    <w:p w:rsidR="00D6794C" w:rsidRPr="00492554" w:rsidRDefault="00D6794C" w:rsidP="00D6794C">
      <w:pPr>
        <w:rPr>
          <w:rFonts w:eastAsiaTheme="minorHAnsi" w:cstheme="minorBidi"/>
          <w:b/>
          <w:smallCaps/>
          <w:szCs w:val="24"/>
          <w:lang w:eastAsia="en-US"/>
        </w:rPr>
      </w:pPr>
      <w:r w:rsidRPr="00492554">
        <w:rPr>
          <w:rFonts w:eastAsiaTheme="minorHAnsi" w:cstheme="minorBidi"/>
          <w:b/>
          <w:smallCaps/>
          <w:szCs w:val="24"/>
          <w:lang w:eastAsia="en-US"/>
        </w:rPr>
        <w:t>Et entre :</w:t>
      </w:r>
    </w:p>
    <w:p w:rsidR="00D6794C" w:rsidRPr="00492554" w:rsidRDefault="00D6794C" w:rsidP="00D6794C">
      <w:pPr>
        <w:jc w:val="center"/>
        <w:rPr>
          <w:rFonts w:eastAsiaTheme="minorHAnsi" w:cstheme="minorBidi"/>
          <w:b/>
          <w:szCs w:val="24"/>
          <w:lang w:val="en-US" w:eastAsia="en-US"/>
        </w:rPr>
      </w:pPr>
      <w:r w:rsidRPr="00492554">
        <w:rPr>
          <w:rFonts w:eastAsiaTheme="minorHAnsi" w:cstheme="minorBidi"/>
          <w:b/>
          <w:szCs w:val="24"/>
          <w:lang w:val="en-US" w:eastAsia="en-US"/>
        </w:rPr>
        <w:t xml:space="preserve">Richard C. Breeden, Richard C. Breeden &amp; Co., Gordon A. Paris, Graham W. Savage, Raymond G.H. Seitz </w:t>
      </w:r>
      <w:proofErr w:type="gramStart"/>
      <w:r w:rsidRPr="00492554">
        <w:rPr>
          <w:rFonts w:eastAsiaTheme="minorHAnsi" w:cstheme="minorBidi"/>
          <w:b/>
          <w:szCs w:val="24"/>
          <w:lang w:val="en-US" w:eastAsia="en-US"/>
        </w:rPr>
        <w:t>et</w:t>
      </w:r>
      <w:proofErr w:type="gramEnd"/>
      <w:r w:rsidRPr="00492554">
        <w:rPr>
          <w:rFonts w:eastAsiaTheme="minorHAnsi" w:cstheme="minorBidi"/>
          <w:b/>
          <w:szCs w:val="24"/>
          <w:lang w:val="en-US" w:eastAsia="en-US"/>
        </w:rPr>
        <w:t xml:space="preserve"> Paul B. Healy</w:t>
      </w:r>
    </w:p>
    <w:p w:rsidR="00D6794C" w:rsidRPr="00B32C57" w:rsidRDefault="00D6794C" w:rsidP="00D6794C">
      <w:pPr>
        <w:jc w:val="center"/>
        <w:rPr>
          <w:rFonts w:eastAsiaTheme="minorHAnsi" w:cstheme="minorBidi"/>
          <w:szCs w:val="24"/>
          <w:lang w:eastAsia="en-US"/>
        </w:rPr>
      </w:pPr>
      <w:r w:rsidRPr="00B32C57">
        <w:rPr>
          <w:rFonts w:eastAsiaTheme="minorHAnsi" w:cstheme="minorBidi"/>
          <w:szCs w:val="24"/>
          <w:lang w:eastAsia="en-US"/>
        </w:rPr>
        <w:t>Appelants</w:t>
      </w:r>
    </w:p>
    <w:p w:rsidR="00D6794C" w:rsidRPr="00B32C57" w:rsidRDefault="00D6794C" w:rsidP="00D6794C">
      <w:pPr>
        <w:jc w:val="center"/>
        <w:rPr>
          <w:rFonts w:eastAsiaTheme="minorHAnsi" w:cstheme="minorBidi"/>
          <w:szCs w:val="24"/>
          <w:lang w:eastAsia="en-US"/>
        </w:rPr>
      </w:pPr>
      <w:proofErr w:type="gramStart"/>
      <w:r w:rsidRPr="00B32C57">
        <w:rPr>
          <w:rFonts w:eastAsiaTheme="minorHAnsi" w:cstheme="minorBidi"/>
          <w:szCs w:val="24"/>
          <w:lang w:eastAsia="en-US"/>
        </w:rPr>
        <w:t>et</w:t>
      </w:r>
      <w:proofErr w:type="gramEnd"/>
    </w:p>
    <w:p w:rsidR="00D6794C" w:rsidRPr="00B32C57" w:rsidRDefault="00D6794C" w:rsidP="00D6794C">
      <w:pPr>
        <w:jc w:val="center"/>
        <w:rPr>
          <w:rFonts w:eastAsiaTheme="minorHAnsi" w:cstheme="minorBidi"/>
          <w:b/>
          <w:szCs w:val="24"/>
          <w:lang w:eastAsia="en-US"/>
        </w:rPr>
      </w:pPr>
      <w:r w:rsidRPr="00B32C57">
        <w:rPr>
          <w:rFonts w:eastAsiaTheme="minorHAnsi" w:cstheme="minorBidi"/>
          <w:b/>
          <w:szCs w:val="24"/>
          <w:lang w:eastAsia="en-US"/>
        </w:rPr>
        <w:t>Conrad Black</w:t>
      </w:r>
    </w:p>
    <w:p w:rsidR="00D6794C" w:rsidRPr="00B32C57" w:rsidRDefault="00D6794C" w:rsidP="00D6794C">
      <w:pPr>
        <w:jc w:val="center"/>
        <w:rPr>
          <w:rFonts w:eastAsiaTheme="minorHAnsi" w:cstheme="minorBidi"/>
          <w:szCs w:val="24"/>
          <w:lang w:eastAsia="en-US"/>
        </w:rPr>
      </w:pPr>
      <w:r w:rsidRPr="00B32C57">
        <w:rPr>
          <w:rFonts w:eastAsiaTheme="minorHAnsi" w:cstheme="minorBidi"/>
          <w:szCs w:val="24"/>
          <w:lang w:eastAsia="en-US"/>
        </w:rPr>
        <w:t>Intimé</w:t>
      </w:r>
    </w:p>
    <w:p w:rsidR="00D6794C" w:rsidRPr="00B32C57" w:rsidRDefault="00D6794C" w:rsidP="00D6794C">
      <w:pPr>
        <w:rPr>
          <w:rFonts w:eastAsiaTheme="minorHAnsi" w:cstheme="minorBidi"/>
          <w:b/>
          <w:smallCaps/>
          <w:szCs w:val="24"/>
          <w:lang w:eastAsia="en-US"/>
        </w:rPr>
      </w:pPr>
      <w:r w:rsidRPr="00B32C57">
        <w:rPr>
          <w:rFonts w:eastAsiaTheme="minorHAnsi" w:cstheme="minorBidi"/>
          <w:b/>
          <w:smallCaps/>
          <w:szCs w:val="24"/>
          <w:lang w:eastAsia="en-US"/>
        </w:rPr>
        <w:t>Et entre :</w:t>
      </w:r>
    </w:p>
    <w:p w:rsidR="00D6794C" w:rsidRPr="00492554" w:rsidRDefault="00D6794C" w:rsidP="00D6794C">
      <w:pPr>
        <w:jc w:val="center"/>
        <w:rPr>
          <w:rFonts w:eastAsiaTheme="minorHAnsi" w:cstheme="minorBidi"/>
          <w:b/>
          <w:szCs w:val="24"/>
          <w:lang w:val="en-US" w:eastAsia="en-US"/>
        </w:rPr>
      </w:pPr>
      <w:r w:rsidRPr="00492554">
        <w:rPr>
          <w:rFonts w:eastAsiaTheme="minorHAnsi" w:cstheme="minorBidi"/>
          <w:b/>
          <w:szCs w:val="24"/>
          <w:lang w:val="en-US" w:eastAsia="en-US"/>
        </w:rPr>
        <w:t xml:space="preserve">Richard C. Breeden, Richard C. Breeden &amp; Co., Gordon A. Paris, James R. Thompson, Richard D. Burt, Graham W. Savage, Raymond G.H. Seitz, </w:t>
      </w:r>
      <w:proofErr w:type="spellStart"/>
      <w:r w:rsidRPr="00492554">
        <w:rPr>
          <w:rFonts w:eastAsiaTheme="minorHAnsi" w:cstheme="minorBidi"/>
          <w:b/>
          <w:szCs w:val="24"/>
          <w:lang w:val="en-US" w:eastAsia="en-US"/>
        </w:rPr>
        <w:t>Shmuel</w:t>
      </w:r>
      <w:proofErr w:type="spellEnd"/>
      <w:r w:rsidRPr="00492554">
        <w:rPr>
          <w:rFonts w:eastAsiaTheme="minorHAnsi" w:cstheme="minorBidi"/>
          <w:b/>
          <w:szCs w:val="24"/>
          <w:lang w:val="en-US" w:eastAsia="en-US"/>
        </w:rPr>
        <w:t xml:space="preserve"> </w:t>
      </w:r>
      <w:proofErr w:type="spellStart"/>
      <w:r w:rsidRPr="00492554">
        <w:rPr>
          <w:rFonts w:eastAsiaTheme="minorHAnsi" w:cstheme="minorBidi"/>
          <w:b/>
          <w:szCs w:val="24"/>
          <w:lang w:val="en-US" w:eastAsia="en-US"/>
        </w:rPr>
        <w:t>Meitar</w:t>
      </w:r>
      <w:proofErr w:type="spellEnd"/>
      <w:r w:rsidRPr="00492554">
        <w:rPr>
          <w:rFonts w:eastAsiaTheme="minorHAnsi" w:cstheme="minorBidi"/>
          <w:b/>
          <w:szCs w:val="24"/>
          <w:lang w:val="en-US" w:eastAsia="en-US"/>
        </w:rPr>
        <w:t xml:space="preserve"> et Henry A. Kissinger</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lastRenderedPageBreak/>
        <w:t>Appelants</w:t>
      </w:r>
    </w:p>
    <w:p w:rsidR="00D6794C" w:rsidRPr="00492554" w:rsidRDefault="00D6794C" w:rsidP="00D6794C">
      <w:pPr>
        <w:jc w:val="center"/>
        <w:rPr>
          <w:rFonts w:eastAsiaTheme="minorHAnsi" w:cstheme="minorBidi"/>
          <w:szCs w:val="24"/>
          <w:lang w:eastAsia="en-US"/>
        </w:rPr>
      </w:pPr>
      <w:proofErr w:type="gramStart"/>
      <w:r w:rsidRPr="00492554">
        <w:rPr>
          <w:rFonts w:eastAsiaTheme="minorHAnsi" w:cstheme="minorBidi"/>
          <w:szCs w:val="24"/>
          <w:lang w:eastAsia="en-US"/>
        </w:rPr>
        <w:t>et</w:t>
      </w:r>
      <w:proofErr w:type="gramEnd"/>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Conrad Black</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Intimé</w:t>
      </w:r>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 et -</w:t>
      </w:r>
    </w:p>
    <w:p w:rsidR="00D6794C" w:rsidRPr="00492554" w:rsidRDefault="00D6794C" w:rsidP="00D6794C">
      <w:pPr>
        <w:jc w:val="center"/>
        <w:rPr>
          <w:rFonts w:eastAsiaTheme="minorHAnsi" w:cstheme="minorBidi"/>
          <w:b/>
          <w:szCs w:val="24"/>
          <w:lang w:eastAsia="en-US"/>
        </w:rPr>
      </w:pPr>
      <w:r w:rsidRPr="00492554">
        <w:rPr>
          <w:rFonts w:eastAsiaTheme="minorHAnsi" w:cstheme="minorBidi"/>
          <w:b/>
          <w:szCs w:val="24"/>
          <w:lang w:eastAsia="en-US"/>
        </w:rPr>
        <w:t xml:space="preserve">Association des libertés civiles de la </w:t>
      </w:r>
      <w:proofErr w:type="spellStart"/>
      <w:r w:rsidRPr="00492554">
        <w:rPr>
          <w:rFonts w:eastAsiaTheme="minorHAnsi" w:cstheme="minorBidi"/>
          <w:b/>
          <w:szCs w:val="24"/>
          <w:lang w:eastAsia="en-US"/>
        </w:rPr>
        <w:t>Colombie</w:t>
      </w:r>
      <w:r w:rsidRPr="00492554">
        <w:rPr>
          <w:rFonts w:eastAsiaTheme="minorHAnsi" w:cstheme="minorBidi"/>
          <w:b/>
          <w:szCs w:val="24"/>
          <w:lang w:eastAsia="en-US"/>
        </w:rPr>
        <w:noBreakHyphen/>
        <w:t>Britannqie</w:t>
      </w:r>
      <w:proofErr w:type="spellEnd"/>
    </w:p>
    <w:p w:rsidR="00D6794C" w:rsidRPr="00492554" w:rsidRDefault="00D6794C" w:rsidP="00D6794C">
      <w:pPr>
        <w:jc w:val="center"/>
        <w:rPr>
          <w:rFonts w:eastAsiaTheme="minorHAnsi" w:cstheme="minorBidi"/>
          <w:szCs w:val="24"/>
          <w:lang w:eastAsia="en-US"/>
        </w:rPr>
      </w:pPr>
      <w:r w:rsidRPr="00492554">
        <w:rPr>
          <w:rFonts w:eastAsiaTheme="minorHAnsi" w:cstheme="minorBidi"/>
          <w:szCs w:val="24"/>
          <w:lang w:eastAsia="en-US"/>
        </w:rPr>
        <w:t>Intervenante</w:t>
      </w:r>
    </w:p>
    <w:p w:rsidR="00D6794C" w:rsidRPr="00492554" w:rsidRDefault="00D6794C" w:rsidP="00D6794C">
      <w:pPr>
        <w:rPr>
          <w:rFonts w:eastAsiaTheme="minorHAnsi" w:cstheme="minorBidi"/>
          <w:szCs w:val="24"/>
          <w:lang w:eastAsia="en-US"/>
        </w:rPr>
      </w:pPr>
    </w:p>
    <w:p w:rsidR="00D6794C" w:rsidRPr="00492554" w:rsidRDefault="00D6794C" w:rsidP="00D6794C">
      <w:pPr>
        <w:rPr>
          <w:rFonts w:eastAsiaTheme="minorHAnsi" w:cstheme="minorBidi"/>
          <w:szCs w:val="24"/>
          <w:lang w:eastAsia="en-US"/>
        </w:rPr>
      </w:pPr>
    </w:p>
    <w:p w:rsidR="00D6794C" w:rsidRPr="00492554" w:rsidRDefault="00D6794C" w:rsidP="00D6794C">
      <w:pPr>
        <w:jc w:val="center"/>
        <w:rPr>
          <w:rFonts w:eastAsiaTheme="minorHAnsi" w:cstheme="minorBidi"/>
          <w:b/>
          <w:smallCaps/>
          <w:szCs w:val="24"/>
          <w:lang w:eastAsia="en-US"/>
        </w:rPr>
      </w:pPr>
      <w:r w:rsidRPr="00492554">
        <w:rPr>
          <w:rFonts w:eastAsiaTheme="minorHAnsi" w:cstheme="minorBidi"/>
          <w:b/>
          <w:smallCaps/>
          <w:szCs w:val="24"/>
          <w:lang w:eastAsia="en-US"/>
        </w:rPr>
        <w:t>Traduction française officielle</w:t>
      </w:r>
    </w:p>
    <w:p w:rsidR="00D6794C" w:rsidRPr="00492554" w:rsidRDefault="00D6794C" w:rsidP="00D6794C">
      <w:pPr>
        <w:rPr>
          <w:rFonts w:eastAsiaTheme="minorHAnsi" w:cstheme="minorBidi"/>
          <w:szCs w:val="24"/>
          <w:lang w:eastAsia="en-US"/>
        </w:rPr>
      </w:pPr>
    </w:p>
    <w:p w:rsidR="00D6794C" w:rsidRPr="00492554" w:rsidRDefault="00D6794C" w:rsidP="00D6794C">
      <w:pPr>
        <w:rPr>
          <w:rFonts w:eastAsiaTheme="minorHAnsi" w:cstheme="minorBidi"/>
          <w:szCs w:val="24"/>
          <w:lang w:eastAsia="en-US"/>
        </w:rPr>
      </w:pPr>
      <w:r w:rsidRPr="00492554">
        <w:rPr>
          <w:rFonts w:eastAsiaTheme="minorHAnsi" w:cstheme="minorBidi"/>
          <w:b/>
          <w:smallCaps/>
          <w:szCs w:val="24"/>
          <w:lang w:eastAsia="en-US"/>
        </w:rPr>
        <w:t>Coram :</w:t>
      </w:r>
      <w:r w:rsidRPr="00492554">
        <w:rPr>
          <w:rFonts w:eastAsiaTheme="minorHAnsi" w:cstheme="minorBidi"/>
          <w:szCs w:val="24"/>
          <w:lang w:eastAsia="en-US"/>
        </w:rPr>
        <w:t xml:space="preserve"> La juge en chef </w:t>
      </w:r>
      <w:proofErr w:type="spellStart"/>
      <w:r w:rsidRPr="00492554">
        <w:rPr>
          <w:rFonts w:eastAsiaTheme="minorHAnsi" w:cstheme="minorBidi"/>
          <w:szCs w:val="24"/>
          <w:lang w:eastAsia="en-US"/>
        </w:rPr>
        <w:t>McLachlin</w:t>
      </w:r>
      <w:proofErr w:type="spellEnd"/>
      <w:r w:rsidRPr="00492554">
        <w:rPr>
          <w:rFonts w:eastAsiaTheme="minorHAnsi" w:cstheme="minorBidi"/>
          <w:szCs w:val="24"/>
          <w:lang w:eastAsia="en-US"/>
        </w:rPr>
        <w:t xml:space="preserve"> et les juges </w:t>
      </w:r>
      <w:proofErr w:type="spellStart"/>
      <w:r w:rsidRPr="00492554">
        <w:rPr>
          <w:rFonts w:eastAsiaTheme="minorHAnsi" w:cstheme="minorBidi"/>
          <w:szCs w:val="24"/>
          <w:lang w:eastAsia="en-US"/>
        </w:rPr>
        <w:t>Binnie</w:t>
      </w:r>
      <w:proofErr w:type="spellEnd"/>
      <w:r w:rsidRPr="00492554">
        <w:rPr>
          <w:rFonts w:eastAsiaTheme="minorHAnsi" w:cstheme="minorBidi"/>
          <w:szCs w:val="24"/>
          <w:lang w:eastAsia="en-US"/>
        </w:rPr>
        <w:t xml:space="preserve">*, </w:t>
      </w:r>
      <w:proofErr w:type="spellStart"/>
      <w:r w:rsidRPr="00492554">
        <w:rPr>
          <w:rFonts w:eastAsiaTheme="minorHAnsi" w:cstheme="minorBidi"/>
          <w:szCs w:val="24"/>
          <w:lang w:eastAsia="en-US"/>
        </w:rPr>
        <w:t>LeBel</w:t>
      </w:r>
      <w:proofErr w:type="spellEnd"/>
      <w:r w:rsidRPr="00492554">
        <w:rPr>
          <w:rFonts w:eastAsiaTheme="minorHAnsi" w:cstheme="minorBidi"/>
          <w:szCs w:val="24"/>
          <w:lang w:eastAsia="en-US"/>
        </w:rPr>
        <w:t xml:space="preserve">, Deschamps, Fish, Abella, Charron*, </w:t>
      </w:r>
      <w:proofErr w:type="spellStart"/>
      <w:r w:rsidRPr="00492554">
        <w:rPr>
          <w:rFonts w:eastAsiaTheme="minorHAnsi" w:cstheme="minorBidi"/>
          <w:szCs w:val="24"/>
          <w:lang w:eastAsia="en-US"/>
        </w:rPr>
        <w:t>Rothstein</w:t>
      </w:r>
      <w:proofErr w:type="spellEnd"/>
      <w:r w:rsidRPr="00492554">
        <w:rPr>
          <w:rFonts w:eastAsiaTheme="minorHAnsi" w:cstheme="minorBidi"/>
          <w:szCs w:val="24"/>
          <w:lang w:eastAsia="en-US"/>
        </w:rPr>
        <w:t xml:space="preserve"> et Cromwell</w:t>
      </w:r>
    </w:p>
    <w:p w:rsidR="00D6794C" w:rsidRPr="00492554" w:rsidRDefault="00D6794C" w:rsidP="00D6794C">
      <w:pPr>
        <w:rPr>
          <w:rFonts w:eastAsiaTheme="minorHAnsi" w:cstheme="minorBidi"/>
          <w:szCs w:val="24"/>
          <w:lang w:eastAsia="en-US"/>
        </w:rPr>
      </w:pPr>
    </w:p>
    <w:p w:rsidR="00D6794C" w:rsidRPr="00492554" w:rsidRDefault="00D6794C" w:rsidP="00D6794C">
      <w:pPr>
        <w:rPr>
          <w:rFonts w:eastAsiaTheme="minorHAnsi" w:cstheme="minorBidi"/>
          <w:szCs w:val="24"/>
          <w:lang w:eastAsia="en-US"/>
        </w:rPr>
      </w:pPr>
      <w:r w:rsidRPr="00492554">
        <w:rPr>
          <w:rFonts w:eastAsiaTheme="minorHAnsi" w:cstheme="minorBidi"/>
          <w:szCs w:val="24"/>
          <w:lang w:eastAsia="en-US"/>
        </w:rPr>
        <w:t>(</w:t>
      </w:r>
      <w:r w:rsidRPr="00492554">
        <w:rPr>
          <w:rFonts w:eastAsiaTheme="minorHAnsi" w:cstheme="minorBidi"/>
          <w:szCs w:val="24"/>
          <w:lang w:eastAsia="en-US"/>
        </w:rPr>
        <w:footnoteRef/>
      </w:r>
      <w:r w:rsidRPr="00492554">
        <w:rPr>
          <w:rFonts w:eastAsiaTheme="minorHAnsi" w:cstheme="minorBidi"/>
          <w:szCs w:val="24"/>
          <w:lang w:eastAsia="en-US"/>
        </w:rPr>
        <w:t xml:space="preserve"> Les juges </w:t>
      </w:r>
      <w:proofErr w:type="spellStart"/>
      <w:r w:rsidRPr="00492554">
        <w:rPr>
          <w:rFonts w:eastAsiaTheme="minorHAnsi" w:cstheme="minorBidi"/>
          <w:szCs w:val="24"/>
          <w:lang w:eastAsia="en-US"/>
        </w:rPr>
        <w:t>Binnie</w:t>
      </w:r>
      <w:proofErr w:type="spellEnd"/>
      <w:r w:rsidRPr="00492554">
        <w:rPr>
          <w:rFonts w:eastAsiaTheme="minorHAnsi" w:cstheme="minorBidi"/>
          <w:szCs w:val="24"/>
          <w:lang w:eastAsia="en-US"/>
        </w:rPr>
        <w:t xml:space="preserve"> et Charron n’ont pas participé au jugement.)</w:t>
      </w:r>
    </w:p>
    <w:p w:rsidR="00D6794C" w:rsidRPr="00492554" w:rsidRDefault="00D6794C" w:rsidP="00D6794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6794C" w:rsidRPr="00492554" w:rsidTr="00BD5F54">
        <w:trPr>
          <w:cantSplit/>
        </w:trPr>
        <w:tc>
          <w:tcPr>
            <w:tcW w:w="3618" w:type="dxa"/>
          </w:tcPr>
          <w:p w:rsidR="00D6794C" w:rsidRPr="00492554" w:rsidRDefault="00D6794C" w:rsidP="00BD5F54">
            <w:pPr>
              <w:rPr>
                <w:b/>
                <w:smallCaps/>
              </w:rPr>
            </w:pPr>
            <w:r w:rsidRPr="00492554">
              <w:rPr>
                <w:b/>
                <w:smallCaps/>
              </w:rPr>
              <w:t>Motifs de jugement :</w:t>
            </w:r>
          </w:p>
          <w:p w:rsidR="00D6794C" w:rsidRPr="00492554" w:rsidRDefault="00D6794C" w:rsidP="00BD5F54">
            <w:r w:rsidRPr="00492554">
              <w:t>(par. 1 à 38)</w:t>
            </w:r>
          </w:p>
        </w:tc>
        <w:tc>
          <w:tcPr>
            <w:tcW w:w="5958" w:type="dxa"/>
          </w:tcPr>
          <w:p w:rsidR="00D6794C" w:rsidRPr="00492554" w:rsidRDefault="00D6794C" w:rsidP="00BD5F54">
            <w:r w:rsidRPr="00492554">
              <w:t xml:space="preserve">Le juge </w:t>
            </w:r>
            <w:proofErr w:type="spellStart"/>
            <w:r w:rsidRPr="00492554">
              <w:t>LeBel</w:t>
            </w:r>
            <w:proofErr w:type="spellEnd"/>
            <w:r w:rsidRPr="00492554">
              <w:t xml:space="preserve"> (avec l’accord de la juge en chef </w:t>
            </w:r>
            <w:proofErr w:type="spellStart"/>
            <w:r w:rsidRPr="00492554">
              <w:t>McLachlin</w:t>
            </w:r>
            <w:proofErr w:type="spellEnd"/>
            <w:r w:rsidRPr="00492554">
              <w:t xml:space="preserve"> et des juges Deschamps, Fish, Abella, </w:t>
            </w:r>
            <w:proofErr w:type="spellStart"/>
            <w:r w:rsidRPr="00492554">
              <w:t>Rothstein</w:t>
            </w:r>
            <w:proofErr w:type="spellEnd"/>
            <w:r w:rsidRPr="00492554">
              <w:t xml:space="preserve"> et Cromwell)</w:t>
            </w:r>
          </w:p>
        </w:tc>
      </w:tr>
    </w:tbl>
    <w:p w:rsidR="00D6794C" w:rsidRPr="00492554" w:rsidRDefault="00D6794C" w:rsidP="00D6794C">
      <w:pPr>
        <w:rPr>
          <w:rFonts w:eastAsiaTheme="minorHAnsi" w:cstheme="minorBidi"/>
          <w:szCs w:val="24"/>
          <w:lang w:eastAsia="en-US"/>
        </w:rPr>
      </w:pPr>
    </w:p>
    <w:p w:rsidR="00D6794C" w:rsidRPr="00492554" w:rsidRDefault="00D6794C" w:rsidP="00D6794C">
      <w:pPr>
        <w:rPr>
          <w:rFonts w:eastAsiaTheme="minorHAnsi" w:cstheme="minorBidi"/>
          <w:szCs w:val="24"/>
          <w:lang w:eastAsia="en-US"/>
        </w:rPr>
      </w:pPr>
    </w:p>
    <w:p w:rsidR="00D6794C" w:rsidRPr="00492554" w:rsidRDefault="00D6794C" w:rsidP="00D6794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6794C" w:rsidRPr="00492554" w:rsidRDefault="00D6794C" w:rsidP="00D6794C">
      <w:pPr>
        <w:rPr>
          <w:smallCaps/>
        </w:rPr>
      </w:pPr>
      <w:r w:rsidRPr="00492554">
        <w:rPr>
          <w:smallCaps/>
        </w:rPr>
        <w:br w:type="page"/>
      </w:r>
    </w:p>
    <w:p w:rsidR="009D25EC" w:rsidRPr="009D25EC" w:rsidRDefault="009D25EC" w:rsidP="009D25EC">
      <w:pPr>
        <w:spacing w:line="480" w:lineRule="auto"/>
        <w:jc w:val="both"/>
        <w:rPr>
          <w:lang w:val="en-CA"/>
        </w:rPr>
      </w:pPr>
      <w:r w:rsidRPr="009D25EC">
        <w:rPr>
          <w:lang w:val="en-CA"/>
        </w:rPr>
        <w:lastRenderedPageBreak/>
        <w:t xml:space="preserve">Breeden </w:t>
      </w:r>
      <w:r>
        <w:rPr>
          <w:i/>
          <w:lang w:val="en-CA"/>
        </w:rPr>
        <w:t>c</w:t>
      </w:r>
      <w:r w:rsidRPr="009D25EC">
        <w:rPr>
          <w:i/>
          <w:lang w:val="en-CA"/>
        </w:rPr>
        <w:t>.</w:t>
      </w:r>
      <w:r w:rsidRPr="009D25EC">
        <w:rPr>
          <w:lang w:val="en-CA"/>
        </w:rPr>
        <w:t xml:space="preserve"> Black</w:t>
      </w:r>
      <w:r>
        <w:rPr>
          <w:lang w:val="en-CA"/>
        </w:rPr>
        <w:t xml:space="preserve">, 2012 </w:t>
      </w:r>
      <w:r w:rsidRPr="009D25EC">
        <w:rPr>
          <w:lang w:val="en-CA"/>
        </w:rPr>
        <w:t>C</w:t>
      </w:r>
      <w:r>
        <w:rPr>
          <w:lang w:val="en-CA"/>
        </w:rPr>
        <w:t>S</w:t>
      </w:r>
      <w:r w:rsidRPr="009D25EC">
        <w:rPr>
          <w:lang w:val="en-CA"/>
        </w:rPr>
        <w:t xml:space="preserve">C 19, [2012] 1 </w:t>
      </w:r>
      <w:r>
        <w:rPr>
          <w:lang w:val="en-CA"/>
        </w:rPr>
        <w:t>R.C.S</w:t>
      </w:r>
      <w:r w:rsidRPr="009D25EC">
        <w:rPr>
          <w:lang w:val="en-CA"/>
        </w:rPr>
        <w:t xml:space="preserve">. 666 </w:t>
      </w:r>
    </w:p>
    <w:p w:rsidR="009D25EC" w:rsidRPr="009D25EC" w:rsidRDefault="009D25EC" w:rsidP="009D25EC">
      <w:pPr>
        <w:spacing w:line="480" w:lineRule="auto"/>
        <w:rPr>
          <w:lang w:val="en-CA"/>
        </w:rPr>
      </w:pPr>
    </w:p>
    <w:p w:rsidR="00A20F43" w:rsidRPr="00794EF8" w:rsidRDefault="00BF04B4" w:rsidP="00B17503">
      <w:pPr>
        <w:pStyle w:val="SCCLsocParty"/>
        <w:rPr>
          <w:lang w:val="en-US"/>
        </w:rPr>
      </w:pPr>
      <w:r w:rsidRPr="00794EF8">
        <w:rPr>
          <w:lang w:val="en-US"/>
        </w:rPr>
        <w:t xml:space="preserve">Richard C. Breeden, Richard C. Breeden &amp; Co., </w:t>
      </w:r>
    </w:p>
    <w:p w:rsidR="007C5BF5" w:rsidRPr="00794EF8" w:rsidRDefault="00BF04B4" w:rsidP="00B17503">
      <w:pPr>
        <w:pStyle w:val="SCCLsocParty"/>
        <w:rPr>
          <w:lang w:val="en-US"/>
        </w:rPr>
      </w:pPr>
      <w:r w:rsidRPr="00794EF8">
        <w:rPr>
          <w:lang w:val="en-US"/>
        </w:rPr>
        <w:t xml:space="preserve">Gordon A. Paris, James R. Thompson, Richard D. Burt, </w:t>
      </w:r>
    </w:p>
    <w:p w:rsidR="00B17503" w:rsidRPr="00D6794C" w:rsidRDefault="002F3785" w:rsidP="00B17503">
      <w:pPr>
        <w:pStyle w:val="SCCLsocParty"/>
        <w:tabs>
          <w:tab w:val="right" w:pos="8280"/>
        </w:tabs>
        <w:spacing w:after="720"/>
        <w:rPr>
          <w:b w:val="0"/>
          <w:i/>
          <w:lang w:val="en-US"/>
        </w:rPr>
      </w:pPr>
      <w:r w:rsidRPr="00D6794C">
        <w:rPr>
          <w:lang w:val="en-US"/>
        </w:rPr>
        <w:t xml:space="preserve">Graham W. Savage </w:t>
      </w:r>
      <w:proofErr w:type="gramStart"/>
      <w:r w:rsidRPr="00D6794C">
        <w:rPr>
          <w:lang w:val="en-US"/>
        </w:rPr>
        <w:t>et</w:t>
      </w:r>
      <w:proofErr w:type="gramEnd"/>
      <w:r w:rsidR="00BF04B4" w:rsidRPr="00D6794C">
        <w:rPr>
          <w:lang w:val="en-US"/>
        </w:rPr>
        <w:t xml:space="preserve"> Raymond G.</w:t>
      </w:r>
      <w:r w:rsidR="00CE62AC" w:rsidRPr="00D6794C">
        <w:rPr>
          <w:lang w:val="en-US"/>
        </w:rPr>
        <w:t xml:space="preserve"> </w:t>
      </w:r>
      <w:r w:rsidR="00BF04B4" w:rsidRPr="00D6794C">
        <w:rPr>
          <w:lang w:val="en-US"/>
        </w:rPr>
        <w:t>H. Seitz</w:t>
      </w:r>
      <w:r w:rsidR="007C5BF5" w:rsidRPr="00D6794C">
        <w:rPr>
          <w:lang w:val="en-US"/>
        </w:rPr>
        <w:tab/>
      </w:r>
      <w:proofErr w:type="spellStart"/>
      <w:r w:rsidR="00BF04B4" w:rsidRPr="00D6794C">
        <w:rPr>
          <w:b w:val="0"/>
          <w:i/>
          <w:lang w:val="en-US"/>
        </w:rPr>
        <w:t>Appelant</w:t>
      </w:r>
      <w:r w:rsidR="007C5BF5" w:rsidRPr="00D6794C">
        <w:rPr>
          <w:b w:val="0"/>
          <w:i/>
          <w:lang w:val="en-US"/>
        </w:rPr>
        <w:t>s</w:t>
      </w:r>
      <w:proofErr w:type="spellEnd"/>
    </w:p>
    <w:p w:rsidR="00B17503" w:rsidRPr="00794EF8" w:rsidRDefault="00BF04B4" w:rsidP="00B17503">
      <w:pPr>
        <w:pStyle w:val="SCCLsocVersus"/>
        <w:spacing w:after="720"/>
        <w:rPr>
          <w:lang w:val="en-US"/>
        </w:rPr>
      </w:pPr>
      <w:proofErr w:type="gramStart"/>
      <w:r w:rsidRPr="00794EF8">
        <w:rPr>
          <w:lang w:val="en-US"/>
        </w:rPr>
        <w:t>c</w:t>
      </w:r>
      <w:proofErr w:type="gramEnd"/>
      <w:r w:rsidRPr="00794EF8">
        <w:rPr>
          <w:lang w:val="en-US"/>
        </w:rPr>
        <w:t>.</w:t>
      </w:r>
    </w:p>
    <w:p w:rsidR="00B17503" w:rsidRPr="00794EF8" w:rsidRDefault="00BF04B4" w:rsidP="00B17503">
      <w:pPr>
        <w:tabs>
          <w:tab w:val="right" w:pos="8280"/>
        </w:tabs>
        <w:spacing w:after="720"/>
        <w:jc w:val="both"/>
        <w:rPr>
          <w:i/>
          <w:lang w:val="en-US"/>
        </w:rPr>
      </w:pPr>
      <w:r w:rsidRPr="00794EF8">
        <w:rPr>
          <w:b/>
          <w:lang w:val="en-US"/>
        </w:rPr>
        <w:t>Conrad Black</w:t>
      </w:r>
      <w:r w:rsidR="007C5BF5" w:rsidRPr="00794EF8">
        <w:rPr>
          <w:lang w:val="en-US"/>
        </w:rPr>
        <w:tab/>
      </w:r>
      <w:proofErr w:type="spellStart"/>
      <w:r w:rsidRPr="00794EF8">
        <w:rPr>
          <w:i/>
          <w:lang w:val="en-US"/>
        </w:rPr>
        <w:t>Intimé</w:t>
      </w:r>
      <w:proofErr w:type="spellEnd"/>
    </w:p>
    <w:p w:rsidR="00B00FA1" w:rsidRPr="00794EF8" w:rsidRDefault="00B00FA1" w:rsidP="00B00FA1">
      <w:pPr>
        <w:pStyle w:val="SCCLsocVersus"/>
        <w:tabs>
          <w:tab w:val="right" w:pos="8280"/>
        </w:tabs>
        <w:spacing w:after="720"/>
        <w:rPr>
          <w:i w:val="0"/>
          <w:lang w:val="en-US"/>
        </w:rPr>
      </w:pPr>
      <w:r w:rsidRPr="00794EF8">
        <w:rPr>
          <w:lang w:val="en-US"/>
        </w:rPr>
        <w:t>-</w:t>
      </w:r>
      <w:r w:rsidRPr="00794EF8">
        <w:rPr>
          <w:i w:val="0"/>
          <w:lang w:val="en-US"/>
        </w:rPr>
        <w:t xml:space="preserve"> </w:t>
      </w:r>
      <w:proofErr w:type="gramStart"/>
      <w:r w:rsidRPr="00794EF8">
        <w:rPr>
          <w:i w:val="0"/>
          <w:lang w:val="en-US"/>
        </w:rPr>
        <w:t>et</w:t>
      </w:r>
      <w:proofErr w:type="gramEnd"/>
      <w:r w:rsidRPr="00794EF8">
        <w:rPr>
          <w:i w:val="0"/>
          <w:lang w:val="en-US"/>
        </w:rPr>
        <w:t xml:space="preserve"> </w:t>
      </w:r>
      <w:r w:rsidRPr="00794EF8">
        <w:rPr>
          <w:lang w:val="en-US"/>
        </w:rPr>
        <w:t>-</w:t>
      </w:r>
    </w:p>
    <w:p w:rsidR="007C5BF5" w:rsidRPr="00794EF8" w:rsidRDefault="007C5BF5" w:rsidP="00B17503">
      <w:pPr>
        <w:pStyle w:val="SCCLsocParty"/>
        <w:rPr>
          <w:lang w:val="en-US"/>
        </w:rPr>
      </w:pPr>
      <w:r w:rsidRPr="00794EF8">
        <w:rPr>
          <w:lang w:val="en-US"/>
        </w:rPr>
        <w:t xml:space="preserve">Richard C. Breeden, Richard C. Breeden &amp; Co., </w:t>
      </w:r>
    </w:p>
    <w:p w:rsidR="007C5BF5" w:rsidRPr="00794EF8" w:rsidRDefault="007C5BF5" w:rsidP="00B17503">
      <w:pPr>
        <w:pStyle w:val="SCCLsocParty"/>
        <w:rPr>
          <w:lang w:val="en-US"/>
        </w:rPr>
      </w:pPr>
      <w:r w:rsidRPr="00794EF8">
        <w:rPr>
          <w:lang w:val="en-US"/>
        </w:rPr>
        <w:t xml:space="preserve">Gordon A. Paris, James R. Thompson, Richard D. Burt, </w:t>
      </w:r>
    </w:p>
    <w:p w:rsidR="00B17503" w:rsidRPr="00D6794C" w:rsidRDefault="007C5BF5" w:rsidP="00B17503">
      <w:pPr>
        <w:pStyle w:val="SCCLsocParty"/>
        <w:tabs>
          <w:tab w:val="right" w:pos="8280"/>
        </w:tabs>
        <w:spacing w:after="720"/>
        <w:rPr>
          <w:b w:val="0"/>
          <w:i/>
        </w:rPr>
      </w:pPr>
      <w:r w:rsidRPr="00D6794C">
        <w:t>Graham W. Savage</w:t>
      </w:r>
      <w:r w:rsidR="00CD4D7E" w:rsidRPr="00D6794C">
        <w:t xml:space="preserve"> et</w:t>
      </w:r>
      <w:r w:rsidRPr="00D6794C">
        <w:t xml:space="preserve"> Raymond G.</w:t>
      </w:r>
      <w:r w:rsidR="00E605BD" w:rsidRPr="00D6794C">
        <w:t xml:space="preserve"> </w:t>
      </w:r>
      <w:r w:rsidRPr="00D6794C">
        <w:t xml:space="preserve">H. </w:t>
      </w:r>
      <w:proofErr w:type="spellStart"/>
      <w:r w:rsidRPr="00D6794C">
        <w:t>Seitz</w:t>
      </w:r>
      <w:proofErr w:type="spellEnd"/>
      <w:r w:rsidRPr="00D6794C">
        <w:tab/>
      </w:r>
      <w:r w:rsidRPr="00D6794C">
        <w:rPr>
          <w:b w:val="0"/>
          <w:i/>
        </w:rPr>
        <w:t>Appelants</w:t>
      </w:r>
    </w:p>
    <w:p w:rsidR="00B17503" w:rsidRPr="00794EF8" w:rsidRDefault="007C5BF5" w:rsidP="00B17503">
      <w:pPr>
        <w:pStyle w:val="SCCLsocVersus"/>
        <w:spacing w:after="720"/>
        <w:rPr>
          <w:lang w:val="en-US"/>
        </w:rPr>
      </w:pPr>
      <w:proofErr w:type="gramStart"/>
      <w:r w:rsidRPr="00794EF8">
        <w:rPr>
          <w:lang w:val="en-US"/>
        </w:rPr>
        <w:t>c</w:t>
      </w:r>
      <w:proofErr w:type="gramEnd"/>
      <w:r w:rsidRPr="00794EF8">
        <w:rPr>
          <w:lang w:val="en-US"/>
        </w:rPr>
        <w:t>.</w:t>
      </w:r>
    </w:p>
    <w:p w:rsidR="00B17503" w:rsidRPr="00794EF8" w:rsidRDefault="00436B0F" w:rsidP="00B17503">
      <w:pPr>
        <w:pStyle w:val="SCCLsocVersus"/>
        <w:tabs>
          <w:tab w:val="right" w:pos="8280"/>
        </w:tabs>
        <w:spacing w:after="720"/>
        <w:rPr>
          <w:lang w:val="en-US"/>
        </w:rPr>
      </w:pPr>
      <w:r w:rsidRPr="00794EF8">
        <w:rPr>
          <w:b/>
          <w:i w:val="0"/>
          <w:lang w:val="en-US"/>
        </w:rPr>
        <w:t>Conrad Black</w:t>
      </w:r>
      <w:r w:rsidRPr="00794EF8">
        <w:rPr>
          <w:lang w:val="en-US"/>
        </w:rPr>
        <w:tab/>
      </w:r>
      <w:proofErr w:type="spellStart"/>
      <w:r w:rsidRPr="00794EF8">
        <w:rPr>
          <w:lang w:val="en-US"/>
        </w:rPr>
        <w:t>Intimé</w:t>
      </w:r>
      <w:proofErr w:type="spellEnd"/>
    </w:p>
    <w:p w:rsidR="007C5BF5" w:rsidRPr="00794EF8" w:rsidRDefault="00B00FA1" w:rsidP="00B17503">
      <w:pPr>
        <w:pStyle w:val="SCCLsocVersus"/>
        <w:tabs>
          <w:tab w:val="right" w:pos="8280"/>
        </w:tabs>
        <w:spacing w:after="720"/>
        <w:rPr>
          <w:i w:val="0"/>
          <w:lang w:val="en-US"/>
        </w:rPr>
      </w:pPr>
      <w:r w:rsidRPr="00794EF8">
        <w:rPr>
          <w:lang w:val="en-US"/>
        </w:rPr>
        <w:t>-</w:t>
      </w:r>
      <w:r w:rsidR="007C5BF5" w:rsidRPr="00794EF8">
        <w:rPr>
          <w:i w:val="0"/>
          <w:lang w:val="en-US"/>
        </w:rPr>
        <w:t xml:space="preserve"> </w:t>
      </w:r>
      <w:proofErr w:type="gramStart"/>
      <w:r w:rsidR="007C5BF5" w:rsidRPr="00794EF8">
        <w:rPr>
          <w:i w:val="0"/>
          <w:lang w:val="en-US"/>
        </w:rPr>
        <w:t>et</w:t>
      </w:r>
      <w:proofErr w:type="gramEnd"/>
      <w:r w:rsidR="007C5BF5" w:rsidRPr="00794EF8">
        <w:rPr>
          <w:i w:val="0"/>
          <w:lang w:val="en-US"/>
        </w:rPr>
        <w:t xml:space="preserve"> </w:t>
      </w:r>
      <w:r w:rsidRPr="00794EF8">
        <w:rPr>
          <w:lang w:val="en-US"/>
        </w:rPr>
        <w:t>-</w:t>
      </w:r>
    </w:p>
    <w:p w:rsidR="007C5BF5" w:rsidRPr="00794EF8" w:rsidRDefault="007C5BF5" w:rsidP="00B17503">
      <w:pPr>
        <w:pStyle w:val="SCCLsocParty"/>
        <w:rPr>
          <w:lang w:val="en-US"/>
        </w:rPr>
      </w:pPr>
      <w:r w:rsidRPr="00794EF8">
        <w:rPr>
          <w:lang w:val="en-US"/>
        </w:rPr>
        <w:t xml:space="preserve">Richard C. Breeden, Richard C. Breeden &amp; Co., </w:t>
      </w:r>
    </w:p>
    <w:p w:rsidR="007C5BF5" w:rsidRPr="00794EF8" w:rsidRDefault="007C5BF5" w:rsidP="00B17503">
      <w:pPr>
        <w:pStyle w:val="SCCLsocParty"/>
        <w:rPr>
          <w:lang w:val="en-US"/>
        </w:rPr>
      </w:pPr>
      <w:r w:rsidRPr="00794EF8">
        <w:rPr>
          <w:lang w:val="en-US"/>
        </w:rPr>
        <w:t xml:space="preserve">Gordon A. Paris, James R. Thompson, Richard D. Burt, </w:t>
      </w:r>
    </w:p>
    <w:p w:rsidR="00B17503" w:rsidRPr="00D6794C" w:rsidRDefault="007C5BF5" w:rsidP="00B17503">
      <w:pPr>
        <w:pStyle w:val="SCCLsocParty"/>
        <w:tabs>
          <w:tab w:val="right" w:pos="8280"/>
        </w:tabs>
        <w:spacing w:after="720"/>
        <w:rPr>
          <w:b w:val="0"/>
          <w:i/>
        </w:rPr>
      </w:pPr>
      <w:r w:rsidRPr="00D6794C">
        <w:t>Graham W. Savage</w:t>
      </w:r>
      <w:r w:rsidR="00CD4D7E" w:rsidRPr="00D6794C">
        <w:t xml:space="preserve"> et</w:t>
      </w:r>
      <w:r w:rsidRPr="00D6794C">
        <w:t xml:space="preserve"> Raymond G.</w:t>
      </w:r>
      <w:r w:rsidR="00E605BD" w:rsidRPr="00D6794C">
        <w:t xml:space="preserve"> </w:t>
      </w:r>
      <w:r w:rsidRPr="00D6794C">
        <w:t xml:space="preserve">H. </w:t>
      </w:r>
      <w:proofErr w:type="spellStart"/>
      <w:r w:rsidRPr="00D6794C">
        <w:t>Seitz</w:t>
      </w:r>
      <w:proofErr w:type="spellEnd"/>
      <w:r w:rsidRPr="00D6794C">
        <w:tab/>
      </w:r>
      <w:r w:rsidRPr="00D6794C">
        <w:rPr>
          <w:b w:val="0"/>
          <w:i/>
        </w:rPr>
        <w:t>Appelants</w:t>
      </w:r>
    </w:p>
    <w:p w:rsidR="00B17503" w:rsidRPr="00794EF8" w:rsidRDefault="007C5BF5" w:rsidP="00B17503">
      <w:pPr>
        <w:pStyle w:val="SCCLsocVersus"/>
        <w:spacing w:after="720"/>
        <w:rPr>
          <w:lang w:val="en-US"/>
        </w:rPr>
      </w:pPr>
      <w:proofErr w:type="gramStart"/>
      <w:r w:rsidRPr="00794EF8">
        <w:rPr>
          <w:lang w:val="en-US"/>
        </w:rPr>
        <w:t>c</w:t>
      </w:r>
      <w:proofErr w:type="gramEnd"/>
      <w:r w:rsidRPr="00794EF8">
        <w:rPr>
          <w:lang w:val="en-US"/>
        </w:rPr>
        <w:t>.</w:t>
      </w:r>
    </w:p>
    <w:p w:rsidR="00B17503" w:rsidRPr="00794EF8" w:rsidRDefault="007C5BF5" w:rsidP="00B17503">
      <w:pPr>
        <w:tabs>
          <w:tab w:val="right" w:pos="8280"/>
        </w:tabs>
        <w:spacing w:after="720"/>
        <w:jc w:val="both"/>
        <w:rPr>
          <w:i/>
          <w:lang w:val="en-US"/>
        </w:rPr>
      </w:pPr>
      <w:r w:rsidRPr="00794EF8">
        <w:rPr>
          <w:b/>
          <w:lang w:val="en-US"/>
        </w:rPr>
        <w:lastRenderedPageBreak/>
        <w:t>Conrad Black</w:t>
      </w:r>
      <w:r w:rsidRPr="00794EF8">
        <w:rPr>
          <w:lang w:val="en-US"/>
        </w:rPr>
        <w:tab/>
      </w:r>
      <w:proofErr w:type="spellStart"/>
      <w:r w:rsidRPr="00794EF8">
        <w:rPr>
          <w:i/>
          <w:lang w:val="en-US"/>
        </w:rPr>
        <w:t>Intimé</w:t>
      </w:r>
      <w:proofErr w:type="spellEnd"/>
    </w:p>
    <w:p w:rsidR="00B00FA1" w:rsidRPr="00794EF8" w:rsidRDefault="00B00FA1" w:rsidP="00B00FA1">
      <w:pPr>
        <w:pStyle w:val="SCCLsocVersus"/>
        <w:tabs>
          <w:tab w:val="right" w:pos="8280"/>
        </w:tabs>
        <w:spacing w:after="720"/>
        <w:rPr>
          <w:i w:val="0"/>
          <w:lang w:val="en-US"/>
        </w:rPr>
      </w:pPr>
      <w:r w:rsidRPr="00794EF8">
        <w:rPr>
          <w:lang w:val="en-US"/>
        </w:rPr>
        <w:t>-</w:t>
      </w:r>
      <w:r w:rsidRPr="00794EF8">
        <w:rPr>
          <w:i w:val="0"/>
          <w:lang w:val="en-US"/>
        </w:rPr>
        <w:t xml:space="preserve"> </w:t>
      </w:r>
      <w:proofErr w:type="gramStart"/>
      <w:r w:rsidRPr="00794EF8">
        <w:rPr>
          <w:i w:val="0"/>
          <w:lang w:val="en-US"/>
        </w:rPr>
        <w:t>et</w:t>
      </w:r>
      <w:proofErr w:type="gramEnd"/>
      <w:r w:rsidRPr="00794EF8">
        <w:rPr>
          <w:i w:val="0"/>
          <w:lang w:val="en-US"/>
        </w:rPr>
        <w:t xml:space="preserve"> </w:t>
      </w:r>
      <w:r w:rsidRPr="00794EF8">
        <w:rPr>
          <w:lang w:val="en-US"/>
        </w:rPr>
        <w:t>-</w:t>
      </w:r>
    </w:p>
    <w:p w:rsidR="007C5BF5" w:rsidRPr="00794EF8" w:rsidRDefault="007C5BF5" w:rsidP="00B17503">
      <w:pPr>
        <w:pStyle w:val="SCCLsocParty"/>
        <w:rPr>
          <w:lang w:val="en-US"/>
        </w:rPr>
      </w:pPr>
      <w:r w:rsidRPr="00794EF8">
        <w:rPr>
          <w:lang w:val="en-US"/>
        </w:rPr>
        <w:t xml:space="preserve">Richard C. Breeden, Richard C. Breeden &amp; Co., </w:t>
      </w:r>
    </w:p>
    <w:p w:rsidR="007C5BF5" w:rsidRPr="00794EF8" w:rsidRDefault="007C5BF5" w:rsidP="00B17503">
      <w:pPr>
        <w:pStyle w:val="SCCLsocParty"/>
        <w:rPr>
          <w:lang w:val="en-US"/>
        </w:rPr>
      </w:pPr>
      <w:r w:rsidRPr="00794EF8">
        <w:rPr>
          <w:lang w:val="en-US"/>
        </w:rPr>
        <w:t xml:space="preserve">Gordon A. Paris, James R. Thompson, Richard D. Burt, </w:t>
      </w:r>
    </w:p>
    <w:p w:rsidR="00B17503" w:rsidRPr="00D6794C" w:rsidRDefault="007C5BF5" w:rsidP="00B17503">
      <w:pPr>
        <w:pStyle w:val="SCCLsocParty"/>
        <w:tabs>
          <w:tab w:val="right" w:pos="8280"/>
        </w:tabs>
        <w:spacing w:after="720"/>
        <w:rPr>
          <w:b w:val="0"/>
          <w:i/>
        </w:rPr>
      </w:pPr>
      <w:r w:rsidRPr="00D6794C">
        <w:t>Graham W. Savage</w:t>
      </w:r>
      <w:r w:rsidR="00CD4D7E" w:rsidRPr="00D6794C">
        <w:t xml:space="preserve"> et</w:t>
      </w:r>
      <w:r w:rsidRPr="00D6794C">
        <w:t xml:space="preserve"> Raymond G.</w:t>
      </w:r>
      <w:r w:rsidR="00E605BD" w:rsidRPr="00D6794C">
        <w:t xml:space="preserve"> </w:t>
      </w:r>
      <w:r w:rsidRPr="00D6794C">
        <w:t xml:space="preserve">H. </w:t>
      </w:r>
      <w:proofErr w:type="spellStart"/>
      <w:r w:rsidRPr="00D6794C">
        <w:t>Seitz</w:t>
      </w:r>
      <w:proofErr w:type="spellEnd"/>
      <w:r w:rsidRPr="00D6794C">
        <w:tab/>
      </w:r>
      <w:r w:rsidRPr="00D6794C">
        <w:rPr>
          <w:b w:val="0"/>
          <w:i/>
        </w:rPr>
        <w:t>Appelants</w:t>
      </w:r>
    </w:p>
    <w:p w:rsidR="00B17503" w:rsidRPr="00794EF8" w:rsidRDefault="007C5BF5" w:rsidP="00B17503">
      <w:pPr>
        <w:pStyle w:val="SCCLsocVersus"/>
        <w:spacing w:after="720"/>
        <w:rPr>
          <w:lang w:val="en-US"/>
        </w:rPr>
      </w:pPr>
      <w:proofErr w:type="gramStart"/>
      <w:r w:rsidRPr="00794EF8">
        <w:rPr>
          <w:lang w:val="en-US"/>
        </w:rPr>
        <w:t>c</w:t>
      </w:r>
      <w:proofErr w:type="gramEnd"/>
      <w:r w:rsidRPr="00794EF8">
        <w:rPr>
          <w:lang w:val="en-US"/>
        </w:rPr>
        <w:t>.</w:t>
      </w:r>
    </w:p>
    <w:p w:rsidR="00B17503" w:rsidRPr="00794EF8" w:rsidRDefault="007C5BF5" w:rsidP="00B17503">
      <w:pPr>
        <w:tabs>
          <w:tab w:val="right" w:pos="8280"/>
        </w:tabs>
        <w:spacing w:after="720"/>
        <w:jc w:val="both"/>
        <w:rPr>
          <w:i/>
          <w:lang w:val="en-US"/>
        </w:rPr>
      </w:pPr>
      <w:r w:rsidRPr="00794EF8">
        <w:rPr>
          <w:b/>
          <w:lang w:val="en-US"/>
        </w:rPr>
        <w:t>Conrad Black</w:t>
      </w:r>
      <w:r w:rsidRPr="00794EF8">
        <w:rPr>
          <w:lang w:val="en-US"/>
        </w:rPr>
        <w:tab/>
      </w:r>
      <w:proofErr w:type="spellStart"/>
      <w:r w:rsidRPr="00794EF8">
        <w:rPr>
          <w:i/>
          <w:lang w:val="en-US"/>
        </w:rPr>
        <w:t>Intimé</w:t>
      </w:r>
      <w:proofErr w:type="spellEnd"/>
    </w:p>
    <w:p w:rsidR="00B00FA1" w:rsidRPr="00794EF8" w:rsidRDefault="00B00FA1" w:rsidP="00B00FA1">
      <w:pPr>
        <w:pStyle w:val="SCCLsocVersus"/>
        <w:tabs>
          <w:tab w:val="right" w:pos="8280"/>
        </w:tabs>
        <w:spacing w:after="720"/>
        <w:rPr>
          <w:i w:val="0"/>
          <w:lang w:val="en-US"/>
        </w:rPr>
      </w:pPr>
      <w:r w:rsidRPr="00794EF8">
        <w:rPr>
          <w:lang w:val="en-US"/>
        </w:rPr>
        <w:t>-</w:t>
      </w:r>
      <w:r w:rsidRPr="00794EF8">
        <w:rPr>
          <w:i w:val="0"/>
          <w:lang w:val="en-US"/>
        </w:rPr>
        <w:t xml:space="preserve"> </w:t>
      </w:r>
      <w:proofErr w:type="gramStart"/>
      <w:r w:rsidRPr="00794EF8">
        <w:rPr>
          <w:i w:val="0"/>
          <w:lang w:val="en-US"/>
        </w:rPr>
        <w:t>et</w:t>
      </w:r>
      <w:proofErr w:type="gramEnd"/>
      <w:r w:rsidRPr="00794EF8">
        <w:rPr>
          <w:i w:val="0"/>
          <w:lang w:val="en-US"/>
        </w:rPr>
        <w:t xml:space="preserve"> </w:t>
      </w:r>
      <w:r w:rsidRPr="00794EF8">
        <w:rPr>
          <w:lang w:val="en-US"/>
        </w:rPr>
        <w:t>-</w:t>
      </w:r>
    </w:p>
    <w:p w:rsidR="007C5BF5" w:rsidRPr="00794EF8" w:rsidRDefault="007C5BF5" w:rsidP="00B17503">
      <w:pPr>
        <w:pStyle w:val="SCCLsocParty"/>
        <w:rPr>
          <w:lang w:val="en-US"/>
        </w:rPr>
      </w:pPr>
      <w:r w:rsidRPr="00794EF8">
        <w:rPr>
          <w:lang w:val="en-US"/>
        </w:rPr>
        <w:t xml:space="preserve">Richard C. Breeden, Richard C. Breeden &amp; Co., </w:t>
      </w:r>
    </w:p>
    <w:p w:rsidR="007C5BF5" w:rsidRPr="00794EF8" w:rsidRDefault="007C5BF5" w:rsidP="00B17503">
      <w:pPr>
        <w:pStyle w:val="SCCLsocParty"/>
        <w:rPr>
          <w:lang w:val="en-US"/>
        </w:rPr>
      </w:pPr>
      <w:r w:rsidRPr="00794EF8">
        <w:rPr>
          <w:lang w:val="en-US"/>
        </w:rPr>
        <w:t xml:space="preserve">Gordon A. Paris, </w:t>
      </w:r>
      <w:r w:rsidR="00F3101F" w:rsidRPr="00794EF8">
        <w:rPr>
          <w:lang w:val="en-US"/>
        </w:rPr>
        <w:t xml:space="preserve">Graham W. Savage, Raymond </w:t>
      </w:r>
    </w:p>
    <w:p w:rsidR="00B17503" w:rsidRPr="00794EF8" w:rsidRDefault="00F3101F" w:rsidP="00B17503">
      <w:pPr>
        <w:pStyle w:val="SCCLsocParty"/>
        <w:tabs>
          <w:tab w:val="right" w:pos="8280"/>
        </w:tabs>
        <w:spacing w:after="720"/>
        <w:rPr>
          <w:b w:val="0"/>
          <w:i/>
        </w:rPr>
      </w:pPr>
      <w:r w:rsidRPr="00794EF8">
        <w:t>G</w:t>
      </w:r>
      <w:r w:rsidR="007C5BF5" w:rsidRPr="00794EF8">
        <w:t>.</w:t>
      </w:r>
      <w:r w:rsidR="00EF7F63" w:rsidRPr="00794EF8">
        <w:t xml:space="preserve"> </w:t>
      </w:r>
      <w:r w:rsidR="007C5BF5" w:rsidRPr="00794EF8">
        <w:t xml:space="preserve">H. </w:t>
      </w:r>
      <w:proofErr w:type="spellStart"/>
      <w:r w:rsidR="007C5BF5" w:rsidRPr="00794EF8">
        <w:t>Seitz</w:t>
      </w:r>
      <w:proofErr w:type="spellEnd"/>
      <w:r w:rsidRPr="00794EF8">
        <w:t xml:space="preserve"> </w:t>
      </w:r>
      <w:r w:rsidR="00CD4D7E" w:rsidRPr="00794EF8">
        <w:t>et</w:t>
      </w:r>
      <w:r w:rsidRPr="00794EF8">
        <w:t xml:space="preserve"> Paul B. </w:t>
      </w:r>
      <w:proofErr w:type="spellStart"/>
      <w:r w:rsidRPr="00794EF8">
        <w:t>Healy</w:t>
      </w:r>
      <w:proofErr w:type="spellEnd"/>
      <w:r w:rsidR="007C5BF5" w:rsidRPr="00794EF8">
        <w:tab/>
      </w:r>
      <w:r w:rsidR="007C5BF5" w:rsidRPr="00794EF8">
        <w:rPr>
          <w:b w:val="0"/>
          <w:i/>
        </w:rPr>
        <w:t>Appelants</w:t>
      </w:r>
    </w:p>
    <w:p w:rsidR="00B17503" w:rsidRPr="00794EF8" w:rsidRDefault="007C5BF5" w:rsidP="00B17503">
      <w:pPr>
        <w:pStyle w:val="SCCLsocVersus"/>
        <w:spacing w:after="720"/>
        <w:rPr>
          <w:lang w:val="en-US"/>
        </w:rPr>
      </w:pPr>
      <w:proofErr w:type="gramStart"/>
      <w:r w:rsidRPr="00794EF8">
        <w:rPr>
          <w:lang w:val="en-US"/>
        </w:rPr>
        <w:t>c</w:t>
      </w:r>
      <w:proofErr w:type="gramEnd"/>
      <w:r w:rsidRPr="00794EF8">
        <w:rPr>
          <w:lang w:val="en-US"/>
        </w:rPr>
        <w:t>.</w:t>
      </w:r>
    </w:p>
    <w:p w:rsidR="00B17503" w:rsidRPr="00794EF8" w:rsidRDefault="007C5BF5" w:rsidP="00B17503">
      <w:pPr>
        <w:tabs>
          <w:tab w:val="right" w:pos="8280"/>
        </w:tabs>
        <w:spacing w:after="720"/>
        <w:jc w:val="both"/>
        <w:rPr>
          <w:i/>
          <w:lang w:val="en-US"/>
        </w:rPr>
      </w:pPr>
      <w:r w:rsidRPr="00794EF8">
        <w:rPr>
          <w:b/>
          <w:lang w:val="en-US"/>
        </w:rPr>
        <w:t>Conrad Black</w:t>
      </w:r>
      <w:r w:rsidRPr="00794EF8">
        <w:rPr>
          <w:lang w:val="en-US"/>
        </w:rPr>
        <w:tab/>
      </w:r>
      <w:proofErr w:type="spellStart"/>
      <w:r w:rsidRPr="00794EF8">
        <w:rPr>
          <w:i/>
          <w:lang w:val="en-US"/>
        </w:rPr>
        <w:t>Intimé</w:t>
      </w:r>
      <w:proofErr w:type="spellEnd"/>
    </w:p>
    <w:p w:rsidR="00B00FA1" w:rsidRPr="00794EF8" w:rsidRDefault="00B00FA1" w:rsidP="00B00FA1">
      <w:pPr>
        <w:pStyle w:val="SCCLsocVersus"/>
        <w:tabs>
          <w:tab w:val="right" w:pos="8280"/>
        </w:tabs>
        <w:spacing w:after="720"/>
        <w:rPr>
          <w:i w:val="0"/>
          <w:lang w:val="en-US"/>
        </w:rPr>
      </w:pPr>
      <w:r w:rsidRPr="00794EF8">
        <w:rPr>
          <w:lang w:val="en-US"/>
        </w:rPr>
        <w:t>-</w:t>
      </w:r>
      <w:r w:rsidRPr="00794EF8">
        <w:rPr>
          <w:i w:val="0"/>
          <w:lang w:val="en-US"/>
        </w:rPr>
        <w:t xml:space="preserve"> </w:t>
      </w:r>
      <w:proofErr w:type="gramStart"/>
      <w:r w:rsidRPr="00794EF8">
        <w:rPr>
          <w:i w:val="0"/>
          <w:lang w:val="en-US"/>
        </w:rPr>
        <w:t>et</w:t>
      </w:r>
      <w:proofErr w:type="gramEnd"/>
      <w:r w:rsidRPr="00794EF8">
        <w:rPr>
          <w:i w:val="0"/>
          <w:lang w:val="en-US"/>
        </w:rPr>
        <w:t xml:space="preserve"> </w:t>
      </w:r>
      <w:r w:rsidRPr="00794EF8">
        <w:rPr>
          <w:lang w:val="en-US"/>
        </w:rPr>
        <w:t>-</w:t>
      </w:r>
    </w:p>
    <w:p w:rsidR="007C5BF5" w:rsidRPr="00794EF8" w:rsidRDefault="007C5BF5" w:rsidP="00B17503">
      <w:pPr>
        <w:pStyle w:val="SCCLsocParty"/>
        <w:rPr>
          <w:lang w:val="en-US"/>
        </w:rPr>
      </w:pPr>
      <w:proofErr w:type="gramStart"/>
      <w:r w:rsidRPr="00794EF8">
        <w:rPr>
          <w:lang w:val="en-US"/>
        </w:rPr>
        <w:t xml:space="preserve">Richard C. Breeden, Richard C. Breeden &amp; Co., </w:t>
      </w:r>
      <w:r w:rsidR="00F3101F" w:rsidRPr="00794EF8">
        <w:rPr>
          <w:lang w:val="en-US"/>
        </w:rPr>
        <w:t>Gordon A.</w:t>
      </w:r>
      <w:proofErr w:type="gramEnd"/>
      <w:r w:rsidR="00F3101F" w:rsidRPr="00794EF8">
        <w:rPr>
          <w:lang w:val="en-US"/>
        </w:rPr>
        <w:t xml:space="preserve"> </w:t>
      </w:r>
    </w:p>
    <w:p w:rsidR="007C5BF5" w:rsidRPr="00794EF8" w:rsidRDefault="007C5BF5" w:rsidP="00B17503">
      <w:pPr>
        <w:pStyle w:val="SCCLsocParty"/>
        <w:rPr>
          <w:lang w:val="en-US"/>
        </w:rPr>
      </w:pPr>
      <w:r w:rsidRPr="00794EF8">
        <w:rPr>
          <w:lang w:val="en-US"/>
        </w:rPr>
        <w:t xml:space="preserve">Paris, James R. Thompson, Richard D. Burt, </w:t>
      </w:r>
      <w:r w:rsidR="00F3101F" w:rsidRPr="00794EF8">
        <w:rPr>
          <w:lang w:val="en-US"/>
        </w:rPr>
        <w:t xml:space="preserve">Graham W. </w:t>
      </w:r>
      <w:r w:rsidR="00CE7865" w:rsidRPr="00794EF8">
        <w:rPr>
          <w:lang w:val="en-US"/>
        </w:rPr>
        <w:t>Savage,</w:t>
      </w:r>
    </w:p>
    <w:p w:rsidR="00B17503" w:rsidRPr="00794EF8" w:rsidRDefault="007C5BF5" w:rsidP="00B17503">
      <w:pPr>
        <w:pStyle w:val="SCCLsocParty"/>
        <w:tabs>
          <w:tab w:val="right" w:pos="8280"/>
        </w:tabs>
        <w:spacing w:after="720"/>
        <w:rPr>
          <w:b w:val="0"/>
          <w:i/>
          <w:lang w:val="en-US"/>
        </w:rPr>
      </w:pPr>
      <w:r w:rsidRPr="00794EF8">
        <w:rPr>
          <w:lang w:val="en-US"/>
        </w:rPr>
        <w:t>Raymond G.</w:t>
      </w:r>
      <w:r w:rsidR="007A584C" w:rsidRPr="00794EF8">
        <w:rPr>
          <w:lang w:val="en-US"/>
        </w:rPr>
        <w:t xml:space="preserve"> </w:t>
      </w:r>
      <w:r w:rsidRPr="00794EF8">
        <w:rPr>
          <w:lang w:val="en-US"/>
        </w:rPr>
        <w:t>H. Seitz</w:t>
      </w:r>
      <w:r w:rsidR="00F3101F" w:rsidRPr="00794EF8">
        <w:rPr>
          <w:lang w:val="en-US"/>
        </w:rPr>
        <w:t xml:space="preserve">, </w:t>
      </w:r>
      <w:proofErr w:type="spellStart"/>
      <w:r w:rsidR="00F3101F" w:rsidRPr="00794EF8">
        <w:rPr>
          <w:lang w:val="en-US"/>
        </w:rPr>
        <w:t>Shmuel</w:t>
      </w:r>
      <w:proofErr w:type="spellEnd"/>
      <w:r w:rsidR="00F3101F" w:rsidRPr="00794EF8">
        <w:rPr>
          <w:lang w:val="en-US"/>
        </w:rPr>
        <w:t xml:space="preserve"> </w:t>
      </w:r>
      <w:proofErr w:type="spellStart"/>
      <w:r w:rsidR="00F3101F" w:rsidRPr="00794EF8">
        <w:rPr>
          <w:lang w:val="en-US"/>
        </w:rPr>
        <w:t>Meitar</w:t>
      </w:r>
      <w:proofErr w:type="spellEnd"/>
      <w:r w:rsidR="00F3101F" w:rsidRPr="00794EF8">
        <w:rPr>
          <w:lang w:val="en-US"/>
        </w:rPr>
        <w:t xml:space="preserve"> </w:t>
      </w:r>
      <w:proofErr w:type="gramStart"/>
      <w:r w:rsidR="00CD4D7E" w:rsidRPr="00794EF8">
        <w:rPr>
          <w:lang w:val="en-US"/>
        </w:rPr>
        <w:t>et</w:t>
      </w:r>
      <w:proofErr w:type="gramEnd"/>
      <w:r w:rsidR="00F3101F" w:rsidRPr="00794EF8">
        <w:rPr>
          <w:lang w:val="en-US"/>
        </w:rPr>
        <w:t xml:space="preserve"> Henry A. Kissinger</w:t>
      </w:r>
      <w:r w:rsidRPr="00794EF8">
        <w:rPr>
          <w:lang w:val="en-US"/>
        </w:rPr>
        <w:tab/>
      </w:r>
      <w:proofErr w:type="spellStart"/>
      <w:r w:rsidRPr="00794EF8">
        <w:rPr>
          <w:b w:val="0"/>
          <w:i/>
          <w:lang w:val="en-US"/>
        </w:rPr>
        <w:t>Appelants</w:t>
      </w:r>
      <w:proofErr w:type="spellEnd"/>
    </w:p>
    <w:p w:rsidR="00B17503" w:rsidRPr="00794EF8" w:rsidRDefault="007C5BF5" w:rsidP="00B17503">
      <w:pPr>
        <w:pStyle w:val="SCCLsocVersus"/>
        <w:spacing w:after="720"/>
        <w:rPr>
          <w:lang w:val="en-US"/>
        </w:rPr>
      </w:pPr>
      <w:proofErr w:type="gramStart"/>
      <w:r w:rsidRPr="00794EF8">
        <w:rPr>
          <w:lang w:val="en-US"/>
        </w:rPr>
        <w:lastRenderedPageBreak/>
        <w:t>c</w:t>
      </w:r>
      <w:proofErr w:type="gramEnd"/>
      <w:r w:rsidRPr="00794EF8">
        <w:rPr>
          <w:lang w:val="en-US"/>
        </w:rPr>
        <w:t>.</w:t>
      </w:r>
    </w:p>
    <w:p w:rsidR="00B17503" w:rsidRPr="00794EF8" w:rsidRDefault="007C5BF5" w:rsidP="00B17503">
      <w:pPr>
        <w:tabs>
          <w:tab w:val="right" w:pos="8118"/>
        </w:tabs>
        <w:spacing w:after="720"/>
        <w:jc w:val="both"/>
        <w:rPr>
          <w:i/>
          <w:lang w:val="en-US"/>
        </w:rPr>
      </w:pPr>
      <w:r w:rsidRPr="00794EF8">
        <w:rPr>
          <w:b/>
          <w:lang w:val="en-US"/>
        </w:rPr>
        <w:t>Conrad Black</w:t>
      </w:r>
      <w:r w:rsidRPr="00794EF8">
        <w:rPr>
          <w:lang w:val="en-US"/>
        </w:rPr>
        <w:tab/>
      </w:r>
      <w:proofErr w:type="spellStart"/>
      <w:r w:rsidRPr="00794EF8">
        <w:rPr>
          <w:i/>
          <w:lang w:val="en-US"/>
        </w:rPr>
        <w:t>Intimé</w:t>
      </w:r>
      <w:proofErr w:type="spellEnd"/>
    </w:p>
    <w:p w:rsidR="00B17503" w:rsidRPr="00794EF8" w:rsidRDefault="00FE33E1" w:rsidP="00B17503">
      <w:pPr>
        <w:pStyle w:val="SCCLsocOtherPartySeparator"/>
        <w:spacing w:after="720"/>
      </w:pPr>
      <w:proofErr w:type="gramStart"/>
      <w:r w:rsidRPr="00794EF8">
        <w:t>et</w:t>
      </w:r>
      <w:proofErr w:type="gramEnd"/>
    </w:p>
    <w:p w:rsidR="00A20F43" w:rsidRPr="00794EF8" w:rsidRDefault="00BF04B4" w:rsidP="00B17503">
      <w:pPr>
        <w:pStyle w:val="SCCLsocParty"/>
        <w:tabs>
          <w:tab w:val="right" w:pos="8280"/>
        </w:tabs>
        <w:spacing w:after="720"/>
      </w:pPr>
      <w:r w:rsidRPr="00794EF8">
        <w:t>Association</w:t>
      </w:r>
      <w:r w:rsidR="00FE33E1" w:rsidRPr="00794EF8">
        <w:t xml:space="preserve"> des libertés civiles de la </w:t>
      </w:r>
      <w:proofErr w:type="spellStart"/>
      <w:r w:rsidR="00FE33E1" w:rsidRPr="00794EF8">
        <w:t>Colombie</w:t>
      </w:r>
      <w:r w:rsidR="00863E41" w:rsidRPr="00794EF8">
        <w:noBreakHyphen/>
      </w:r>
      <w:r w:rsidR="00FE33E1" w:rsidRPr="00794EF8">
        <w:t>Britann</w:t>
      </w:r>
      <w:r w:rsidR="0086654F" w:rsidRPr="00794EF8">
        <w:t>i</w:t>
      </w:r>
      <w:r w:rsidR="00FE33E1" w:rsidRPr="00794EF8">
        <w:t>q</w:t>
      </w:r>
      <w:r w:rsidR="00B60BA2" w:rsidRPr="00794EF8">
        <w:t>u</w:t>
      </w:r>
      <w:r w:rsidR="00FE33E1" w:rsidRPr="00794EF8">
        <w:t>e</w:t>
      </w:r>
      <w:proofErr w:type="spellEnd"/>
      <w:r w:rsidR="00FE33E1" w:rsidRPr="00794EF8">
        <w:tab/>
      </w:r>
      <w:r w:rsidRPr="00794EF8">
        <w:rPr>
          <w:b w:val="0"/>
          <w:i/>
        </w:rPr>
        <w:t>Intervenant</w:t>
      </w:r>
      <w:r w:rsidR="00FE33E1" w:rsidRPr="00794EF8">
        <w:rPr>
          <w:b w:val="0"/>
          <w:i/>
        </w:rPr>
        <w:t>e</w:t>
      </w:r>
    </w:p>
    <w:p w:rsidR="00426659" w:rsidRPr="00794EF8" w:rsidRDefault="0043088E" w:rsidP="00B17503">
      <w:pPr>
        <w:spacing w:after="720"/>
        <w:jc w:val="both"/>
        <w:rPr>
          <w:b/>
          <w:lang w:val="en-US"/>
        </w:rPr>
      </w:pPr>
      <w:proofErr w:type="spellStart"/>
      <w:proofErr w:type="gramStart"/>
      <w:r w:rsidRPr="00794EF8">
        <w:rPr>
          <w:b/>
          <w:lang w:val="en-US"/>
        </w:rPr>
        <w:t>Répertorié</w:t>
      </w:r>
      <w:proofErr w:type="spellEnd"/>
      <w:r w:rsidR="00863E41" w:rsidRPr="00794EF8">
        <w:rPr>
          <w:b/>
          <w:lang w:val="en-US"/>
        </w:rPr>
        <w:t> :</w:t>
      </w:r>
      <w:proofErr w:type="gramEnd"/>
      <w:r w:rsidR="00C67CA5" w:rsidRPr="00794EF8">
        <w:rPr>
          <w:b/>
          <w:lang w:val="en-US"/>
        </w:rPr>
        <w:t> </w:t>
      </w:r>
      <w:r w:rsidRPr="00794EF8">
        <w:rPr>
          <w:b/>
          <w:lang w:val="en-US"/>
        </w:rPr>
        <w:t xml:space="preserve">Breeden </w:t>
      </w:r>
      <w:r w:rsidR="00645057" w:rsidRPr="00794EF8">
        <w:rPr>
          <w:b/>
          <w:i/>
          <w:lang w:val="en-US"/>
        </w:rPr>
        <w:t>c</w:t>
      </w:r>
      <w:r w:rsidR="00426659" w:rsidRPr="00794EF8">
        <w:rPr>
          <w:b/>
          <w:i/>
          <w:lang w:val="en-US"/>
        </w:rPr>
        <w:t>.</w:t>
      </w:r>
      <w:r w:rsidR="00426659" w:rsidRPr="00794EF8">
        <w:rPr>
          <w:b/>
          <w:lang w:val="en-US"/>
        </w:rPr>
        <w:t xml:space="preserve"> </w:t>
      </w:r>
      <w:r w:rsidRPr="00794EF8">
        <w:rPr>
          <w:b/>
          <w:lang w:val="en-US"/>
        </w:rPr>
        <w:t>Black</w:t>
      </w:r>
    </w:p>
    <w:p w:rsidR="00426659" w:rsidRPr="00794EF8" w:rsidRDefault="00C0663B" w:rsidP="00B17503">
      <w:pPr>
        <w:pStyle w:val="SCCSystemYear"/>
        <w:spacing w:after="720"/>
        <w:jc w:val="both"/>
        <w:rPr>
          <w:lang w:val="en-US"/>
        </w:rPr>
      </w:pPr>
      <w:r w:rsidRPr="00794EF8">
        <w:rPr>
          <w:lang w:val="en-US"/>
        </w:rPr>
        <w:t>201</w:t>
      </w:r>
      <w:r w:rsidR="00965043" w:rsidRPr="00794EF8">
        <w:rPr>
          <w:lang w:val="en-US"/>
        </w:rPr>
        <w:t>2</w:t>
      </w:r>
      <w:r w:rsidR="00EE0FAF" w:rsidRPr="00794EF8">
        <w:rPr>
          <w:lang w:val="en-US"/>
        </w:rPr>
        <w:t xml:space="preserve"> </w:t>
      </w:r>
      <w:r w:rsidR="00C71F58" w:rsidRPr="00794EF8">
        <w:rPr>
          <w:lang w:val="en-US"/>
        </w:rPr>
        <w:t>C</w:t>
      </w:r>
      <w:r w:rsidR="00426659" w:rsidRPr="00794EF8">
        <w:rPr>
          <w:lang w:val="en-US"/>
        </w:rPr>
        <w:t>SC </w:t>
      </w:r>
      <w:r w:rsidR="004F16DB" w:rsidRPr="00794EF8">
        <w:rPr>
          <w:lang w:val="en-US"/>
        </w:rPr>
        <w:t>19</w:t>
      </w:r>
    </w:p>
    <w:p w:rsidR="008322BD" w:rsidRPr="00794EF8" w:rsidRDefault="009B57B3" w:rsidP="00B17503">
      <w:pPr>
        <w:spacing w:after="720"/>
        <w:jc w:val="both"/>
      </w:pPr>
      <w:r w:rsidRPr="00794EF8">
        <w:t>N</w:t>
      </w:r>
      <w:r w:rsidRPr="00794EF8">
        <w:rPr>
          <w:vertAlign w:val="superscript"/>
        </w:rPr>
        <w:t>o</w:t>
      </w:r>
      <w:r w:rsidR="0043088E" w:rsidRPr="00794EF8">
        <w:t xml:space="preserve"> du greffe</w:t>
      </w:r>
      <w:r w:rsidR="00863E41" w:rsidRPr="00794EF8">
        <w:t> :</w:t>
      </w:r>
      <w:r w:rsidR="00C67CA5" w:rsidRPr="00794EF8">
        <w:t> </w:t>
      </w:r>
      <w:r w:rsidRPr="00794EF8">
        <w:t>33900.</w:t>
      </w:r>
    </w:p>
    <w:p w:rsidR="008322BD" w:rsidRPr="00794EF8" w:rsidRDefault="00C0663B" w:rsidP="00B17503">
      <w:pPr>
        <w:spacing w:after="720"/>
        <w:jc w:val="both"/>
      </w:pPr>
      <w:r w:rsidRPr="00794EF8">
        <w:t>2011</w:t>
      </w:r>
      <w:r w:rsidR="00863E41" w:rsidRPr="00794EF8">
        <w:t> :</w:t>
      </w:r>
      <w:r w:rsidR="00157DC0" w:rsidRPr="00794EF8">
        <w:t> </w:t>
      </w:r>
      <w:r w:rsidRPr="00794EF8">
        <w:t>22 mars</w:t>
      </w:r>
      <w:r w:rsidR="009B57B3" w:rsidRPr="00794EF8">
        <w:t xml:space="preserve">; </w:t>
      </w:r>
      <w:r w:rsidR="001C7F7E" w:rsidRPr="00794EF8">
        <w:t>2012</w:t>
      </w:r>
      <w:r w:rsidR="00863E41" w:rsidRPr="00794EF8">
        <w:t> :</w:t>
      </w:r>
      <w:r w:rsidR="00157DC0" w:rsidRPr="00794EF8">
        <w:t> 18 </w:t>
      </w:r>
      <w:r w:rsidR="004F16DB" w:rsidRPr="00794EF8">
        <w:t>avril</w:t>
      </w:r>
      <w:r w:rsidR="009B57B3" w:rsidRPr="00794EF8">
        <w:t>.</w:t>
      </w:r>
    </w:p>
    <w:p w:rsidR="008322BD" w:rsidRPr="00794EF8" w:rsidRDefault="009B57B3" w:rsidP="00B17503">
      <w:pPr>
        <w:spacing w:after="720"/>
        <w:jc w:val="both"/>
      </w:pPr>
      <w:r w:rsidRPr="00794EF8">
        <w:t>Pr</w:t>
      </w:r>
      <w:r w:rsidR="0043088E" w:rsidRPr="00794EF8">
        <w:t>é</w:t>
      </w:r>
      <w:r w:rsidRPr="00794EF8">
        <w:t>sent</w:t>
      </w:r>
      <w:r w:rsidR="008A6558" w:rsidRPr="00794EF8">
        <w:t>s</w:t>
      </w:r>
      <w:r w:rsidR="00863E41" w:rsidRPr="00794EF8">
        <w:t> :</w:t>
      </w:r>
      <w:r w:rsidR="00C67CA5" w:rsidRPr="00794EF8">
        <w:t> </w:t>
      </w:r>
      <w:r w:rsidRPr="00794EF8">
        <w:t xml:space="preserve">La juge en chef McLachlin et les juges </w:t>
      </w:r>
      <w:proofErr w:type="spellStart"/>
      <w:r w:rsidRPr="00794EF8">
        <w:t>Binnie</w:t>
      </w:r>
      <w:proofErr w:type="spellEnd"/>
      <w:r w:rsidR="000B2823" w:rsidRPr="00794EF8">
        <w:rPr>
          <w:rStyle w:val="FootnoteReference"/>
        </w:rPr>
        <w:footnoteReference w:id="1"/>
      </w:r>
      <w:r w:rsidRPr="00794EF8">
        <w:t xml:space="preserve">, </w:t>
      </w:r>
      <w:proofErr w:type="spellStart"/>
      <w:r w:rsidRPr="00794EF8">
        <w:t>LeBel</w:t>
      </w:r>
      <w:proofErr w:type="spellEnd"/>
      <w:r w:rsidRPr="00794EF8">
        <w:t>, Deschamps, Fish, Abella, Charron</w:t>
      </w:r>
      <w:r w:rsidR="00A21C5E" w:rsidRPr="00794EF8">
        <w:rPr>
          <w:rStyle w:val="FootnoteReference"/>
          <w:szCs w:val="22"/>
          <w:lang w:eastAsia="en-US"/>
        </w:rPr>
        <w:t>*</w:t>
      </w:r>
      <w:r w:rsidR="00157DC0" w:rsidRPr="00794EF8">
        <w:rPr>
          <w:rStyle w:val="FootnoteReference"/>
          <w:szCs w:val="22"/>
          <w:vertAlign w:val="baseline"/>
          <w:lang w:eastAsia="en-US"/>
        </w:rPr>
        <w:t>,</w:t>
      </w:r>
      <w:r w:rsidRPr="00794EF8">
        <w:t xml:space="preserve"> </w:t>
      </w:r>
      <w:proofErr w:type="spellStart"/>
      <w:r w:rsidRPr="00794EF8">
        <w:t>Rothstein</w:t>
      </w:r>
      <w:proofErr w:type="spellEnd"/>
      <w:r w:rsidRPr="00794EF8">
        <w:t xml:space="preserve"> et Cromwell.</w:t>
      </w:r>
    </w:p>
    <w:p w:rsidR="008322BD" w:rsidRPr="00794EF8" w:rsidRDefault="00AC7437" w:rsidP="00B17503">
      <w:pPr>
        <w:pStyle w:val="SCCLowerCourtNameLowercase"/>
        <w:spacing w:after="480"/>
      </w:pPr>
      <w:r w:rsidRPr="00794EF8">
        <w:t>e</w:t>
      </w:r>
      <w:r w:rsidR="00855307" w:rsidRPr="00794EF8">
        <w:t>n</w:t>
      </w:r>
      <w:r w:rsidR="00224FC0" w:rsidRPr="00794EF8">
        <w:t xml:space="preserve"> </w:t>
      </w:r>
      <w:r w:rsidR="00855307" w:rsidRPr="00794EF8">
        <w:t>appel</w:t>
      </w:r>
      <w:r w:rsidR="00224FC0" w:rsidRPr="00794EF8">
        <w:t xml:space="preserve"> </w:t>
      </w:r>
      <w:r w:rsidR="00855307" w:rsidRPr="00794EF8">
        <w:t>de</w:t>
      </w:r>
      <w:r w:rsidR="0043088E" w:rsidRPr="00794EF8">
        <w:t xml:space="preserve"> </w:t>
      </w:r>
      <w:r w:rsidR="00855307" w:rsidRPr="00794EF8">
        <w:t>la</w:t>
      </w:r>
      <w:r w:rsidR="00224FC0" w:rsidRPr="00794EF8">
        <w:t xml:space="preserve"> </w:t>
      </w:r>
      <w:r w:rsidR="009B57B3" w:rsidRPr="00794EF8">
        <w:t>cour d’appel de l’</w:t>
      </w:r>
      <w:proofErr w:type="spellStart"/>
      <w:r w:rsidR="009B57B3" w:rsidRPr="00794EF8">
        <w:t>ontario</w:t>
      </w:r>
      <w:proofErr w:type="spellEnd"/>
    </w:p>
    <w:p w:rsidR="003E2E0C" w:rsidRPr="00794EF8" w:rsidRDefault="003E2E0C" w:rsidP="003E2E0C">
      <w:pPr>
        <w:pStyle w:val="SCCNormalDoubleSpacing"/>
        <w:spacing w:after="480"/>
        <w:rPr>
          <w:i/>
        </w:rPr>
      </w:pPr>
      <w:r w:rsidRPr="00794EF8">
        <w:tab/>
      </w:r>
      <w:r w:rsidR="009C5335" w:rsidRPr="00794EF8">
        <w:rPr>
          <w:i/>
        </w:rPr>
        <w:t>Droit international privé</w:t>
      </w:r>
      <w:r w:rsidRPr="00794EF8">
        <w:rPr>
          <w:i/>
        </w:rPr>
        <w:t xml:space="preserve"> </w:t>
      </w:r>
      <w:r w:rsidR="00430E37" w:rsidRPr="00794EF8">
        <w:rPr>
          <w:i/>
        </w:rPr>
        <w:t>—</w:t>
      </w:r>
      <w:r w:rsidRPr="00794EF8">
        <w:rPr>
          <w:i/>
        </w:rPr>
        <w:t xml:space="preserve"> Choi</w:t>
      </w:r>
      <w:r w:rsidR="009C5335" w:rsidRPr="00794EF8">
        <w:rPr>
          <w:i/>
        </w:rPr>
        <w:t xml:space="preserve">x du tribunal </w:t>
      </w:r>
      <w:r w:rsidR="00430E37" w:rsidRPr="00794EF8">
        <w:rPr>
          <w:i/>
        </w:rPr>
        <w:t>—</w:t>
      </w:r>
      <w:r w:rsidR="009C5335" w:rsidRPr="00794EF8">
        <w:rPr>
          <w:i/>
        </w:rPr>
        <w:t xml:space="preserve"> Juridiction compétente</w:t>
      </w:r>
      <w:r w:rsidRPr="00794EF8">
        <w:rPr>
          <w:i/>
        </w:rPr>
        <w:t xml:space="preserve"> </w:t>
      </w:r>
      <w:r w:rsidR="00430E37" w:rsidRPr="00794EF8">
        <w:rPr>
          <w:i/>
        </w:rPr>
        <w:t>—</w:t>
      </w:r>
      <w:r w:rsidRPr="00794EF8">
        <w:rPr>
          <w:i/>
        </w:rPr>
        <w:t xml:space="preserve"> Forum non </w:t>
      </w:r>
      <w:proofErr w:type="spellStart"/>
      <w:r w:rsidRPr="00794EF8">
        <w:rPr>
          <w:i/>
        </w:rPr>
        <w:t>conveniens</w:t>
      </w:r>
      <w:proofErr w:type="spellEnd"/>
      <w:r w:rsidRPr="00794EF8">
        <w:rPr>
          <w:i/>
        </w:rPr>
        <w:t xml:space="preserve"> </w:t>
      </w:r>
      <w:r w:rsidR="00430E37" w:rsidRPr="00794EF8">
        <w:rPr>
          <w:i/>
        </w:rPr>
        <w:t>—</w:t>
      </w:r>
      <w:r w:rsidRPr="00794EF8">
        <w:rPr>
          <w:i/>
        </w:rPr>
        <w:t xml:space="preserve"> </w:t>
      </w:r>
      <w:r w:rsidR="009C5335" w:rsidRPr="00794EF8">
        <w:rPr>
          <w:i/>
        </w:rPr>
        <w:t>Actions en diffamation introduites en Ontario relativement à certains propos</w:t>
      </w:r>
      <w:r w:rsidR="006B1FB0" w:rsidRPr="00794EF8">
        <w:rPr>
          <w:i/>
        </w:rPr>
        <w:t xml:space="preserve"> publiés</w:t>
      </w:r>
      <w:r w:rsidR="009C5335" w:rsidRPr="00794EF8">
        <w:rPr>
          <w:i/>
        </w:rPr>
        <w:t xml:space="preserve"> sur le site Web et dans le rapport annuel d’une </w:t>
      </w:r>
      <w:r w:rsidR="009C5335" w:rsidRPr="00794EF8">
        <w:rPr>
          <w:i/>
        </w:rPr>
        <w:lastRenderedPageBreak/>
        <w:t xml:space="preserve">société américaine, </w:t>
      </w:r>
      <w:r w:rsidR="004F16DB" w:rsidRPr="00794EF8">
        <w:rPr>
          <w:i/>
        </w:rPr>
        <w:t>et</w:t>
      </w:r>
      <w:r w:rsidR="009C5335" w:rsidRPr="00794EF8">
        <w:rPr>
          <w:i/>
        </w:rPr>
        <w:t xml:space="preserve"> repris par trois journaux canadiens</w:t>
      </w:r>
      <w:r w:rsidRPr="00794EF8">
        <w:rPr>
          <w:i/>
        </w:rPr>
        <w:t xml:space="preserve"> </w:t>
      </w:r>
      <w:r w:rsidR="00430E37" w:rsidRPr="00794EF8">
        <w:rPr>
          <w:i/>
        </w:rPr>
        <w:t>—</w:t>
      </w:r>
      <w:r w:rsidRPr="00794EF8">
        <w:rPr>
          <w:i/>
        </w:rPr>
        <w:t xml:space="preserve"> </w:t>
      </w:r>
      <w:r w:rsidR="00444FFC" w:rsidRPr="00794EF8">
        <w:rPr>
          <w:i/>
        </w:rPr>
        <w:t xml:space="preserve">Demande de suspension de l’instance par les défendeurs au motif que le tribunal ontarien n’a pas compétence ou, subsidiairement, qu’il devrait décliner compétence pour cause de forum non </w:t>
      </w:r>
      <w:proofErr w:type="spellStart"/>
      <w:r w:rsidR="00444FFC" w:rsidRPr="00794EF8">
        <w:rPr>
          <w:i/>
        </w:rPr>
        <w:t>conveniens</w:t>
      </w:r>
      <w:proofErr w:type="spellEnd"/>
      <w:r w:rsidR="00444FFC" w:rsidRPr="00794EF8">
        <w:t xml:space="preserve"> </w:t>
      </w:r>
      <w:r w:rsidR="00430E37" w:rsidRPr="00794EF8">
        <w:rPr>
          <w:i/>
        </w:rPr>
        <w:t>—</w:t>
      </w:r>
      <w:r w:rsidR="00444FFC" w:rsidRPr="00794EF8">
        <w:rPr>
          <w:i/>
        </w:rPr>
        <w:t xml:space="preserve"> Le tribunal ontarien </w:t>
      </w:r>
      <w:proofErr w:type="spellStart"/>
      <w:r w:rsidR="00444FFC" w:rsidRPr="00794EF8">
        <w:rPr>
          <w:i/>
        </w:rPr>
        <w:t>peut</w:t>
      </w:r>
      <w:r w:rsidR="00444FFC" w:rsidRPr="00794EF8">
        <w:rPr>
          <w:i/>
        </w:rPr>
        <w:noBreakHyphen/>
        <w:t>il</w:t>
      </w:r>
      <w:proofErr w:type="spellEnd"/>
      <w:r w:rsidR="00444FFC" w:rsidRPr="00794EF8">
        <w:rPr>
          <w:i/>
        </w:rPr>
        <w:t xml:space="preserve"> se déclarer compétent à l’égard des actions? </w:t>
      </w:r>
      <w:r w:rsidR="00430E37" w:rsidRPr="00794EF8">
        <w:rPr>
          <w:i/>
        </w:rPr>
        <w:t>—</w:t>
      </w:r>
      <w:r w:rsidR="00444FFC" w:rsidRPr="00794EF8">
        <w:rPr>
          <w:i/>
        </w:rPr>
        <w:t xml:space="preserve"> Dans l’affirmative, le tribunal ontarien </w:t>
      </w:r>
      <w:proofErr w:type="spellStart"/>
      <w:r w:rsidR="00444FFC" w:rsidRPr="00794EF8">
        <w:rPr>
          <w:i/>
        </w:rPr>
        <w:t>devrait</w:t>
      </w:r>
      <w:r w:rsidR="00444FFC" w:rsidRPr="00794EF8">
        <w:rPr>
          <w:i/>
        </w:rPr>
        <w:noBreakHyphen/>
        <w:t>il</w:t>
      </w:r>
      <w:proofErr w:type="spellEnd"/>
      <w:r w:rsidR="00444FFC" w:rsidRPr="00794EF8">
        <w:rPr>
          <w:i/>
        </w:rPr>
        <w:t xml:space="preserve"> refuser d’exercer sa compétence au motif que le tribunal d’un autre ressort est nettement plus approprié pour instruire les actions</w:t>
      </w:r>
      <w:r w:rsidR="00564046" w:rsidRPr="00794EF8">
        <w:rPr>
          <w:i/>
        </w:rPr>
        <w:t>?</w:t>
      </w:r>
    </w:p>
    <w:p w:rsidR="003E2E0C" w:rsidRPr="00794EF8" w:rsidRDefault="003E2E0C" w:rsidP="007A584C">
      <w:pPr>
        <w:pStyle w:val="SCCNormalDoubleSpacing"/>
        <w:spacing w:after="480"/>
      </w:pPr>
      <w:r w:rsidRPr="00794EF8">
        <w:tab/>
        <w:t xml:space="preserve">B </w:t>
      </w:r>
      <w:r w:rsidR="00A2386D" w:rsidRPr="00794EF8">
        <w:t xml:space="preserve">est un homme d’affaires bien connu qui s’est bâti une réputation de propriétaire de journaux et d’éditeur au Canada et à l’échelle internationale.  </w:t>
      </w:r>
      <w:r w:rsidR="008F4A9E" w:rsidRPr="00794EF8">
        <w:t>Alors</w:t>
      </w:r>
      <w:r w:rsidR="00A2386D" w:rsidRPr="00794EF8">
        <w:t xml:space="preserve"> qu</w:t>
      </w:r>
      <w:r w:rsidR="008F4A9E" w:rsidRPr="00794EF8">
        <w:t>’il</w:t>
      </w:r>
      <w:r w:rsidR="00A2386D" w:rsidRPr="00794EF8">
        <w:t xml:space="preserve"> </w:t>
      </w:r>
      <w:r w:rsidR="008F4A9E" w:rsidRPr="00794EF8">
        <w:t>ét</w:t>
      </w:r>
      <w:r w:rsidR="00A2386D" w:rsidRPr="00794EF8">
        <w:t xml:space="preserve">ait président d’une société ouverte </w:t>
      </w:r>
      <w:r w:rsidR="008F4A9E" w:rsidRPr="00794EF8">
        <w:t>américaine</w:t>
      </w:r>
      <w:r w:rsidR="00A2386D" w:rsidRPr="00794EF8">
        <w:t xml:space="preserve">, la légitimité de certains paiements </w:t>
      </w:r>
      <w:r w:rsidR="008F4A9E" w:rsidRPr="00794EF8">
        <w:t xml:space="preserve">qui lui avaient été </w:t>
      </w:r>
      <w:r w:rsidR="00A2386D" w:rsidRPr="00794EF8">
        <w:t xml:space="preserve">versés </w:t>
      </w:r>
      <w:r w:rsidR="008F4A9E" w:rsidRPr="00794EF8">
        <w:t>a</w:t>
      </w:r>
      <w:r w:rsidR="00A2386D" w:rsidRPr="00794EF8">
        <w:t xml:space="preserve"> été mise en doute.  Un comité spécial </w:t>
      </w:r>
      <w:r w:rsidR="00A100B0" w:rsidRPr="00794EF8">
        <w:t>chargé de mener une enquête a conclu que la société avait fait des paiements non autorisé</w:t>
      </w:r>
      <w:r w:rsidR="006B1FB0" w:rsidRPr="00794EF8">
        <w:t>s</w:t>
      </w:r>
      <w:r w:rsidR="00A100B0" w:rsidRPr="00794EF8">
        <w:t xml:space="preserve"> à </w:t>
      </w:r>
      <w:r w:rsidRPr="00794EF8">
        <w:t xml:space="preserve">B. </w:t>
      </w:r>
      <w:r w:rsidR="00A100B0" w:rsidRPr="00794EF8">
        <w:t xml:space="preserve"> L</w:t>
      </w:r>
      <w:r w:rsidR="006B1FB0" w:rsidRPr="00794EF8">
        <w:t>e rapport du comité, ainsi que d</w:t>
      </w:r>
      <w:r w:rsidR="00A100B0" w:rsidRPr="00794EF8">
        <w:t xml:space="preserve">es communiqués de presse contenant des coordonnées destinées aux médias canadiens, ont été affichés sur le site Web de la société, lequel était accessible à l’échelle mondiale.  </w:t>
      </w:r>
      <w:r w:rsidR="006B1FB0" w:rsidRPr="00794EF8">
        <w:t>Certains propos</w:t>
      </w:r>
      <w:r w:rsidR="00500849" w:rsidRPr="00794EF8">
        <w:t xml:space="preserve"> </w:t>
      </w:r>
      <w:r w:rsidR="008F4A9E" w:rsidRPr="00794EF8">
        <w:t xml:space="preserve">résumant les conclusions du comité </w:t>
      </w:r>
      <w:r w:rsidR="00500849" w:rsidRPr="00794EF8">
        <w:t xml:space="preserve">ont également </w:t>
      </w:r>
      <w:r w:rsidR="00F15AC1" w:rsidRPr="00794EF8">
        <w:t xml:space="preserve">été </w:t>
      </w:r>
      <w:r w:rsidR="00500849" w:rsidRPr="00794EF8">
        <w:t xml:space="preserve">publiés dans le rapport annuel de </w:t>
      </w:r>
      <w:r w:rsidR="006B1FB0" w:rsidRPr="00794EF8">
        <w:t>la société</w:t>
      </w:r>
      <w:r w:rsidRPr="00794EF8">
        <w:t>.</w:t>
      </w:r>
    </w:p>
    <w:p w:rsidR="003E2E0C" w:rsidRPr="00794EF8" w:rsidRDefault="003E2E0C" w:rsidP="003E2E0C">
      <w:pPr>
        <w:pStyle w:val="SCCNormalDoubleSpacing"/>
        <w:spacing w:after="480"/>
      </w:pPr>
      <w:r w:rsidRPr="00794EF8">
        <w:tab/>
        <w:t xml:space="preserve">B </w:t>
      </w:r>
      <w:r w:rsidR="00500849" w:rsidRPr="00794EF8">
        <w:t xml:space="preserve">a intenté en Cour supérieure </w:t>
      </w:r>
      <w:r w:rsidR="00425EDE" w:rsidRPr="00794EF8">
        <w:t xml:space="preserve">de justice </w:t>
      </w:r>
      <w:r w:rsidR="00500849" w:rsidRPr="00794EF8">
        <w:t xml:space="preserve">de l’Ontario six actions en diffamation contre les </w:t>
      </w:r>
      <w:r w:rsidR="00945861">
        <w:t>10</w:t>
      </w:r>
      <w:r w:rsidR="00500849" w:rsidRPr="00794EF8">
        <w:t xml:space="preserve"> appelants, qui sont des administrateurs, des conseillers ainsi qu’un </w:t>
      </w:r>
      <w:proofErr w:type="spellStart"/>
      <w:r w:rsidR="00500849" w:rsidRPr="00794EF8">
        <w:t>vice</w:t>
      </w:r>
      <w:r w:rsidR="00500849" w:rsidRPr="00794EF8">
        <w:noBreakHyphen/>
        <w:t>président</w:t>
      </w:r>
      <w:proofErr w:type="spellEnd"/>
      <w:r w:rsidR="00500849" w:rsidRPr="00794EF8">
        <w:t xml:space="preserve"> de la société</w:t>
      </w:r>
      <w:r w:rsidRPr="00794EF8">
        <w:t xml:space="preserve">. </w:t>
      </w:r>
      <w:r w:rsidR="00500849" w:rsidRPr="00794EF8">
        <w:t xml:space="preserve"> </w:t>
      </w:r>
      <w:r w:rsidRPr="00794EF8">
        <w:t xml:space="preserve">B </w:t>
      </w:r>
      <w:r w:rsidR="00500849" w:rsidRPr="00794EF8">
        <w:t xml:space="preserve">soutient que les communiqués de presse et les rapports publiés par les appelants et affichés sur le site Web de la société contenaient des propos diffamatoires qui ont été téléchargés, lus et repris en Ontario par trois </w:t>
      </w:r>
      <w:r w:rsidR="00500849" w:rsidRPr="00794EF8">
        <w:lastRenderedPageBreak/>
        <w:t>journaux</w:t>
      </w:r>
      <w:r w:rsidRPr="00794EF8">
        <w:t>.</w:t>
      </w:r>
      <w:r w:rsidR="00B6484C" w:rsidRPr="00794EF8">
        <w:t xml:space="preserve">  Il réclame des </w:t>
      </w:r>
      <w:proofErr w:type="spellStart"/>
      <w:r w:rsidR="00B6484C" w:rsidRPr="00794EF8">
        <w:t>dommages</w:t>
      </w:r>
      <w:r w:rsidR="00B6484C" w:rsidRPr="00794EF8">
        <w:noBreakHyphen/>
        <w:t>intérêts</w:t>
      </w:r>
      <w:proofErr w:type="spellEnd"/>
      <w:r w:rsidR="00B6484C" w:rsidRPr="00794EF8">
        <w:t xml:space="preserve"> pour le tort causé à sa réputation en Ontario</w:t>
      </w:r>
      <w:r w:rsidRPr="00794EF8">
        <w:t>.</w:t>
      </w:r>
    </w:p>
    <w:p w:rsidR="003E2E0C" w:rsidRPr="00794EF8" w:rsidRDefault="003E2E0C" w:rsidP="003E2E0C">
      <w:pPr>
        <w:pStyle w:val="SCCNormalDoubleSpacing"/>
        <w:spacing w:after="480"/>
      </w:pPr>
      <w:r w:rsidRPr="00794EF8">
        <w:tab/>
      </w:r>
      <w:r w:rsidR="009D1B69" w:rsidRPr="00794EF8">
        <w:t xml:space="preserve">Les appelants ont demandé qu’il soit sursis aux instances au motif qu’il n’y avait pas de lien réel et substantiel entre ces instances et l’Ontario ou, subsidiairement, qu’un tribunal de New York ou de l’Illinois constituaient des ressorts plus appropriés.  Le juge </w:t>
      </w:r>
      <w:r w:rsidR="008F4A9E" w:rsidRPr="00794EF8">
        <w:t xml:space="preserve">saisi </w:t>
      </w:r>
      <w:r w:rsidR="009D1B69" w:rsidRPr="00794EF8">
        <w:t xml:space="preserve">de la </w:t>
      </w:r>
      <w:r w:rsidR="008F4A9E" w:rsidRPr="00794EF8">
        <w:t>motion</w:t>
      </w:r>
      <w:r w:rsidR="009D1B69" w:rsidRPr="00794EF8">
        <w:t xml:space="preserve"> a rejeté la </w:t>
      </w:r>
      <w:r w:rsidR="008F4A9E" w:rsidRPr="00794EF8">
        <w:t>motion</w:t>
      </w:r>
      <w:r w:rsidR="009D1B69" w:rsidRPr="00794EF8">
        <w:t>, concluant qu’un lien réel et substantiel avec l’Ontario avait été établi et que l’Ontario était le lieu où il convenait d’introduire les actions</w:t>
      </w:r>
      <w:r w:rsidRPr="00794EF8">
        <w:t xml:space="preserve">. </w:t>
      </w:r>
      <w:r w:rsidR="00425EDE" w:rsidRPr="00794EF8">
        <w:t xml:space="preserve"> La C</w:t>
      </w:r>
      <w:r w:rsidR="009D1B69" w:rsidRPr="00794EF8">
        <w:t xml:space="preserve">our d’appel </w:t>
      </w:r>
      <w:r w:rsidR="00425EDE" w:rsidRPr="00794EF8">
        <w:t xml:space="preserve">de l’Ontario </w:t>
      </w:r>
      <w:r w:rsidR="009D1B69" w:rsidRPr="00794EF8">
        <w:t>a rejeté à l’unanimité l’appel</w:t>
      </w:r>
      <w:r w:rsidRPr="00794EF8">
        <w:t>.</w:t>
      </w:r>
      <w:r w:rsidR="009D1B69" w:rsidRPr="00794EF8">
        <w:t xml:space="preserve">  Elle a conclu que </w:t>
      </w:r>
      <w:r w:rsidR="00645C0D" w:rsidRPr="00794EF8">
        <w:t>l’existence d’un lien réel et substantiel était présumée du fait qu’un délit avait été commis en Ontario, et que les appelants n’avaient pas réussi à réfuter cette présomption.</w:t>
      </w:r>
      <w:r w:rsidRPr="00794EF8">
        <w:t xml:space="preserve"> </w:t>
      </w:r>
      <w:r w:rsidR="00645C0D" w:rsidRPr="00794EF8">
        <w:t xml:space="preserve"> Elle a également conclu</w:t>
      </w:r>
      <w:r w:rsidR="008F4A9E" w:rsidRPr="00794EF8">
        <w:t>,</w:t>
      </w:r>
      <w:r w:rsidR="00645C0D" w:rsidRPr="00794EF8">
        <w:t xml:space="preserve"> </w:t>
      </w:r>
      <w:r w:rsidR="008F4A9E" w:rsidRPr="00794EF8">
        <w:t xml:space="preserve">en ce qui concerne la doctrine du </w:t>
      </w:r>
      <w:r w:rsidR="008F4A9E" w:rsidRPr="00794EF8">
        <w:rPr>
          <w:i/>
        </w:rPr>
        <w:t xml:space="preserve">forum non </w:t>
      </w:r>
      <w:proofErr w:type="spellStart"/>
      <w:r w:rsidR="008F4A9E" w:rsidRPr="00794EF8">
        <w:rPr>
          <w:i/>
        </w:rPr>
        <w:t>conveniens</w:t>
      </w:r>
      <w:proofErr w:type="spellEnd"/>
      <w:r w:rsidR="008F4A9E" w:rsidRPr="00794EF8">
        <w:t xml:space="preserve">, </w:t>
      </w:r>
      <w:r w:rsidR="00645C0D" w:rsidRPr="00794EF8">
        <w:t xml:space="preserve">qu’il n’y avait aucune raison de modifier la décision rendue par le juge </w:t>
      </w:r>
      <w:r w:rsidR="008F4A9E" w:rsidRPr="00794EF8">
        <w:t xml:space="preserve">saisi </w:t>
      </w:r>
      <w:r w:rsidR="00645C0D" w:rsidRPr="00794EF8">
        <w:t xml:space="preserve">de la </w:t>
      </w:r>
      <w:r w:rsidR="008F4A9E" w:rsidRPr="00794EF8">
        <w:t>motion</w:t>
      </w:r>
      <w:r w:rsidR="00645C0D" w:rsidRPr="00794EF8">
        <w:t xml:space="preserve"> dans l’exercice de son pouvoir discrétionnaire.</w:t>
      </w:r>
    </w:p>
    <w:p w:rsidR="003E2E0C" w:rsidRPr="00794EF8" w:rsidRDefault="003E2E0C" w:rsidP="003E2E0C">
      <w:pPr>
        <w:pStyle w:val="SCCNormalDoubleSpacing"/>
        <w:spacing w:after="480"/>
      </w:pPr>
      <w:r w:rsidRPr="00794EF8">
        <w:tab/>
      </w:r>
      <w:r w:rsidR="00645C0D" w:rsidRPr="00794EF8">
        <w:rPr>
          <w:i/>
        </w:rPr>
        <w:t>Arrêt</w:t>
      </w:r>
      <w:r w:rsidR="00645C0D" w:rsidRPr="00794EF8">
        <w:t> </w:t>
      </w:r>
      <w:r w:rsidRPr="00794EF8">
        <w:t>:</w:t>
      </w:r>
      <w:r w:rsidR="00645C0D" w:rsidRPr="00794EF8">
        <w:t xml:space="preserve"> Le pourvoi est rejeté</w:t>
      </w:r>
      <w:r w:rsidRPr="00794EF8">
        <w:t>.</w:t>
      </w:r>
    </w:p>
    <w:p w:rsidR="0006675C" w:rsidRPr="00794EF8" w:rsidRDefault="003E2E0C" w:rsidP="00430E37">
      <w:pPr>
        <w:pStyle w:val="SCCNormalDoubleSpacing"/>
        <w:spacing w:after="480"/>
      </w:pPr>
      <w:r w:rsidRPr="00794EF8">
        <w:tab/>
      </w:r>
      <w:r w:rsidR="008F4A9E" w:rsidRPr="00794EF8">
        <w:t>I</w:t>
      </w:r>
      <w:r w:rsidR="002631A2" w:rsidRPr="00794EF8">
        <w:t xml:space="preserve">l </w:t>
      </w:r>
      <w:r w:rsidR="00645C0D" w:rsidRPr="00794EF8">
        <w:t xml:space="preserve">est nécessaire </w:t>
      </w:r>
      <w:r w:rsidR="008F4A9E" w:rsidRPr="00794EF8">
        <w:t xml:space="preserve">en l’espèce </w:t>
      </w:r>
      <w:r w:rsidR="00645C0D" w:rsidRPr="00794EF8">
        <w:t>de procéder à l’analyse du lien réel et substantiel pour déterminer si la cour ontarienne peut à bon droit se déclarer compétente pour connaître des actions</w:t>
      </w:r>
      <w:r w:rsidR="002631A2" w:rsidRPr="00794EF8">
        <w:t xml:space="preserve">.  Notre Cour a récemment exposé le cadre de la déclaration de compétence dans l’arrêt </w:t>
      </w:r>
      <w:r w:rsidRPr="00794EF8">
        <w:rPr>
          <w:i/>
        </w:rPr>
        <w:t xml:space="preserve">Club </w:t>
      </w:r>
      <w:proofErr w:type="spellStart"/>
      <w:r w:rsidRPr="00794EF8">
        <w:rPr>
          <w:i/>
        </w:rPr>
        <w:t>Resorts</w:t>
      </w:r>
      <w:proofErr w:type="spellEnd"/>
      <w:r w:rsidRPr="00794EF8">
        <w:rPr>
          <w:i/>
        </w:rPr>
        <w:t xml:space="preserve"> Ltd. </w:t>
      </w:r>
      <w:r w:rsidR="002631A2" w:rsidRPr="00794EF8">
        <w:rPr>
          <w:i/>
        </w:rPr>
        <w:t>c</w:t>
      </w:r>
      <w:r w:rsidRPr="00794EF8">
        <w:rPr>
          <w:i/>
        </w:rPr>
        <w:t>. Van Breda</w:t>
      </w:r>
      <w:r w:rsidRPr="00794EF8">
        <w:t>, 2012</w:t>
      </w:r>
      <w:r w:rsidR="0091696F" w:rsidRPr="00794EF8">
        <w:t xml:space="preserve"> </w:t>
      </w:r>
      <w:r w:rsidR="002631A2" w:rsidRPr="00794EF8">
        <w:t>CSC</w:t>
      </w:r>
      <w:r w:rsidR="0091696F" w:rsidRPr="00794EF8">
        <w:t xml:space="preserve"> </w:t>
      </w:r>
      <w:r w:rsidR="008F4A9E" w:rsidRPr="00794EF8">
        <w:t>17</w:t>
      </w:r>
      <w:r w:rsidR="00425EDE" w:rsidRPr="00794EF8">
        <w:t xml:space="preserve">, [2012] 1 R.C.S. </w:t>
      </w:r>
      <w:r w:rsidR="00A2491D">
        <w:t>572</w:t>
      </w:r>
      <w:r w:rsidRPr="00794EF8">
        <w:t xml:space="preserve">. </w:t>
      </w:r>
      <w:r w:rsidR="002631A2" w:rsidRPr="00794EF8">
        <w:t xml:space="preserve"> </w:t>
      </w:r>
      <w:r w:rsidR="008F4A9E" w:rsidRPr="00794EF8">
        <w:t>L</w:t>
      </w:r>
      <w:r w:rsidR="002631A2" w:rsidRPr="00794EF8">
        <w:t xml:space="preserve">a question de la déclaration de compétence est facile à </w:t>
      </w:r>
      <w:r w:rsidR="002631A2" w:rsidRPr="00794EF8">
        <w:lastRenderedPageBreak/>
        <w:t xml:space="preserve">trancher </w:t>
      </w:r>
      <w:r w:rsidR="008F4A9E" w:rsidRPr="00794EF8">
        <w:t xml:space="preserve">en l’espèce, </w:t>
      </w:r>
      <w:r w:rsidR="002631A2" w:rsidRPr="00794EF8">
        <w:t>compte tenu d</w:t>
      </w:r>
      <w:r w:rsidR="008F4A9E" w:rsidRPr="00794EF8">
        <w:t>’</w:t>
      </w:r>
      <w:r w:rsidR="002631A2" w:rsidRPr="00794EF8">
        <w:t>u</w:t>
      </w:r>
      <w:r w:rsidR="008F4A9E" w:rsidRPr="00794EF8">
        <w:t>n</w:t>
      </w:r>
      <w:r w:rsidR="002631A2" w:rsidRPr="00794EF8">
        <w:t xml:space="preserve"> facteur de rattachement créant une présomption — le délit de diffamation qui aurait été commis </w:t>
      </w:r>
      <w:r w:rsidR="0006675C" w:rsidRPr="00794EF8">
        <w:t>en Ontario.  Le droit canadien admet depuis longtemps que le délit de diffamation se manifeste dès qu’il y a diffusion d’un propos diffamatoire destiné à un tiers, laquelle, en l’espèce, a eu lieu lorsque les communiqués contestés ont été lus, téléchargés et repris en Ontario par trois journaux</w:t>
      </w:r>
      <w:r w:rsidRPr="00794EF8">
        <w:t xml:space="preserve">. </w:t>
      </w:r>
      <w:r w:rsidR="0006675C" w:rsidRPr="00794EF8">
        <w:t xml:space="preserve">Il est également bien établi que chaque répétition ou reprise d’un </w:t>
      </w:r>
      <w:r w:rsidR="008F4A9E" w:rsidRPr="00794EF8">
        <w:t>propos</w:t>
      </w:r>
      <w:r w:rsidR="0006675C" w:rsidRPr="00794EF8">
        <w:t xml:space="preserve"> diffamatoire constitue une nouvelle diffusion, et que l’auteur initial d</w:t>
      </w:r>
      <w:r w:rsidR="008F4A9E" w:rsidRPr="00794EF8">
        <w:t>e ce</w:t>
      </w:r>
      <w:r w:rsidR="0006675C" w:rsidRPr="00794EF8">
        <w:t xml:space="preserve"> </w:t>
      </w:r>
      <w:r w:rsidR="008F4A9E" w:rsidRPr="00794EF8">
        <w:t>propos</w:t>
      </w:r>
      <w:r w:rsidR="0006675C" w:rsidRPr="00794EF8">
        <w:t xml:space="preserve"> peut être tenu responsable de la reprise dès lors qu’il l’a autorisée ou que la reprise est le résultat naturel et probable de la diffusion initiale.  La règle s’applique clairement à la reprise, par les trois journaux, des propos figurant dans les communiqués de presse émis par les appelants.  Dans les circonstances, les appelants n’ont pas réfuté la présomption de compétence découlant de ce facteur de rattachement.</w:t>
      </w:r>
    </w:p>
    <w:p w:rsidR="003E2E0C" w:rsidRPr="00794EF8" w:rsidRDefault="003E2E0C" w:rsidP="003E2E0C">
      <w:pPr>
        <w:pStyle w:val="SCCNormalDoubleSpacing"/>
        <w:spacing w:after="480"/>
      </w:pPr>
      <w:r w:rsidRPr="00794EF8">
        <w:tab/>
      </w:r>
      <w:r w:rsidR="00757E2C" w:rsidRPr="00794EF8">
        <w:t>Après avoir conclu à l’existence d’un lien réel et substantiel entre les actions et l’Ontario, il faut déterminer si le tribunal ontarien devrait décliner compétence au motif que le tribunal d’un autre ressort constitue clairement un tribunal plus approprié pour instruire les actions.</w:t>
      </w:r>
      <w:r w:rsidR="005E28B1" w:rsidRPr="00794EF8">
        <w:t xml:space="preserve">  Dans l’analyse relative au </w:t>
      </w:r>
      <w:r w:rsidR="005E28B1" w:rsidRPr="00794EF8">
        <w:rPr>
          <w:i/>
        </w:rPr>
        <w:t xml:space="preserve">forum non </w:t>
      </w:r>
      <w:proofErr w:type="spellStart"/>
      <w:r w:rsidR="005E28B1" w:rsidRPr="00794EF8">
        <w:rPr>
          <w:i/>
        </w:rPr>
        <w:t>conveniens</w:t>
      </w:r>
      <w:proofErr w:type="spellEnd"/>
      <w:r w:rsidR="005E28B1" w:rsidRPr="00794EF8">
        <w:t xml:space="preserve">, il incombe à la partie qui soulève cette question de démontrer que </w:t>
      </w:r>
      <w:r w:rsidR="008F4A9E" w:rsidRPr="00794EF8">
        <w:t xml:space="preserve">le tribunal de </w:t>
      </w:r>
      <w:r w:rsidR="005E28B1" w:rsidRPr="00794EF8">
        <w:t>l’autre ressort constitue un tribunal nettement plus approprié</w:t>
      </w:r>
      <w:r w:rsidRPr="00794EF8">
        <w:t xml:space="preserve">. </w:t>
      </w:r>
      <w:r w:rsidR="005E28B1" w:rsidRPr="00794EF8">
        <w:t xml:space="preserve"> Les facteurs à prendre en compte pour déterminer si un autre tribunal est nettement plus approprié sont nombreux et varient selon le contexte de chaque affaire</w:t>
      </w:r>
      <w:r w:rsidRPr="00794EF8">
        <w:t xml:space="preserve">. </w:t>
      </w:r>
      <w:r w:rsidR="006B1D99" w:rsidRPr="00794EF8">
        <w:t xml:space="preserve"> L’analyse relative au </w:t>
      </w:r>
      <w:r w:rsidR="006B1D99" w:rsidRPr="00794EF8">
        <w:rPr>
          <w:i/>
        </w:rPr>
        <w:t xml:space="preserve">forum non </w:t>
      </w:r>
      <w:proofErr w:type="spellStart"/>
      <w:r w:rsidR="006B1D99" w:rsidRPr="00794EF8">
        <w:rPr>
          <w:i/>
        </w:rPr>
        <w:t>conveniens</w:t>
      </w:r>
      <w:proofErr w:type="spellEnd"/>
      <w:r w:rsidR="006B1D99" w:rsidRPr="00794EF8">
        <w:t xml:space="preserve"> n’exige pas que ces facteurs convergent tous vers un seul et </w:t>
      </w:r>
      <w:r w:rsidR="006B1D99" w:rsidRPr="00794EF8">
        <w:lastRenderedPageBreak/>
        <w:t>même ressort; elle exige toutefois qu’un ressort apparaisse comme étant nettement plus approprié</w:t>
      </w:r>
      <w:r w:rsidRPr="00794EF8">
        <w:t xml:space="preserve">. </w:t>
      </w:r>
      <w:r w:rsidR="006B1D99" w:rsidRPr="00794EF8">
        <w:t xml:space="preserve"> La décision par un tribunal de ne pas exercer sa compétence et de suspendre une action en application de la doctrine du </w:t>
      </w:r>
      <w:r w:rsidR="006B1D99" w:rsidRPr="00794EF8">
        <w:rPr>
          <w:i/>
        </w:rPr>
        <w:t xml:space="preserve">forum non </w:t>
      </w:r>
      <w:proofErr w:type="spellStart"/>
      <w:r w:rsidR="006B1D99" w:rsidRPr="00794EF8">
        <w:rPr>
          <w:i/>
        </w:rPr>
        <w:t>conveniens</w:t>
      </w:r>
      <w:proofErr w:type="spellEnd"/>
      <w:r w:rsidR="006B1D99" w:rsidRPr="00794EF8">
        <w:t xml:space="preserve"> est une décision discrétionnaire, et en l’absence d’une erreur de droit ou d’une erreur manifeste et grave dans l’établissement des faits pertinents, les juridictions supérieures feront preuve de déférence à l’égard de l’exercice du pouvoir discrétionnaire du juge</w:t>
      </w:r>
      <w:r w:rsidRPr="00794EF8">
        <w:t>.</w:t>
      </w:r>
    </w:p>
    <w:p w:rsidR="003E2E0C" w:rsidRPr="00794EF8" w:rsidRDefault="003E2E0C" w:rsidP="003E2E0C">
      <w:pPr>
        <w:pStyle w:val="SCCNormalDoubleSpacing"/>
        <w:spacing w:after="480"/>
      </w:pPr>
      <w:r w:rsidRPr="00794EF8">
        <w:tab/>
      </w:r>
      <w:r w:rsidR="00564046" w:rsidRPr="00794EF8">
        <w:t xml:space="preserve">En appliquant l’analyse relative au </w:t>
      </w:r>
      <w:r w:rsidR="00564046" w:rsidRPr="00794EF8">
        <w:rPr>
          <w:i/>
        </w:rPr>
        <w:t xml:space="preserve">forum non </w:t>
      </w:r>
      <w:proofErr w:type="spellStart"/>
      <w:r w:rsidR="00564046" w:rsidRPr="00794EF8">
        <w:rPr>
          <w:i/>
        </w:rPr>
        <w:t>conveniens</w:t>
      </w:r>
      <w:proofErr w:type="spellEnd"/>
      <w:r w:rsidR="00564046" w:rsidRPr="00794EF8">
        <w:rPr>
          <w:i/>
        </w:rPr>
        <w:t xml:space="preserve"> </w:t>
      </w:r>
      <w:r w:rsidR="00564046" w:rsidRPr="00794EF8">
        <w:t xml:space="preserve">aux circonstances du présent pourvoi, il ressort à l’évidence que </w:t>
      </w:r>
      <w:r w:rsidR="008F4A9E" w:rsidRPr="00794EF8">
        <w:t xml:space="preserve">les tribunaux de </w:t>
      </w:r>
      <w:r w:rsidR="00564046" w:rsidRPr="00794EF8">
        <w:t xml:space="preserve">l’Illinois et </w:t>
      </w:r>
      <w:r w:rsidR="008F4A9E" w:rsidRPr="00794EF8">
        <w:t xml:space="preserve">de </w:t>
      </w:r>
      <w:r w:rsidR="00564046" w:rsidRPr="00794EF8">
        <w:t>l’Ontario constituent tous deux des ressorts appropriés pour l’instruction des actions en diffamation.  Les facteurs du coût et de la commodité pour les parties à l’instance et leurs témoins, du lieu de résidence des parties, de l’opportunité d’éviter la multiplicité des recours et les décisions contradictoires</w:t>
      </w:r>
      <w:r w:rsidR="008F4A9E" w:rsidRPr="00794EF8">
        <w:t>,</w:t>
      </w:r>
      <w:r w:rsidR="00564046" w:rsidRPr="00794EF8">
        <w:t xml:space="preserve"> et de l’exécution du jugement</w:t>
      </w:r>
      <w:r w:rsidR="008F4A9E" w:rsidRPr="00794EF8">
        <w:t>,</w:t>
      </w:r>
      <w:r w:rsidR="00564046" w:rsidRPr="00794EF8">
        <w:t xml:space="preserve"> favorisent le tribunal de l’Illinois comme étant </w:t>
      </w:r>
      <w:r w:rsidR="008F4A9E" w:rsidRPr="00794EF8">
        <w:t>un</w:t>
      </w:r>
      <w:r w:rsidR="00564046" w:rsidRPr="00794EF8">
        <w:t xml:space="preserve"> res</w:t>
      </w:r>
      <w:r w:rsidR="00572706" w:rsidRPr="00794EF8">
        <w:t>s</w:t>
      </w:r>
      <w:r w:rsidR="00564046" w:rsidRPr="00794EF8">
        <w:t>ort plus approprié, alors que les facteurs de la loi applicable et de l’équité envers les parties favorisent la tenue du procès en Ontario</w:t>
      </w:r>
      <w:r w:rsidRPr="00794EF8">
        <w:t xml:space="preserve">. </w:t>
      </w:r>
      <w:r w:rsidR="00564046" w:rsidRPr="00794EF8">
        <w:t xml:space="preserve"> En définitive, toutefois, compte tenu de l’effet combiné des faits de l’espèce — et en particulier du poids de l’atteinte que subirait la réputation </w:t>
      </w:r>
      <w:r w:rsidR="006B1FB0" w:rsidRPr="00794EF8">
        <w:t xml:space="preserve">de </w:t>
      </w:r>
      <w:r w:rsidR="00564046" w:rsidRPr="00794EF8">
        <w:t>B en Ontario</w:t>
      </w:r>
      <w:r w:rsidR="00425EDE" w:rsidRPr="00794EF8">
        <w:t xml:space="preserve"> </w:t>
      </w:r>
      <w:r w:rsidR="00564046" w:rsidRPr="00794EF8">
        <w:t xml:space="preserve">—, et en faisant preuve de la déférence qui s’impose à l’égard de la décision du juge </w:t>
      </w:r>
      <w:r w:rsidR="008F4A9E" w:rsidRPr="00794EF8">
        <w:t xml:space="preserve">saisi </w:t>
      </w:r>
      <w:r w:rsidR="00564046" w:rsidRPr="00794EF8">
        <w:t>de la</w:t>
      </w:r>
      <w:r w:rsidR="008F4A9E" w:rsidRPr="00794EF8">
        <w:t xml:space="preserve"> motion</w:t>
      </w:r>
      <w:r w:rsidR="00564046" w:rsidRPr="00794EF8">
        <w:t xml:space="preserve">, </w:t>
      </w:r>
      <w:r w:rsidR="008F4A9E" w:rsidRPr="00794EF8">
        <w:t>le</w:t>
      </w:r>
      <w:r w:rsidR="00564046" w:rsidRPr="00794EF8">
        <w:t xml:space="preserve"> tribunal de l’Illinois n’apparaît pas comme un ressort nettement plus approprié qu’un tribunal de l’Ontario pour l’instruction des actions en diffamation</w:t>
      </w:r>
      <w:r w:rsidRPr="00794EF8">
        <w:t>.</w:t>
      </w:r>
    </w:p>
    <w:p w:rsidR="007E1C47" w:rsidRPr="00794EF8" w:rsidRDefault="0043088E" w:rsidP="00BD6B93">
      <w:pPr>
        <w:pStyle w:val="SCCNormalDoubleSpacing"/>
        <w:keepNext/>
        <w:spacing w:after="720" w:line="240" w:lineRule="auto"/>
        <w:rPr>
          <w:b/>
        </w:rPr>
      </w:pPr>
      <w:r w:rsidRPr="00794EF8">
        <w:rPr>
          <w:b/>
        </w:rPr>
        <w:lastRenderedPageBreak/>
        <w:t>Jurisprudence</w:t>
      </w:r>
    </w:p>
    <w:p w:rsidR="002E6705" w:rsidRPr="00794EF8" w:rsidRDefault="002E6705" w:rsidP="0072405A">
      <w:pPr>
        <w:pStyle w:val="SCCNormalDoubleSpacing"/>
        <w:widowControl w:val="0"/>
        <w:spacing w:after="480"/>
        <w:rPr>
          <w:b/>
        </w:rPr>
      </w:pPr>
      <w:r w:rsidRPr="00794EF8">
        <w:tab/>
      </w:r>
      <w:r w:rsidR="007D18D7" w:rsidRPr="00794EF8">
        <w:rPr>
          <w:b/>
        </w:rPr>
        <w:t xml:space="preserve">Arrêt appliqué : </w:t>
      </w:r>
      <w:r w:rsidR="00150ACD" w:rsidRPr="00794EF8">
        <w:rPr>
          <w:i/>
        </w:rPr>
        <w:t xml:space="preserve">Club </w:t>
      </w:r>
      <w:proofErr w:type="spellStart"/>
      <w:r w:rsidR="00150ACD" w:rsidRPr="00794EF8">
        <w:rPr>
          <w:i/>
        </w:rPr>
        <w:t>Resorts</w:t>
      </w:r>
      <w:proofErr w:type="spellEnd"/>
      <w:r w:rsidR="00150ACD" w:rsidRPr="00794EF8">
        <w:rPr>
          <w:i/>
        </w:rPr>
        <w:t xml:space="preserve"> Ltd. c. Van Breda</w:t>
      </w:r>
      <w:r w:rsidR="00150ACD" w:rsidRPr="00794EF8">
        <w:t>, 201</w:t>
      </w:r>
      <w:r w:rsidR="001A5CBE" w:rsidRPr="00794EF8">
        <w:t>2</w:t>
      </w:r>
      <w:r w:rsidR="00150ACD" w:rsidRPr="00794EF8">
        <w:t xml:space="preserve"> CSC </w:t>
      </w:r>
      <w:r w:rsidR="007D18D7" w:rsidRPr="00794EF8">
        <w:t>17</w:t>
      </w:r>
      <w:r w:rsidR="00425EDE" w:rsidRPr="00794EF8">
        <w:t xml:space="preserve">, [2012] 1 R.C.S. </w:t>
      </w:r>
      <w:r w:rsidR="00A2491D">
        <w:t>572</w:t>
      </w:r>
      <w:r w:rsidR="001A20FD" w:rsidRPr="00794EF8">
        <w:t xml:space="preserve">; </w:t>
      </w:r>
      <w:r w:rsidR="00072DFB" w:rsidRPr="00794EF8">
        <w:rPr>
          <w:b/>
        </w:rPr>
        <w:t>a</w:t>
      </w:r>
      <w:r w:rsidR="008F4A9E" w:rsidRPr="00794EF8">
        <w:rPr>
          <w:b/>
        </w:rPr>
        <w:t>rrêts mentionnés :</w:t>
      </w:r>
      <w:r w:rsidR="008F4A9E" w:rsidRPr="00794EF8">
        <w:t xml:space="preserve"> </w:t>
      </w:r>
      <w:r w:rsidR="00C203CC" w:rsidRPr="00794EF8">
        <w:rPr>
          <w:i/>
        </w:rPr>
        <w:t xml:space="preserve">Charron </w:t>
      </w:r>
      <w:proofErr w:type="spellStart"/>
      <w:r w:rsidR="00C203CC" w:rsidRPr="00794EF8">
        <w:rPr>
          <w:i/>
        </w:rPr>
        <w:t>Estate</w:t>
      </w:r>
      <w:proofErr w:type="spellEnd"/>
      <w:r w:rsidR="001A20FD" w:rsidRPr="00794EF8">
        <w:rPr>
          <w:i/>
        </w:rPr>
        <w:t xml:space="preserve"> c. Village </w:t>
      </w:r>
      <w:proofErr w:type="spellStart"/>
      <w:r w:rsidR="001A20FD" w:rsidRPr="00794EF8">
        <w:rPr>
          <w:i/>
        </w:rPr>
        <w:t>Resorts</w:t>
      </w:r>
      <w:proofErr w:type="spellEnd"/>
      <w:r w:rsidR="001A20FD" w:rsidRPr="00794EF8">
        <w:rPr>
          <w:i/>
        </w:rPr>
        <w:t xml:space="preserve"> Ltd.</w:t>
      </w:r>
      <w:r w:rsidR="001A20FD" w:rsidRPr="00794EF8">
        <w:t>, 2010 ONCA 84</w:t>
      </w:r>
      <w:r w:rsidR="00815382" w:rsidRPr="00794EF8">
        <w:t>, 98 O.R. (3d) 721</w:t>
      </w:r>
      <w:r w:rsidR="001A20FD" w:rsidRPr="00794EF8">
        <w:t xml:space="preserve">; </w:t>
      </w:r>
      <w:proofErr w:type="spellStart"/>
      <w:r w:rsidR="001A20FD" w:rsidRPr="00794EF8">
        <w:rPr>
          <w:i/>
        </w:rPr>
        <w:t>Muscutt</w:t>
      </w:r>
      <w:proofErr w:type="spellEnd"/>
      <w:r w:rsidR="001A20FD" w:rsidRPr="00794EF8">
        <w:rPr>
          <w:i/>
        </w:rPr>
        <w:t xml:space="preserve"> c. Courcelles</w:t>
      </w:r>
      <w:r w:rsidR="001A20FD" w:rsidRPr="00794EF8">
        <w:t xml:space="preserve"> (2002)</w:t>
      </w:r>
      <w:r w:rsidR="00072DFB" w:rsidRPr="00794EF8">
        <w:t>,</w:t>
      </w:r>
      <w:r w:rsidR="001A20FD" w:rsidRPr="00794EF8">
        <w:t xml:space="preserve"> 60 O.R. (3d) 20</w:t>
      </w:r>
      <w:r w:rsidR="00E463E0" w:rsidRPr="00794EF8">
        <w:t xml:space="preserve">; </w:t>
      </w:r>
      <w:r w:rsidR="00E463E0" w:rsidRPr="00794EF8">
        <w:rPr>
          <w:i/>
        </w:rPr>
        <w:t xml:space="preserve">Teck </w:t>
      </w:r>
      <w:proofErr w:type="spellStart"/>
      <w:r w:rsidR="00E463E0" w:rsidRPr="00794EF8">
        <w:rPr>
          <w:i/>
        </w:rPr>
        <w:t>Cominco</w:t>
      </w:r>
      <w:proofErr w:type="spellEnd"/>
      <w:r w:rsidR="00E463E0" w:rsidRPr="00794EF8">
        <w:rPr>
          <w:i/>
        </w:rPr>
        <w:t xml:space="preserve"> </w:t>
      </w:r>
      <w:proofErr w:type="spellStart"/>
      <w:r w:rsidR="00E463E0" w:rsidRPr="00794EF8">
        <w:rPr>
          <w:i/>
        </w:rPr>
        <w:t>Metals</w:t>
      </w:r>
      <w:proofErr w:type="spellEnd"/>
      <w:r w:rsidR="00E463E0" w:rsidRPr="00794EF8">
        <w:rPr>
          <w:i/>
        </w:rPr>
        <w:t xml:space="preserve"> Ltd. c. Lloyd’s </w:t>
      </w:r>
      <w:proofErr w:type="spellStart"/>
      <w:r w:rsidR="00E463E0" w:rsidRPr="00794EF8">
        <w:rPr>
          <w:i/>
        </w:rPr>
        <w:t>Underwriters</w:t>
      </w:r>
      <w:proofErr w:type="spellEnd"/>
      <w:r w:rsidR="00E463E0" w:rsidRPr="00794EF8">
        <w:t>, 2009 CSC 11, [2009] 1 R.C.S. 321</w:t>
      </w:r>
      <w:r w:rsidR="009F53A6" w:rsidRPr="00794EF8">
        <w:t xml:space="preserve">; </w:t>
      </w:r>
      <w:r w:rsidR="00072DFB" w:rsidRPr="00794EF8">
        <w:rPr>
          <w:i/>
        </w:rPr>
        <w:t>Oppenheim f</w:t>
      </w:r>
      <w:r w:rsidR="009F53A6" w:rsidRPr="00794EF8">
        <w:rPr>
          <w:i/>
        </w:rPr>
        <w:t xml:space="preserve">orfait GMBH c. Lexus </w:t>
      </w:r>
      <w:r w:rsidR="00072DFB" w:rsidRPr="00794EF8">
        <w:rPr>
          <w:i/>
        </w:rPr>
        <w:t>m</w:t>
      </w:r>
      <w:r w:rsidR="009F53A6" w:rsidRPr="00794EF8">
        <w:rPr>
          <w:i/>
        </w:rPr>
        <w:t xml:space="preserve">aritime </w:t>
      </w:r>
      <w:proofErr w:type="spellStart"/>
      <w:r w:rsidR="00072DFB" w:rsidRPr="00794EF8">
        <w:rPr>
          <w:i/>
        </w:rPr>
        <w:t>i</w:t>
      </w:r>
      <w:r w:rsidR="009F53A6" w:rsidRPr="00794EF8">
        <w:rPr>
          <w:i/>
        </w:rPr>
        <w:t>nc</w:t>
      </w:r>
      <w:proofErr w:type="spellEnd"/>
      <w:r w:rsidR="009F53A6" w:rsidRPr="00794EF8">
        <w:rPr>
          <w:i/>
        </w:rPr>
        <w:t>.</w:t>
      </w:r>
      <w:r w:rsidR="009F53A6" w:rsidRPr="00794EF8">
        <w:t xml:space="preserve">, 1998 </w:t>
      </w:r>
      <w:proofErr w:type="spellStart"/>
      <w:r w:rsidR="009F53A6" w:rsidRPr="00794EF8">
        <w:t>CanLII</w:t>
      </w:r>
      <w:proofErr w:type="spellEnd"/>
      <w:r w:rsidR="009F53A6" w:rsidRPr="00794EF8">
        <w:t xml:space="preserve"> 13001</w:t>
      </w:r>
      <w:r w:rsidR="00FB005B" w:rsidRPr="00794EF8">
        <w:rPr>
          <w:szCs w:val="24"/>
        </w:rPr>
        <w:t xml:space="preserve">; </w:t>
      </w:r>
      <w:proofErr w:type="spellStart"/>
      <w:r w:rsidR="00FB005B" w:rsidRPr="00794EF8">
        <w:rPr>
          <w:i/>
          <w:szCs w:val="24"/>
        </w:rPr>
        <w:t>Amchem</w:t>
      </w:r>
      <w:proofErr w:type="spellEnd"/>
      <w:r w:rsidR="00FB005B" w:rsidRPr="00794EF8">
        <w:rPr>
          <w:i/>
          <w:szCs w:val="24"/>
        </w:rPr>
        <w:t xml:space="preserve"> </w:t>
      </w:r>
      <w:proofErr w:type="spellStart"/>
      <w:r w:rsidR="00FB005B" w:rsidRPr="00794EF8">
        <w:rPr>
          <w:i/>
          <w:szCs w:val="24"/>
        </w:rPr>
        <w:t>Products</w:t>
      </w:r>
      <w:proofErr w:type="spellEnd"/>
      <w:r w:rsidR="00FB005B" w:rsidRPr="00794EF8">
        <w:rPr>
          <w:i/>
          <w:szCs w:val="24"/>
        </w:rPr>
        <w:t xml:space="preserve"> Inc. c. </w:t>
      </w:r>
      <w:proofErr w:type="spellStart"/>
      <w:r w:rsidR="00FB005B" w:rsidRPr="00794EF8">
        <w:rPr>
          <w:i/>
          <w:szCs w:val="24"/>
        </w:rPr>
        <w:t>Colombie</w:t>
      </w:r>
      <w:r w:rsidR="00863E41" w:rsidRPr="00794EF8">
        <w:rPr>
          <w:i/>
          <w:szCs w:val="24"/>
        </w:rPr>
        <w:noBreakHyphen/>
      </w:r>
      <w:r w:rsidR="00FB005B" w:rsidRPr="00794EF8">
        <w:rPr>
          <w:i/>
          <w:szCs w:val="24"/>
        </w:rPr>
        <w:t>Britannique</w:t>
      </w:r>
      <w:proofErr w:type="spellEnd"/>
      <w:r w:rsidR="00FB005B" w:rsidRPr="00794EF8">
        <w:rPr>
          <w:i/>
          <w:szCs w:val="24"/>
        </w:rPr>
        <w:t xml:space="preserve"> (</w:t>
      </w:r>
      <w:proofErr w:type="spellStart"/>
      <w:r w:rsidR="00FB005B" w:rsidRPr="00794EF8">
        <w:rPr>
          <w:i/>
          <w:szCs w:val="24"/>
        </w:rPr>
        <w:t>Workers</w:t>
      </w:r>
      <w:proofErr w:type="spellEnd"/>
      <w:r w:rsidR="00FB005B" w:rsidRPr="00794EF8">
        <w:rPr>
          <w:i/>
          <w:szCs w:val="24"/>
        </w:rPr>
        <w:t xml:space="preserve">’ Compensation </w:t>
      </w:r>
      <w:proofErr w:type="spellStart"/>
      <w:r w:rsidR="00FB005B" w:rsidRPr="00794EF8">
        <w:rPr>
          <w:i/>
          <w:szCs w:val="24"/>
        </w:rPr>
        <w:t>Board</w:t>
      </w:r>
      <w:proofErr w:type="spellEnd"/>
      <w:r w:rsidR="00FB005B" w:rsidRPr="00794EF8">
        <w:rPr>
          <w:i/>
          <w:szCs w:val="24"/>
        </w:rPr>
        <w:t>)</w:t>
      </w:r>
      <w:r w:rsidR="00FB005B" w:rsidRPr="00794EF8">
        <w:rPr>
          <w:szCs w:val="24"/>
        </w:rPr>
        <w:t>, [1993] 1 R.C.S. 897</w:t>
      </w:r>
      <w:r w:rsidR="00AC1344" w:rsidRPr="00794EF8">
        <w:rPr>
          <w:szCs w:val="24"/>
        </w:rPr>
        <w:t>;</w:t>
      </w:r>
      <w:r w:rsidR="005F0D33" w:rsidRPr="00794EF8">
        <w:rPr>
          <w:szCs w:val="24"/>
        </w:rPr>
        <w:t xml:space="preserve"> </w:t>
      </w:r>
      <w:r w:rsidR="005F0D33" w:rsidRPr="00794EF8">
        <w:rPr>
          <w:i/>
        </w:rPr>
        <w:t xml:space="preserve">Éditions </w:t>
      </w:r>
      <w:proofErr w:type="spellStart"/>
      <w:r w:rsidR="005F0D33" w:rsidRPr="00794EF8">
        <w:rPr>
          <w:i/>
        </w:rPr>
        <w:t>Écosociété</w:t>
      </w:r>
      <w:proofErr w:type="spellEnd"/>
      <w:r w:rsidR="005F0D33" w:rsidRPr="00794EF8">
        <w:rPr>
          <w:i/>
        </w:rPr>
        <w:t xml:space="preserve"> Inc. c. </w:t>
      </w:r>
      <w:proofErr w:type="spellStart"/>
      <w:r w:rsidR="005F0D33" w:rsidRPr="00794EF8">
        <w:rPr>
          <w:i/>
        </w:rPr>
        <w:t>Banro</w:t>
      </w:r>
      <w:proofErr w:type="spellEnd"/>
      <w:r w:rsidR="005F0D33" w:rsidRPr="00794EF8">
        <w:rPr>
          <w:i/>
        </w:rPr>
        <w:t xml:space="preserve"> Corp.</w:t>
      </w:r>
      <w:r w:rsidR="005F0D33" w:rsidRPr="00794EF8">
        <w:t xml:space="preserve">, 2012 CSC </w:t>
      </w:r>
      <w:r w:rsidR="00B00FA1" w:rsidRPr="00794EF8">
        <w:t>18</w:t>
      </w:r>
      <w:r w:rsidR="00425EDE" w:rsidRPr="00794EF8">
        <w:t xml:space="preserve">, [2012] 1 R.C.S. </w:t>
      </w:r>
      <w:r w:rsidR="00A2491D">
        <w:t>63</w:t>
      </w:r>
      <w:r w:rsidR="004854A3">
        <w:t>6</w:t>
      </w:r>
      <w:r w:rsidR="005F0D33" w:rsidRPr="00794EF8">
        <w:t>;</w:t>
      </w:r>
      <w:r w:rsidR="00AC1344" w:rsidRPr="00794EF8">
        <w:rPr>
          <w:szCs w:val="24"/>
        </w:rPr>
        <w:t xml:space="preserve"> </w:t>
      </w:r>
      <w:r w:rsidR="00AC1344" w:rsidRPr="00794EF8">
        <w:rPr>
          <w:i/>
        </w:rPr>
        <w:t xml:space="preserve">Hill c. </w:t>
      </w:r>
      <w:r w:rsidR="0038769C" w:rsidRPr="00794EF8">
        <w:rPr>
          <w:i/>
        </w:rPr>
        <w:t xml:space="preserve">Église de scientologie de </w:t>
      </w:r>
      <w:r w:rsidR="00AC1344" w:rsidRPr="00794EF8">
        <w:rPr>
          <w:i/>
        </w:rPr>
        <w:t>Toronto</w:t>
      </w:r>
      <w:r w:rsidR="00AC1344" w:rsidRPr="00794EF8">
        <w:t xml:space="preserve">, [1995] 2 </w:t>
      </w:r>
      <w:r w:rsidR="0038769C" w:rsidRPr="00794EF8">
        <w:t>R.C.</w:t>
      </w:r>
      <w:r w:rsidR="00AC1344" w:rsidRPr="00794EF8">
        <w:t>S. 1130</w:t>
      </w:r>
      <w:r w:rsidR="001A20FD" w:rsidRPr="00794EF8">
        <w:t>.</w:t>
      </w:r>
    </w:p>
    <w:p w:rsidR="00231F3A" w:rsidRPr="00794EF8" w:rsidRDefault="0043088E" w:rsidP="00BD6B93">
      <w:pPr>
        <w:pStyle w:val="SCCNormalDoubleSpacing"/>
        <w:keepNext/>
        <w:spacing w:after="720" w:line="240" w:lineRule="auto"/>
        <w:rPr>
          <w:b/>
        </w:rPr>
      </w:pPr>
      <w:r w:rsidRPr="00794EF8">
        <w:rPr>
          <w:b/>
        </w:rPr>
        <w:t>Lois</w:t>
      </w:r>
      <w:r w:rsidR="002E6705" w:rsidRPr="00794EF8">
        <w:rPr>
          <w:b/>
        </w:rPr>
        <w:t xml:space="preserve"> </w:t>
      </w:r>
      <w:r w:rsidR="008A6558" w:rsidRPr="00794EF8">
        <w:rPr>
          <w:b/>
        </w:rPr>
        <w:t>et</w:t>
      </w:r>
      <w:r w:rsidR="002E6705" w:rsidRPr="00794EF8">
        <w:rPr>
          <w:b/>
        </w:rPr>
        <w:t xml:space="preserve"> </w:t>
      </w:r>
      <w:r w:rsidRPr="00794EF8">
        <w:rPr>
          <w:b/>
        </w:rPr>
        <w:t>rè</w:t>
      </w:r>
      <w:r w:rsidR="002E6705" w:rsidRPr="00794EF8">
        <w:rPr>
          <w:b/>
        </w:rPr>
        <w:t>gl</w:t>
      </w:r>
      <w:r w:rsidRPr="00794EF8">
        <w:rPr>
          <w:b/>
        </w:rPr>
        <w:t>ements</w:t>
      </w:r>
      <w:r w:rsidR="002E6705" w:rsidRPr="00794EF8">
        <w:rPr>
          <w:b/>
        </w:rPr>
        <w:t xml:space="preserve"> </w:t>
      </w:r>
      <w:r w:rsidRPr="00794EF8">
        <w:rPr>
          <w:b/>
        </w:rPr>
        <w:t>c</w:t>
      </w:r>
      <w:r w:rsidR="002E6705" w:rsidRPr="00794EF8">
        <w:rPr>
          <w:b/>
        </w:rPr>
        <w:t>it</w:t>
      </w:r>
      <w:r w:rsidRPr="00794EF8">
        <w:rPr>
          <w:b/>
        </w:rPr>
        <w:t>és</w:t>
      </w:r>
    </w:p>
    <w:p w:rsidR="009F3CAB" w:rsidRPr="00794EF8" w:rsidRDefault="00711B64" w:rsidP="00122831">
      <w:pPr>
        <w:pStyle w:val="SCCNormalDoubleSpacing"/>
        <w:spacing w:after="240" w:line="240" w:lineRule="auto"/>
        <w:ind w:left="540" w:hanging="540"/>
      </w:pPr>
      <w:r w:rsidRPr="00794EF8">
        <w:rPr>
          <w:i/>
        </w:rPr>
        <w:t>Code civil du Québec</w:t>
      </w:r>
      <w:r w:rsidR="009628C9" w:rsidRPr="00794EF8">
        <w:t xml:space="preserve">, L.Q. 1991, </w:t>
      </w:r>
      <w:r w:rsidR="00863E41" w:rsidRPr="00794EF8">
        <w:t>ch. </w:t>
      </w:r>
      <w:r w:rsidR="009628C9" w:rsidRPr="00794EF8">
        <w:t xml:space="preserve">64, </w:t>
      </w:r>
      <w:r w:rsidR="00863E41" w:rsidRPr="00794EF8">
        <w:t>art. </w:t>
      </w:r>
      <w:r w:rsidR="009628C9" w:rsidRPr="00794EF8">
        <w:t>3135</w:t>
      </w:r>
      <w:r w:rsidRPr="00794EF8">
        <w:t>.</w:t>
      </w:r>
    </w:p>
    <w:p w:rsidR="00F83FC4" w:rsidRPr="00794EF8" w:rsidRDefault="00F83FC4" w:rsidP="00122831">
      <w:pPr>
        <w:pStyle w:val="SCCNormalDoubleSpacing"/>
        <w:spacing w:after="240" w:line="240" w:lineRule="auto"/>
        <w:ind w:left="539" w:hanging="539"/>
        <w:rPr>
          <w:lang w:val="en-US"/>
        </w:rPr>
      </w:pPr>
      <w:proofErr w:type="gramStart"/>
      <w:r w:rsidRPr="00794EF8">
        <w:rPr>
          <w:i/>
          <w:lang w:val="en-US"/>
        </w:rPr>
        <w:t>Court Jurisdiction and Proceedings Transfer Act</w:t>
      </w:r>
      <w:r w:rsidRPr="00794EF8">
        <w:rPr>
          <w:lang w:val="en-US"/>
        </w:rPr>
        <w:t xml:space="preserve">, S.B.C. 2003, </w:t>
      </w:r>
      <w:proofErr w:type="spellStart"/>
      <w:r w:rsidR="00863E41" w:rsidRPr="00794EF8">
        <w:rPr>
          <w:lang w:val="en-US"/>
        </w:rPr>
        <w:t>ch</w:t>
      </w:r>
      <w:proofErr w:type="spellEnd"/>
      <w:r w:rsidR="00863E41" w:rsidRPr="00794EF8">
        <w:rPr>
          <w:lang w:val="en-US"/>
        </w:rPr>
        <w:t>. </w:t>
      </w:r>
      <w:r w:rsidRPr="00794EF8">
        <w:rPr>
          <w:lang w:val="en-US"/>
        </w:rPr>
        <w:t>28</w:t>
      </w:r>
      <w:r w:rsidR="008C1C5F" w:rsidRPr="00794EF8">
        <w:rPr>
          <w:lang w:val="en-US"/>
        </w:rPr>
        <w:t>, art.</w:t>
      </w:r>
      <w:proofErr w:type="gramEnd"/>
      <w:r w:rsidR="008C1C5F" w:rsidRPr="00794EF8">
        <w:rPr>
          <w:lang w:val="en-US"/>
        </w:rPr>
        <w:t xml:space="preserve"> </w:t>
      </w:r>
      <w:proofErr w:type="gramStart"/>
      <w:r w:rsidR="008C1C5F" w:rsidRPr="00794EF8">
        <w:rPr>
          <w:lang w:val="en-US"/>
        </w:rPr>
        <w:t>11</w:t>
      </w:r>
      <w:r w:rsidR="00072DFB" w:rsidRPr="00794EF8">
        <w:rPr>
          <w:lang w:val="en-US"/>
        </w:rPr>
        <w:t>(2)</w:t>
      </w:r>
      <w:r w:rsidRPr="00794EF8">
        <w:rPr>
          <w:lang w:val="en-US"/>
        </w:rPr>
        <w:t>.</w:t>
      </w:r>
      <w:proofErr w:type="gramEnd"/>
    </w:p>
    <w:p w:rsidR="00425EDE" w:rsidRPr="00794EF8" w:rsidRDefault="00425EDE" w:rsidP="00122831">
      <w:pPr>
        <w:pStyle w:val="SCCNormalDoubleSpacing"/>
        <w:spacing w:after="240" w:line="240" w:lineRule="auto"/>
        <w:ind w:left="539" w:hanging="539"/>
        <w:rPr>
          <w:lang w:val="en-US"/>
        </w:rPr>
      </w:pPr>
      <w:proofErr w:type="gramStart"/>
      <w:r w:rsidRPr="00794EF8">
        <w:rPr>
          <w:i/>
          <w:lang w:val="en-US"/>
        </w:rPr>
        <w:t>Federal Rules of Civil Procedure</w:t>
      </w:r>
      <w:r w:rsidRPr="00794EF8">
        <w:rPr>
          <w:lang w:val="en-US"/>
        </w:rPr>
        <w:t>, 28 U.S.C. app., r. 45.</w:t>
      </w:r>
      <w:proofErr w:type="gramEnd"/>
    </w:p>
    <w:p w:rsidR="009F3CAB" w:rsidRPr="00794EF8" w:rsidRDefault="009F3CAB" w:rsidP="00425EDE">
      <w:pPr>
        <w:pStyle w:val="SCCNormalDoubleSpacing"/>
        <w:spacing w:after="480"/>
        <w:ind w:left="547" w:hanging="547"/>
      </w:pPr>
      <w:r w:rsidRPr="00794EF8">
        <w:rPr>
          <w:i/>
        </w:rPr>
        <w:t>Règles de procédure civile</w:t>
      </w:r>
      <w:r w:rsidR="007E5769" w:rsidRPr="00794EF8">
        <w:t xml:space="preserve">, R.R.O. 1990, </w:t>
      </w:r>
      <w:proofErr w:type="spellStart"/>
      <w:r w:rsidR="007E5769" w:rsidRPr="00794EF8">
        <w:t>R</w:t>
      </w:r>
      <w:r w:rsidR="00863E41" w:rsidRPr="00794EF8">
        <w:t>èg</w:t>
      </w:r>
      <w:r w:rsidR="00425EDE" w:rsidRPr="00794EF8">
        <w:t>l</w:t>
      </w:r>
      <w:proofErr w:type="spellEnd"/>
      <w:r w:rsidR="00425EDE" w:rsidRPr="00794EF8">
        <w:t>. 194, règle</w:t>
      </w:r>
      <w:r w:rsidR="00863E41" w:rsidRPr="00794EF8">
        <w:t> </w:t>
      </w:r>
      <w:r w:rsidRPr="00794EF8">
        <w:t>17.02</w:t>
      </w:r>
      <w:r w:rsidR="00072DFB" w:rsidRPr="00794EF8">
        <w:t>g)</w:t>
      </w:r>
      <w:r w:rsidRPr="00794EF8">
        <w:t>.</w:t>
      </w:r>
    </w:p>
    <w:p w:rsidR="002E6705" w:rsidRPr="00794EF8" w:rsidRDefault="0043088E" w:rsidP="00BD6B93">
      <w:pPr>
        <w:pStyle w:val="SCCNormalDoubleSpacing"/>
        <w:keepNext/>
        <w:spacing w:after="720" w:line="240" w:lineRule="auto"/>
        <w:rPr>
          <w:b/>
        </w:rPr>
      </w:pPr>
      <w:r w:rsidRPr="00794EF8">
        <w:rPr>
          <w:b/>
        </w:rPr>
        <w:t>Doctrine</w:t>
      </w:r>
      <w:r w:rsidR="002E6705" w:rsidRPr="00794EF8">
        <w:rPr>
          <w:b/>
        </w:rPr>
        <w:t xml:space="preserve"> </w:t>
      </w:r>
      <w:r w:rsidR="00115544" w:rsidRPr="00794EF8">
        <w:rPr>
          <w:b/>
        </w:rPr>
        <w:t>et autres documents cités</w:t>
      </w:r>
    </w:p>
    <w:p w:rsidR="001B3701" w:rsidRPr="00794EF8" w:rsidRDefault="00863E41" w:rsidP="00AD6D15">
      <w:pPr>
        <w:pStyle w:val="SCCNormalDoubleSpacing"/>
        <w:spacing w:after="240" w:line="240" w:lineRule="auto"/>
        <w:ind w:left="539" w:hanging="539"/>
      </w:pPr>
      <w:r w:rsidRPr="00794EF8">
        <w:rPr>
          <w:lang w:val="en-US"/>
        </w:rPr>
        <w:t>Brown, Raymond </w:t>
      </w:r>
      <w:r w:rsidR="001B3701" w:rsidRPr="00794EF8">
        <w:rPr>
          <w:lang w:val="en-US"/>
        </w:rPr>
        <w:t xml:space="preserve">E.  </w:t>
      </w:r>
      <w:proofErr w:type="gramStart"/>
      <w:r w:rsidR="001B3701" w:rsidRPr="00794EF8">
        <w:rPr>
          <w:i/>
          <w:lang w:val="en-US"/>
        </w:rPr>
        <w:t>The Law of Defamation in Canad</w:t>
      </w:r>
      <w:r w:rsidR="008379D5" w:rsidRPr="00794EF8">
        <w:rPr>
          <w:i/>
          <w:lang w:val="en-US"/>
        </w:rPr>
        <w:t>a</w:t>
      </w:r>
      <w:r w:rsidR="008379D5" w:rsidRPr="00794EF8">
        <w:rPr>
          <w:lang w:val="en-US"/>
        </w:rPr>
        <w:t xml:space="preserve">, </w:t>
      </w:r>
      <w:r w:rsidRPr="00794EF8">
        <w:rPr>
          <w:lang w:val="en-US"/>
        </w:rPr>
        <w:t>vol. </w:t>
      </w:r>
      <w:r w:rsidR="008379D5" w:rsidRPr="00794EF8">
        <w:rPr>
          <w:lang w:val="en-US"/>
        </w:rPr>
        <w:t>1.</w:t>
      </w:r>
      <w:proofErr w:type="gramEnd"/>
      <w:r w:rsidR="008379D5" w:rsidRPr="00794EF8">
        <w:rPr>
          <w:lang w:val="en-US"/>
        </w:rPr>
        <w:t xml:space="preserve">  </w:t>
      </w:r>
      <w:r w:rsidR="001B3701" w:rsidRPr="00794EF8">
        <w:t>Toronto</w:t>
      </w:r>
      <w:r w:rsidRPr="00794EF8">
        <w:t> :</w:t>
      </w:r>
      <w:r w:rsidR="001B3701" w:rsidRPr="00794EF8">
        <w:t xml:space="preserve"> </w:t>
      </w:r>
      <w:proofErr w:type="spellStart"/>
      <w:r w:rsidR="001B3701" w:rsidRPr="00794EF8">
        <w:t>Carswell</w:t>
      </w:r>
      <w:proofErr w:type="spellEnd"/>
      <w:r w:rsidR="001B3701" w:rsidRPr="00794EF8">
        <w:t>, 1987.</w:t>
      </w:r>
    </w:p>
    <w:p w:rsidR="0044272A" w:rsidRPr="00794EF8" w:rsidRDefault="00EB494C" w:rsidP="0091696F">
      <w:pPr>
        <w:pStyle w:val="SCCNormalDoubleSpacing"/>
        <w:spacing w:after="720" w:line="240" w:lineRule="auto"/>
        <w:ind w:left="533" w:hanging="533"/>
      </w:pPr>
      <w:r w:rsidRPr="00794EF8">
        <w:t xml:space="preserve">Conférence pour l’harmonisation des lois au Canada.  </w:t>
      </w:r>
      <w:r w:rsidRPr="00794EF8">
        <w:rPr>
          <w:i/>
        </w:rPr>
        <w:t>Loi uniforme sur la compétence des tribunaux et le renvoi des instances</w:t>
      </w:r>
      <w:r w:rsidRPr="00794EF8">
        <w:t xml:space="preserve"> (en ligne</w:t>
      </w:r>
      <w:r w:rsidR="00863E41" w:rsidRPr="00794EF8">
        <w:t> :</w:t>
      </w:r>
      <w:r w:rsidRPr="00794EF8">
        <w:t xml:space="preserve"> </w:t>
      </w:r>
      <w:r w:rsidR="003F15B0" w:rsidRPr="00794EF8">
        <w:t>http://www.ulcc.ca/fr/us/Uniform_Court_Jurisdiction_+_Proceedings_Transfer_Act_Fr.pdf</w:t>
      </w:r>
      <w:r w:rsidR="00072DFB" w:rsidRPr="00794EF8">
        <w:t>)</w:t>
      </w:r>
      <w:r w:rsidR="0044272A" w:rsidRPr="00794EF8">
        <w:t>.</w:t>
      </w:r>
    </w:p>
    <w:p w:rsidR="001F1EDF" w:rsidRPr="00794EF8" w:rsidRDefault="009B57B3" w:rsidP="00356FB8">
      <w:pPr>
        <w:pStyle w:val="SCCNormalDoubleSpacing"/>
        <w:spacing w:after="480"/>
      </w:pPr>
      <w:r w:rsidRPr="00794EF8">
        <w:lastRenderedPageBreak/>
        <w:tab/>
        <w:t>P</w:t>
      </w:r>
      <w:r w:rsidR="0043088E" w:rsidRPr="00794EF8">
        <w:t>OURVOI contre un arrêt de la</w:t>
      </w:r>
      <w:r w:rsidRPr="00794EF8">
        <w:t xml:space="preserve"> Cour d’appel de l’Ontario</w:t>
      </w:r>
      <w:r w:rsidR="001F1EDF" w:rsidRPr="00794EF8">
        <w:t xml:space="preserve"> (les juges </w:t>
      </w:r>
      <w:r w:rsidR="00205CB3" w:rsidRPr="00794EF8">
        <w:rPr>
          <w:szCs w:val="24"/>
          <w:lang w:val="en-CA"/>
        </w:rPr>
        <w:fldChar w:fldCharType="begin"/>
      </w:r>
      <w:r w:rsidR="001F1EDF" w:rsidRPr="00794EF8">
        <w:rPr>
          <w:szCs w:val="24"/>
        </w:rPr>
        <w:instrText xml:space="preserve"> SEQ CHAPTER \h \r 1</w:instrText>
      </w:r>
      <w:r w:rsidR="00205CB3" w:rsidRPr="00794EF8">
        <w:rPr>
          <w:szCs w:val="24"/>
          <w:lang w:val="en-CA"/>
        </w:rPr>
        <w:fldChar w:fldCharType="end"/>
      </w:r>
      <w:r w:rsidR="001F1EDF" w:rsidRPr="00794EF8">
        <w:rPr>
          <w:szCs w:val="24"/>
        </w:rPr>
        <w:t xml:space="preserve">Doherty, </w:t>
      </w:r>
      <w:proofErr w:type="spellStart"/>
      <w:r w:rsidR="001F1EDF" w:rsidRPr="00794EF8">
        <w:rPr>
          <w:szCs w:val="24"/>
        </w:rPr>
        <w:t>Juriansz</w:t>
      </w:r>
      <w:proofErr w:type="spellEnd"/>
      <w:r w:rsidR="001F1EDF" w:rsidRPr="00794EF8">
        <w:rPr>
          <w:szCs w:val="24"/>
        </w:rPr>
        <w:t xml:space="preserve"> et </w:t>
      </w:r>
      <w:proofErr w:type="spellStart"/>
      <w:r w:rsidR="001F1EDF" w:rsidRPr="00794EF8">
        <w:rPr>
          <w:szCs w:val="24"/>
        </w:rPr>
        <w:t>Karakatsanis</w:t>
      </w:r>
      <w:proofErr w:type="spellEnd"/>
      <w:r w:rsidR="001F1EDF" w:rsidRPr="00794EF8">
        <w:rPr>
          <w:szCs w:val="24"/>
        </w:rPr>
        <w:t xml:space="preserve">), 2010 ONCA 547, 102 O.R. (3d) 748, 321 D.L.R. (4th) 659, 265 O.A.C. 177, 76 C.C.L.T. (3d) 52, 91 C.P.C. (6th) 94, [2010] O.J. </w:t>
      </w:r>
      <w:r w:rsidR="00863E41" w:rsidRPr="00794EF8">
        <w:rPr>
          <w:szCs w:val="24"/>
        </w:rPr>
        <w:t>No. </w:t>
      </w:r>
      <w:r w:rsidR="001F1EDF" w:rsidRPr="00794EF8">
        <w:rPr>
          <w:szCs w:val="24"/>
        </w:rPr>
        <w:t xml:space="preserve">3423 (QL), 2010 </w:t>
      </w:r>
      <w:proofErr w:type="spellStart"/>
      <w:r w:rsidR="001F1EDF" w:rsidRPr="00794EF8">
        <w:rPr>
          <w:szCs w:val="24"/>
        </w:rPr>
        <w:t>CarswellOnt</w:t>
      </w:r>
      <w:proofErr w:type="spellEnd"/>
      <w:r w:rsidR="001F1EDF" w:rsidRPr="00794EF8">
        <w:rPr>
          <w:szCs w:val="24"/>
        </w:rPr>
        <w:t xml:space="preserve"> 5877, qui a confirmé une décision du juge </w:t>
      </w:r>
      <w:proofErr w:type="spellStart"/>
      <w:r w:rsidR="001F1EDF" w:rsidRPr="00794EF8">
        <w:rPr>
          <w:szCs w:val="24"/>
        </w:rPr>
        <w:t>Belobaba</w:t>
      </w:r>
      <w:proofErr w:type="spellEnd"/>
      <w:r w:rsidR="00425EDE" w:rsidRPr="00794EF8">
        <w:rPr>
          <w:szCs w:val="24"/>
        </w:rPr>
        <w:t xml:space="preserve"> (2009)</w:t>
      </w:r>
      <w:r w:rsidR="001F1EDF" w:rsidRPr="00794EF8">
        <w:rPr>
          <w:szCs w:val="24"/>
        </w:rPr>
        <w:t xml:space="preserve">, 309 D.L.R. (4th) 708, 73 C.P.C. (6th) 83, </w:t>
      </w:r>
      <w:r w:rsidR="00425EDE" w:rsidRPr="00794EF8">
        <w:rPr>
          <w:szCs w:val="24"/>
        </w:rPr>
        <w:t xml:space="preserve">2009 </w:t>
      </w:r>
      <w:proofErr w:type="spellStart"/>
      <w:r w:rsidR="00425EDE" w:rsidRPr="00794EF8">
        <w:rPr>
          <w:szCs w:val="24"/>
        </w:rPr>
        <w:t>CanLII</w:t>
      </w:r>
      <w:proofErr w:type="spellEnd"/>
      <w:r w:rsidR="00425EDE" w:rsidRPr="00794EF8">
        <w:rPr>
          <w:szCs w:val="24"/>
        </w:rPr>
        <w:t xml:space="preserve"> 14041, </w:t>
      </w:r>
      <w:r w:rsidR="001F1EDF" w:rsidRPr="00794EF8">
        <w:rPr>
          <w:szCs w:val="24"/>
        </w:rPr>
        <w:t xml:space="preserve">[2009] O.J. </w:t>
      </w:r>
      <w:r w:rsidR="00863E41" w:rsidRPr="00794EF8">
        <w:rPr>
          <w:szCs w:val="24"/>
        </w:rPr>
        <w:t>No. </w:t>
      </w:r>
      <w:r w:rsidR="001F1EDF" w:rsidRPr="00794EF8">
        <w:rPr>
          <w:szCs w:val="24"/>
        </w:rPr>
        <w:t xml:space="preserve">1292 (QL), 2009 </w:t>
      </w:r>
      <w:proofErr w:type="spellStart"/>
      <w:r w:rsidR="001F1EDF" w:rsidRPr="00794EF8">
        <w:rPr>
          <w:szCs w:val="24"/>
        </w:rPr>
        <w:t>CarswellOnt</w:t>
      </w:r>
      <w:proofErr w:type="spellEnd"/>
      <w:r w:rsidR="001F1EDF" w:rsidRPr="00794EF8">
        <w:rPr>
          <w:szCs w:val="24"/>
        </w:rPr>
        <w:t xml:space="preserve"> 1730.  Pourvoi </w:t>
      </w:r>
      <w:r w:rsidR="007B4960" w:rsidRPr="00794EF8">
        <w:rPr>
          <w:szCs w:val="24"/>
        </w:rPr>
        <w:t>rejeté</w:t>
      </w:r>
      <w:r w:rsidR="001F1EDF" w:rsidRPr="00794EF8">
        <w:rPr>
          <w:szCs w:val="24"/>
        </w:rPr>
        <w:t>.</w:t>
      </w:r>
    </w:p>
    <w:p w:rsidR="00EE66C3" w:rsidRPr="00794EF8" w:rsidRDefault="00863E41" w:rsidP="00356FB8">
      <w:pPr>
        <w:pStyle w:val="SCCNormalDoubleSpacing"/>
        <w:spacing w:after="480"/>
      </w:pPr>
      <w:r w:rsidRPr="00794EF8">
        <w:rPr>
          <w:i/>
        </w:rPr>
        <w:tab/>
        <w:t>Paul </w:t>
      </w:r>
      <w:r w:rsidR="00BF04B4" w:rsidRPr="00794EF8">
        <w:rPr>
          <w:i/>
        </w:rPr>
        <w:t xml:space="preserve">B. </w:t>
      </w:r>
      <w:proofErr w:type="spellStart"/>
      <w:r w:rsidR="00BF04B4" w:rsidRPr="00794EF8">
        <w:rPr>
          <w:i/>
        </w:rPr>
        <w:t>Schabas</w:t>
      </w:r>
      <w:proofErr w:type="spellEnd"/>
      <w:r w:rsidR="00BF04B4" w:rsidRPr="00794EF8">
        <w:t xml:space="preserve">, </w:t>
      </w:r>
      <w:proofErr w:type="spellStart"/>
      <w:r w:rsidRPr="00794EF8">
        <w:rPr>
          <w:i/>
        </w:rPr>
        <w:t>Ryder</w:t>
      </w:r>
      <w:proofErr w:type="spellEnd"/>
      <w:r w:rsidRPr="00794EF8">
        <w:rPr>
          <w:i/>
        </w:rPr>
        <w:t> </w:t>
      </w:r>
      <w:r w:rsidR="00F708F6" w:rsidRPr="00794EF8">
        <w:rPr>
          <w:i/>
        </w:rPr>
        <w:t xml:space="preserve">L. </w:t>
      </w:r>
      <w:proofErr w:type="spellStart"/>
      <w:r w:rsidR="00BF04B4" w:rsidRPr="00794EF8">
        <w:rPr>
          <w:i/>
        </w:rPr>
        <w:t>Gilliland</w:t>
      </w:r>
      <w:proofErr w:type="spellEnd"/>
      <w:r w:rsidR="00BF04B4" w:rsidRPr="00794EF8">
        <w:t xml:space="preserve"> et </w:t>
      </w:r>
      <w:r w:rsidR="00BF04B4" w:rsidRPr="00794EF8">
        <w:rPr>
          <w:i/>
        </w:rPr>
        <w:t xml:space="preserve">Erin </w:t>
      </w:r>
      <w:proofErr w:type="spellStart"/>
      <w:r w:rsidR="00BF04B4" w:rsidRPr="00794EF8">
        <w:rPr>
          <w:i/>
        </w:rPr>
        <w:t>Hoult</w:t>
      </w:r>
      <w:proofErr w:type="spellEnd"/>
      <w:r w:rsidR="00BF04B4" w:rsidRPr="00794EF8">
        <w:t>, pour l</w:t>
      </w:r>
      <w:r w:rsidR="00F708F6" w:rsidRPr="00794EF8">
        <w:t xml:space="preserve">es </w:t>
      </w:r>
      <w:r w:rsidR="00BF04B4" w:rsidRPr="00794EF8">
        <w:t>appelant</w:t>
      </w:r>
      <w:r w:rsidR="00F708F6" w:rsidRPr="00794EF8">
        <w:t xml:space="preserve">s </w:t>
      </w:r>
      <w:r w:rsidRPr="00794EF8">
        <w:t>Richard </w:t>
      </w:r>
      <w:r w:rsidR="00EE66C3" w:rsidRPr="00794EF8">
        <w:t xml:space="preserve">C. </w:t>
      </w:r>
      <w:proofErr w:type="spellStart"/>
      <w:r w:rsidR="00EE66C3" w:rsidRPr="00794EF8">
        <w:t>Breeden</w:t>
      </w:r>
      <w:proofErr w:type="spellEnd"/>
      <w:r w:rsidR="00EE66C3" w:rsidRPr="00794EF8">
        <w:t xml:space="preserve"> et</w:t>
      </w:r>
      <w:r w:rsidRPr="00794EF8">
        <w:t xml:space="preserve"> Richard </w:t>
      </w:r>
      <w:r w:rsidR="00EE66C3" w:rsidRPr="00794EF8">
        <w:t xml:space="preserve">C. </w:t>
      </w:r>
      <w:proofErr w:type="spellStart"/>
      <w:r w:rsidR="00EE66C3" w:rsidRPr="00794EF8">
        <w:t>Breeden</w:t>
      </w:r>
      <w:proofErr w:type="spellEnd"/>
      <w:r w:rsidR="00EE66C3" w:rsidRPr="00794EF8">
        <w:t xml:space="preserve"> &amp; Co.</w:t>
      </w:r>
    </w:p>
    <w:p w:rsidR="00EE66C3" w:rsidRPr="00794EF8" w:rsidRDefault="00EE66C3" w:rsidP="00356FB8">
      <w:pPr>
        <w:pStyle w:val="SCCNormalDoubleSpacing"/>
        <w:spacing w:after="480"/>
      </w:pPr>
      <w:r w:rsidRPr="00794EF8">
        <w:rPr>
          <w:i/>
        </w:rPr>
        <w:tab/>
        <w:t>Robert</w:t>
      </w:r>
      <w:r w:rsidR="002F0D58" w:rsidRPr="00794EF8">
        <w:rPr>
          <w:i/>
        </w:rPr>
        <w:t> </w:t>
      </w:r>
      <w:r w:rsidR="00072DFB" w:rsidRPr="00794EF8">
        <w:rPr>
          <w:i/>
        </w:rPr>
        <w:t xml:space="preserve">W. </w:t>
      </w:r>
      <w:r w:rsidR="00BF04B4" w:rsidRPr="00794EF8">
        <w:rPr>
          <w:i/>
        </w:rPr>
        <w:t>Staley</w:t>
      </w:r>
      <w:r w:rsidR="00BF04B4" w:rsidRPr="00794EF8">
        <w:t xml:space="preserve"> et </w:t>
      </w:r>
      <w:r w:rsidRPr="00794EF8">
        <w:rPr>
          <w:i/>
        </w:rPr>
        <w:t xml:space="preserve">Julia </w:t>
      </w:r>
      <w:proofErr w:type="spellStart"/>
      <w:r w:rsidR="00BF04B4" w:rsidRPr="00794EF8">
        <w:rPr>
          <w:i/>
        </w:rPr>
        <w:t>Schatz</w:t>
      </w:r>
      <w:proofErr w:type="spellEnd"/>
      <w:r w:rsidR="00BF04B4" w:rsidRPr="00794EF8">
        <w:t>, pour l</w:t>
      </w:r>
      <w:r w:rsidRPr="00794EF8">
        <w:t xml:space="preserve">es </w:t>
      </w:r>
      <w:r w:rsidR="00BF04B4" w:rsidRPr="00794EF8">
        <w:t>appelant</w:t>
      </w:r>
      <w:r w:rsidRPr="00794EF8">
        <w:t xml:space="preserve">s </w:t>
      </w:r>
      <w:r w:rsidR="00863E41" w:rsidRPr="00794EF8">
        <w:t>Gordon </w:t>
      </w:r>
      <w:r w:rsidRPr="00794EF8">
        <w:t>A. Paris, James</w:t>
      </w:r>
      <w:r w:rsidR="00863E41" w:rsidRPr="00794EF8">
        <w:t> </w:t>
      </w:r>
      <w:r w:rsidRPr="00794EF8">
        <w:t>R. Thom</w:t>
      </w:r>
      <w:r w:rsidR="00863E41" w:rsidRPr="00794EF8">
        <w:t>pson, Richard D. Burt, Graham </w:t>
      </w:r>
      <w:r w:rsidRPr="00794EF8">
        <w:t xml:space="preserve">W. Savage, </w:t>
      </w:r>
      <w:r w:rsidR="00863E41" w:rsidRPr="00794EF8">
        <w:t>Raymond </w:t>
      </w:r>
      <w:r w:rsidRPr="00794EF8">
        <w:t>G.</w:t>
      </w:r>
      <w:r w:rsidR="00425EDE" w:rsidRPr="00794EF8">
        <w:t xml:space="preserve"> </w:t>
      </w:r>
      <w:r w:rsidRPr="00794EF8">
        <w:t>H</w:t>
      </w:r>
      <w:r w:rsidR="00863E41" w:rsidRPr="00794EF8">
        <w:t xml:space="preserve">. </w:t>
      </w:r>
      <w:proofErr w:type="spellStart"/>
      <w:r w:rsidR="00863E41" w:rsidRPr="00794EF8">
        <w:t>Seitz</w:t>
      </w:r>
      <w:proofErr w:type="spellEnd"/>
      <w:r w:rsidR="00072DFB" w:rsidRPr="00794EF8">
        <w:t xml:space="preserve">, Paul B. </w:t>
      </w:r>
      <w:proofErr w:type="spellStart"/>
      <w:r w:rsidR="00072DFB" w:rsidRPr="00794EF8">
        <w:t>Healy</w:t>
      </w:r>
      <w:proofErr w:type="spellEnd"/>
      <w:r w:rsidR="00863E41" w:rsidRPr="00794EF8">
        <w:t xml:space="preserve">, </w:t>
      </w:r>
      <w:proofErr w:type="spellStart"/>
      <w:r w:rsidR="00863E41" w:rsidRPr="00794EF8">
        <w:t>Shmuel</w:t>
      </w:r>
      <w:proofErr w:type="spellEnd"/>
      <w:r w:rsidR="00863E41" w:rsidRPr="00794EF8">
        <w:t xml:space="preserve"> </w:t>
      </w:r>
      <w:proofErr w:type="spellStart"/>
      <w:r w:rsidR="00863E41" w:rsidRPr="00794EF8">
        <w:t>Meitar</w:t>
      </w:r>
      <w:proofErr w:type="spellEnd"/>
      <w:r w:rsidR="00863E41" w:rsidRPr="00794EF8">
        <w:t xml:space="preserve"> et Henry </w:t>
      </w:r>
      <w:r w:rsidRPr="00794EF8">
        <w:t>A. Kissinger.</w:t>
      </w:r>
    </w:p>
    <w:p w:rsidR="00A20F43" w:rsidRPr="00794EF8" w:rsidRDefault="00863E41" w:rsidP="00356FB8">
      <w:pPr>
        <w:pStyle w:val="SCCNormalDoubleSpacing"/>
        <w:spacing w:after="480"/>
      </w:pPr>
      <w:r w:rsidRPr="00794EF8">
        <w:rPr>
          <w:i/>
        </w:rPr>
        <w:tab/>
        <w:t>Earl </w:t>
      </w:r>
      <w:r w:rsidR="00BF04B4" w:rsidRPr="00794EF8">
        <w:rPr>
          <w:i/>
        </w:rPr>
        <w:t xml:space="preserve">A. </w:t>
      </w:r>
      <w:proofErr w:type="spellStart"/>
      <w:r w:rsidR="00BF04B4" w:rsidRPr="00794EF8">
        <w:rPr>
          <w:i/>
        </w:rPr>
        <w:t>Cherniak</w:t>
      </w:r>
      <w:proofErr w:type="spellEnd"/>
      <w:r w:rsidR="00BF04B4" w:rsidRPr="00794EF8">
        <w:t>,</w:t>
      </w:r>
      <w:r w:rsidR="00BF04B4" w:rsidRPr="00794EF8">
        <w:rPr>
          <w:i/>
        </w:rPr>
        <w:t xml:space="preserve"> </w:t>
      </w:r>
      <w:proofErr w:type="gramStart"/>
      <w:r w:rsidR="00EE66C3" w:rsidRPr="00794EF8">
        <w:rPr>
          <w:i/>
        </w:rPr>
        <w:t>c.r</w:t>
      </w:r>
      <w:r w:rsidR="00BF04B4" w:rsidRPr="00794EF8">
        <w:rPr>
          <w:i/>
        </w:rPr>
        <w:t>.</w:t>
      </w:r>
      <w:r w:rsidR="00EE66C3" w:rsidRPr="00794EF8">
        <w:t>,</w:t>
      </w:r>
      <w:proofErr w:type="gramEnd"/>
      <w:r w:rsidR="00BF04B4" w:rsidRPr="00794EF8">
        <w:t xml:space="preserve"> </w:t>
      </w:r>
      <w:r w:rsidRPr="00794EF8">
        <w:rPr>
          <w:i/>
        </w:rPr>
        <w:t>Kirk </w:t>
      </w:r>
      <w:r w:rsidR="00BF04B4" w:rsidRPr="00794EF8">
        <w:rPr>
          <w:i/>
        </w:rPr>
        <w:t>F. Stevens</w:t>
      </w:r>
      <w:r w:rsidR="00BF04B4" w:rsidRPr="00794EF8">
        <w:t xml:space="preserve"> </w:t>
      </w:r>
      <w:r w:rsidR="00EE66C3" w:rsidRPr="00794EF8">
        <w:t xml:space="preserve">et </w:t>
      </w:r>
      <w:r w:rsidRPr="00794EF8">
        <w:rPr>
          <w:i/>
        </w:rPr>
        <w:t>Lisa </w:t>
      </w:r>
      <w:r w:rsidR="00EE66C3" w:rsidRPr="00794EF8">
        <w:rPr>
          <w:i/>
        </w:rPr>
        <w:t xml:space="preserve">C. </w:t>
      </w:r>
      <w:proofErr w:type="spellStart"/>
      <w:r w:rsidR="00EE66C3" w:rsidRPr="00794EF8">
        <w:rPr>
          <w:i/>
        </w:rPr>
        <w:t>Munro</w:t>
      </w:r>
      <w:proofErr w:type="spellEnd"/>
      <w:r w:rsidR="00EE66C3" w:rsidRPr="00794EF8">
        <w:t xml:space="preserve">, </w:t>
      </w:r>
      <w:r w:rsidR="00BF04B4" w:rsidRPr="00794EF8">
        <w:t>pour l</w:t>
      </w:r>
      <w:r w:rsidR="00EE66C3" w:rsidRPr="00794EF8">
        <w:t>’</w:t>
      </w:r>
      <w:r w:rsidR="00BF04B4" w:rsidRPr="00794EF8">
        <w:t>intimé.</w:t>
      </w:r>
    </w:p>
    <w:p w:rsidR="00A20F43" w:rsidRPr="00794EF8" w:rsidRDefault="009205FA" w:rsidP="00356FB8">
      <w:pPr>
        <w:pStyle w:val="SCCNormalDoubleSpacing"/>
        <w:spacing w:after="480"/>
      </w:pPr>
      <w:r w:rsidRPr="00794EF8">
        <w:rPr>
          <w:i/>
        </w:rPr>
        <w:tab/>
        <w:t>Robert </w:t>
      </w:r>
      <w:r w:rsidR="00BF04B4" w:rsidRPr="00794EF8">
        <w:rPr>
          <w:i/>
        </w:rPr>
        <w:t>D. Holmes</w:t>
      </w:r>
      <w:r w:rsidR="00BF04B4" w:rsidRPr="00794EF8">
        <w:t xml:space="preserve">, </w:t>
      </w:r>
      <w:proofErr w:type="gramStart"/>
      <w:r w:rsidR="00425EDE" w:rsidRPr="00794EF8">
        <w:rPr>
          <w:i/>
        </w:rPr>
        <w:t>c.r.</w:t>
      </w:r>
      <w:r w:rsidR="00425EDE" w:rsidRPr="00794EF8">
        <w:t>,</w:t>
      </w:r>
      <w:proofErr w:type="gramEnd"/>
      <w:r w:rsidR="00425EDE" w:rsidRPr="00794EF8">
        <w:t xml:space="preserve"> </w:t>
      </w:r>
      <w:r w:rsidR="00BF04B4" w:rsidRPr="00794EF8">
        <w:t>pour l</w:t>
      </w:r>
      <w:r w:rsidR="00EE66C3" w:rsidRPr="00794EF8">
        <w:t>’</w:t>
      </w:r>
      <w:r w:rsidR="00BF04B4" w:rsidRPr="00794EF8">
        <w:t>intervenant</w:t>
      </w:r>
      <w:r w:rsidR="00072DFB" w:rsidRPr="00794EF8">
        <w:t>e</w:t>
      </w:r>
      <w:r w:rsidR="00BF04B4" w:rsidRPr="00794EF8">
        <w:t>.</w:t>
      </w:r>
    </w:p>
    <w:p w:rsidR="009207EA" w:rsidRPr="00794EF8" w:rsidRDefault="00425EDE" w:rsidP="009207EA">
      <w:pPr>
        <w:pStyle w:val="JudgeJuge"/>
        <w:spacing w:before="480"/>
        <w:rPr>
          <w:smallCaps w:val="0"/>
          <w:szCs w:val="24"/>
          <w:lang w:val="fr-CA"/>
        </w:rPr>
      </w:pPr>
      <w:r w:rsidRPr="00794EF8">
        <w:rPr>
          <w:smallCaps w:val="0"/>
          <w:szCs w:val="24"/>
          <w:lang w:val="fr-CA"/>
        </w:rPr>
        <w:tab/>
        <w:t>Version française du jugement de la Cour rendu par</w:t>
      </w:r>
    </w:p>
    <w:p w:rsidR="009207EA" w:rsidRPr="00794EF8" w:rsidRDefault="009207EA" w:rsidP="009207EA">
      <w:pPr>
        <w:pStyle w:val="JudgeJuge"/>
        <w:spacing w:before="480"/>
        <w:rPr>
          <w:szCs w:val="24"/>
          <w:lang w:val="fr-CA"/>
        </w:rPr>
      </w:pPr>
      <w:r w:rsidRPr="00794EF8">
        <w:rPr>
          <w:szCs w:val="24"/>
          <w:lang w:val="fr-CA"/>
        </w:rPr>
        <w:tab/>
        <w:t xml:space="preserve">Le juge LeBel — </w:t>
      </w:r>
    </w:p>
    <w:p w:rsidR="009207EA" w:rsidRPr="00794EF8" w:rsidRDefault="009207EA" w:rsidP="00425EDE">
      <w:pPr>
        <w:pStyle w:val="JudgeJuge"/>
        <w:tabs>
          <w:tab w:val="clear" w:pos="1166"/>
          <w:tab w:val="left" w:pos="540"/>
        </w:tabs>
        <w:spacing w:before="480"/>
        <w:rPr>
          <w:smallCaps w:val="0"/>
          <w:szCs w:val="24"/>
          <w:u w:val="single"/>
          <w:lang w:val="fr-CA"/>
        </w:rPr>
      </w:pPr>
      <w:r w:rsidRPr="00794EF8">
        <w:rPr>
          <w:smallCaps w:val="0"/>
          <w:szCs w:val="24"/>
          <w:lang w:val="fr-CA"/>
        </w:rPr>
        <w:t>I.</w:t>
      </w:r>
      <w:r w:rsidRPr="00794EF8">
        <w:rPr>
          <w:smallCaps w:val="0"/>
          <w:szCs w:val="24"/>
          <w:lang w:val="fr-CA"/>
        </w:rPr>
        <w:tab/>
      </w:r>
      <w:r w:rsidRPr="00794EF8">
        <w:rPr>
          <w:smallCaps w:val="0"/>
          <w:szCs w:val="24"/>
          <w:u w:val="single"/>
          <w:lang w:val="fr-CA"/>
        </w:rPr>
        <w:t>Introduction</w:t>
      </w:r>
    </w:p>
    <w:p w:rsidR="009207EA" w:rsidRPr="00794EF8" w:rsidRDefault="009207EA" w:rsidP="00425EDE">
      <w:pPr>
        <w:pStyle w:val="JudgeJuge"/>
        <w:tabs>
          <w:tab w:val="clear" w:pos="1166"/>
          <w:tab w:val="left" w:pos="540"/>
        </w:tabs>
        <w:spacing w:before="480"/>
        <w:rPr>
          <w:smallCaps w:val="0"/>
          <w:szCs w:val="24"/>
          <w:lang w:val="fr-CA"/>
        </w:rPr>
      </w:pPr>
      <w:r w:rsidRPr="00794EF8">
        <w:rPr>
          <w:smallCaps w:val="0"/>
          <w:szCs w:val="24"/>
          <w:lang w:val="fr-CA"/>
        </w:rPr>
        <w:lastRenderedPageBreak/>
        <w:t>A.</w:t>
      </w:r>
      <w:r w:rsidRPr="00794EF8">
        <w:rPr>
          <w:smallCaps w:val="0"/>
          <w:szCs w:val="24"/>
          <w:lang w:val="fr-CA"/>
        </w:rPr>
        <w:tab/>
      </w:r>
      <w:r w:rsidRPr="00794EF8">
        <w:rPr>
          <w:i/>
          <w:smallCaps w:val="0"/>
          <w:szCs w:val="24"/>
          <w:lang w:val="fr-CA"/>
        </w:rPr>
        <w:t>Aperçu</w:t>
      </w:r>
    </w:p>
    <w:p w:rsidR="009207EA" w:rsidRPr="00794EF8" w:rsidRDefault="009207EA" w:rsidP="009207EA">
      <w:pPr>
        <w:pStyle w:val="ParaNoNdepar-AltN"/>
        <w:rPr>
          <w:szCs w:val="24"/>
          <w:lang w:val="fr-CA"/>
        </w:rPr>
      </w:pPr>
      <w:r w:rsidRPr="00794EF8">
        <w:rPr>
          <w:szCs w:val="24"/>
          <w:lang w:val="fr-CA"/>
        </w:rPr>
        <w:t xml:space="preserve">Le présent pourvoi porte sur la manière dont les règles de droit relatives à la compétence et la doctrine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que notre Cour a récemment examinées dans l’arrêt </w:t>
      </w:r>
      <w:r w:rsidRPr="00794EF8">
        <w:rPr>
          <w:i/>
          <w:szCs w:val="24"/>
          <w:lang w:val="fr-CA"/>
        </w:rPr>
        <w:t xml:space="preserve">Club </w:t>
      </w:r>
      <w:proofErr w:type="spellStart"/>
      <w:r w:rsidRPr="00794EF8">
        <w:rPr>
          <w:i/>
          <w:szCs w:val="24"/>
          <w:lang w:val="fr-CA"/>
        </w:rPr>
        <w:t>Resorts</w:t>
      </w:r>
      <w:proofErr w:type="spellEnd"/>
      <w:r w:rsidRPr="00794EF8">
        <w:rPr>
          <w:i/>
          <w:szCs w:val="24"/>
          <w:lang w:val="fr-CA"/>
        </w:rPr>
        <w:t xml:space="preserve"> Ltd. c. Van Breda</w:t>
      </w:r>
      <w:r w:rsidRPr="00794EF8">
        <w:rPr>
          <w:szCs w:val="24"/>
          <w:lang w:val="fr-CA"/>
        </w:rPr>
        <w:t>, 2012 CSC 17</w:t>
      </w:r>
      <w:r w:rsidR="00425EDE" w:rsidRPr="00794EF8">
        <w:rPr>
          <w:szCs w:val="24"/>
          <w:lang w:val="fr-CA"/>
        </w:rPr>
        <w:t xml:space="preserve">, [2012] 1 R.C.S. </w:t>
      </w:r>
      <w:r w:rsidR="002E5D0E">
        <w:rPr>
          <w:szCs w:val="24"/>
          <w:lang w:val="fr-CA"/>
        </w:rPr>
        <w:t>57</w:t>
      </w:r>
      <w:r w:rsidR="00115B00">
        <w:rPr>
          <w:szCs w:val="24"/>
          <w:lang w:val="fr-CA"/>
        </w:rPr>
        <w:t>2</w:t>
      </w:r>
      <w:r w:rsidRPr="00794EF8">
        <w:rPr>
          <w:szCs w:val="24"/>
          <w:lang w:val="fr-CA"/>
        </w:rPr>
        <w:t xml:space="preserve"> («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 doivent s’appliquer</w:t>
      </w:r>
      <w:r w:rsidRPr="00794EF8">
        <w:rPr>
          <w:i/>
          <w:szCs w:val="24"/>
          <w:lang w:val="fr-CA"/>
        </w:rPr>
        <w:t xml:space="preserve"> </w:t>
      </w:r>
      <w:r w:rsidRPr="00794EF8">
        <w:rPr>
          <w:szCs w:val="24"/>
          <w:lang w:val="fr-CA"/>
        </w:rPr>
        <w:t xml:space="preserve">dans le cadre d’une action en diffamation </w:t>
      </w:r>
      <w:proofErr w:type="spellStart"/>
      <w:r w:rsidRPr="00794EF8">
        <w:rPr>
          <w:szCs w:val="24"/>
          <w:lang w:val="fr-CA"/>
        </w:rPr>
        <w:t>multi</w:t>
      </w:r>
      <w:r w:rsidRPr="00794EF8">
        <w:rPr>
          <w:szCs w:val="24"/>
          <w:lang w:val="fr-CA"/>
        </w:rPr>
        <w:noBreakHyphen/>
        <w:t>États</w:t>
      </w:r>
      <w:proofErr w:type="spellEnd"/>
      <w:r w:rsidRPr="00794EF8">
        <w:rPr>
          <w:szCs w:val="24"/>
          <w:lang w:val="fr-CA"/>
        </w:rPr>
        <w:t xml:space="preserve">.  L’intimé, Conrad Black, a intenté en Cour supérieure </w:t>
      </w:r>
      <w:r w:rsidR="00425EDE" w:rsidRPr="00794EF8">
        <w:rPr>
          <w:szCs w:val="24"/>
          <w:lang w:val="fr-CA"/>
        </w:rPr>
        <w:t xml:space="preserve">de justice </w:t>
      </w:r>
      <w:r w:rsidRPr="00794EF8">
        <w:rPr>
          <w:szCs w:val="24"/>
          <w:lang w:val="fr-CA"/>
        </w:rPr>
        <w:t xml:space="preserve">de l’Ontario six actions en diffamation contre les </w:t>
      </w:r>
      <w:r w:rsidR="002E5D0E">
        <w:rPr>
          <w:szCs w:val="24"/>
          <w:lang w:val="fr-CA"/>
        </w:rPr>
        <w:t>10</w:t>
      </w:r>
      <w:r w:rsidRPr="00794EF8">
        <w:rPr>
          <w:szCs w:val="24"/>
          <w:lang w:val="fr-CA"/>
        </w:rPr>
        <w:t xml:space="preserve"> appelants, qui sont des administrateurs, d</w:t>
      </w:r>
      <w:r w:rsidR="00075660" w:rsidRPr="00794EF8">
        <w:rPr>
          <w:szCs w:val="24"/>
          <w:lang w:val="fr-CA"/>
        </w:rPr>
        <w:t>es conseillers ainsi qu’un vice-</w:t>
      </w:r>
      <w:r w:rsidRPr="00794EF8">
        <w:rPr>
          <w:szCs w:val="24"/>
          <w:lang w:val="fr-CA"/>
        </w:rPr>
        <w:t xml:space="preserve">président de </w:t>
      </w:r>
      <w:proofErr w:type="spellStart"/>
      <w:r w:rsidRPr="00794EF8">
        <w:rPr>
          <w:szCs w:val="24"/>
          <w:lang w:val="fr-CA"/>
        </w:rPr>
        <w:t>Hollinger</w:t>
      </w:r>
      <w:proofErr w:type="spellEnd"/>
      <w:r w:rsidRPr="00794EF8">
        <w:rPr>
          <w:szCs w:val="24"/>
          <w:lang w:val="fr-CA"/>
        </w:rPr>
        <w:t xml:space="preserve"> International, Inc. (« International »).  Lord Black soutient que certains propos publiés par les appelants et affichés sur le site Web de International sont diffamatoires et qu’ils ont été diffusés en Ontario dès lors qu’ils ont été téléchargés, lus et repris dans cette province par trois journaux.  Les appelants répliquent que l’Ontario ne devrait pas se déclarer compétente à l’égard des actions parce que ce sont, en substance, des instances essentiellement américaines ou, subsidiairement, parce que le tribunal de l’Illinois constitue un ressort plus approprié que celui de l’Ontario. </w:t>
      </w:r>
    </w:p>
    <w:p w:rsidR="009207EA" w:rsidRPr="00794EF8" w:rsidRDefault="009207EA" w:rsidP="009207EA">
      <w:pPr>
        <w:pStyle w:val="ParaNoNdepar-AltN"/>
        <w:rPr>
          <w:szCs w:val="24"/>
          <w:lang w:val="fr-CA"/>
        </w:rPr>
      </w:pPr>
      <w:r w:rsidRPr="00794EF8">
        <w:rPr>
          <w:szCs w:val="24"/>
          <w:lang w:val="fr-CA"/>
        </w:rPr>
        <w:t xml:space="preserve">Je conclus en l’espèce que le tribunal ontarien est autorisé à se déclarer compétent car il existe un lien réel et substantiel entre l’Ontario et les actions en diffamation.  En faisant preuve de la déférence qui s’impose à l’égard de l’exercice du pouvoir discrétionnaire du juge saisi de la motion, je conclus également que les appelants n’ont pas établi que le tribunal de l’Illinois constitue un forum nettement plus approprié pour l’instruction de ces instances.  En conséquence, je suis d’avis de </w:t>
      </w:r>
      <w:r w:rsidRPr="00794EF8">
        <w:rPr>
          <w:szCs w:val="24"/>
          <w:lang w:val="fr-CA"/>
        </w:rPr>
        <w:lastRenderedPageBreak/>
        <w:t xml:space="preserve">rejeter le pourvoi.  Cette décision découle de l’examen de la relation qui existe entre le droit relatif à la compétence, la doctrine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et le délit de diffamation.  </w:t>
      </w:r>
    </w:p>
    <w:p w:rsidR="009207EA" w:rsidRPr="00794EF8" w:rsidRDefault="009207EA" w:rsidP="00425EDE">
      <w:pPr>
        <w:pStyle w:val="TitleTitre-AltT"/>
        <w:tabs>
          <w:tab w:val="clear" w:pos="360"/>
          <w:tab w:val="left" w:pos="540"/>
        </w:tabs>
        <w:ind w:left="540" w:hanging="540"/>
        <w:rPr>
          <w:szCs w:val="24"/>
          <w:lang w:val="fr-CA"/>
        </w:rPr>
      </w:pPr>
      <w:r w:rsidRPr="00794EF8">
        <w:rPr>
          <w:szCs w:val="24"/>
          <w:lang w:val="fr-CA"/>
        </w:rPr>
        <w:t>B.</w:t>
      </w:r>
      <w:r w:rsidRPr="00794EF8">
        <w:rPr>
          <w:szCs w:val="24"/>
          <w:lang w:val="fr-CA"/>
        </w:rPr>
        <w:tab/>
      </w:r>
      <w:r w:rsidRPr="00794EF8">
        <w:rPr>
          <w:i/>
          <w:szCs w:val="24"/>
          <w:lang w:val="fr-CA"/>
        </w:rPr>
        <w:t>Le contexte</w:t>
      </w:r>
    </w:p>
    <w:p w:rsidR="009207EA" w:rsidRPr="00794EF8" w:rsidRDefault="009207EA" w:rsidP="009207EA">
      <w:pPr>
        <w:pStyle w:val="ParaNoNdepar-AltN"/>
        <w:rPr>
          <w:szCs w:val="24"/>
          <w:lang w:val="fr-CA"/>
        </w:rPr>
      </w:pPr>
      <w:r w:rsidRPr="00794EF8">
        <w:rPr>
          <w:szCs w:val="24"/>
          <w:lang w:val="fr-CA"/>
        </w:rPr>
        <w:t xml:space="preserve">Lord Black est un homme d’affaires bien connu qui s’est bâti une réputation de propriétaire de journaux et d’éditeur, d’abord au Canada, puis à l’échelle internationale.  Il a été citoyen canadien jusqu’en 2001, date à laquelle il a répudié sa citoyenneté pour accepter une nomination à la Chambre des lords britannique.  Jusqu’en janvier 2004, lord Black a occupé le poste de président du conseil de International, une société ouverte, constituée au Delaware et ayant eu son siège social, selon les époques, à New York ou Chicago.  Lord Black et ses associés canadiens détenaient le contrôle effectif </w:t>
      </w:r>
      <w:proofErr w:type="gramStart"/>
      <w:r w:rsidRPr="00794EF8">
        <w:rPr>
          <w:szCs w:val="24"/>
          <w:lang w:val="fr-CA"/>
        </w:rPr>
        <w:t>de International</w:t>
      </w:r>
      <w:proofErr w:type="gramEnd"/>
      <w:r w:rsidRPr="00794EF8">
        <w:rPr>
          <w:szCs w:val="24"/>
          <w:lang w:val="fr-CA"/>
        </w:rPr>
        <w:t xml:space="preserve"> par l’intermédiaire de The </w:t>
      </w:r>
      <w:proofErr w:type="spellStart"/>
      <w:r w:rsidRPr="00794EF8">
        <w:rPr>
          <w:szCs w:val="24"/>
          <w:lang w:val="fr-CA"/>
        </w:rPr>
        <w:t>Ravelston</w:t>
      </w:r>
      <w:proofErr w:type="spellEnd"/>
      <w:r w:rsidRPr="00794EF8">
        <w:rPr>
          <w:szCs w:val="24"/>
          <w:lang w:val="fr-CA"/>
        </w:rPr>
        <w:t xml:space="preserve"> Corporation (« </w:t>
      </w:r>
      <w:proofErr w:type="spellStart"/>
      <w:r w:rsidRPr="00794EF8">
        <w:rPr>
          <w:szCs w:val="24"/>
          <w:lang w:val="fr-CA"/>
        </w:rPr>
        <w:t>Ravelston</w:t>
      </w:r>
      <w:proofErr w:type="spellEnd"/>
      <w:r w:rsidRPr="00794EF8">
        <w:rPr>
          <w:szCs w:val="24"/>
          <w:lang w:val="fr-CA"/>
        </w:rPr>
        <w:t xml:space="preserve"> ») et </w:t>
      </w:r>
      <w:proofErr w:type="spellStart"/>
      <w:r w:rsidRPr="00794EF8">
        <w:rPr>
          <w:szCs w:val="24"/>
          <w:lang w:val="fr-CA"/>
        </w:rPr>
        <w:t>Hollinger</w:t>
      </w:r>
      <w:proofErr w:type="spellEnd"/>
      <w:r w:rsidRPr="00794EF8">
        <w:rPr>
          <w:szCs w:val="24"/>
          <w:lang w:val="fr-CA"/>
        </w:rPr>
        <w:t xml:space="preserve"> Inc., deux sociétés fermées de l’Ontario. </w:t>
      </w:r>
    </w:p>
    <w:p w:rsidR="009207EA" w:rsidRPr="00794EF8" w:rsidRDefault="009207EA" w:rsidP="009207EA">
      <w:pPr>
        <w:pStyle w:val="ParaNoNdepar-AltN"/>
        <w:rPr>
          <w:szCs w:val="24"/>
          <w:lang w:val="fr-CA"/>
        </w:rPr>
      </w:pPr>
      <w:r w:rsidRPr="00794EF8">
        <w:rPr>
          <w:szCs w:val="24"/>
          <w:lang w:val="fr-CA"/>
        </w:rPr>
        <w:t xml:space="preserve">En mai 2003, un actionnaire minoritaire </w:t>
      </w:r>
      <w:proofErr w:type="gramStart"/>
      <w:r w:rsidRPr="00794EF8">
        <w:rPr>
          <w:szCs w:val="24"/>
          <w:lang w:val="fr-CA"/>
        </w:rPr>
        <w:t>de International</w:t>
      </w:r>
      <w:proofErr w:type="gramEnd"/>
      <w:r w:rsidRPr="00794EF8">
        <w:rPr>
          <w:szCs w:val="24"/>
          <w:lang w:val="fr-CA"/>
        </w:rPr>
        <w:t xml:space="preserve"> a mis en doute la légitimité de certains paiements versés à lord Black ou à des sociétés dont il détenait la propriété ou le contrôle dans le cadre d’ententes de « </w:t>
      </w:r>
      <w:proofErr w:type="spellStart"/>
      <w:r w:rsidRPr="00794EF8">
        <w:rPr>
          <w:szCs w:val="24"/>
          <w:lang w:val="fr-CA"/>
        </w:rPr>
        <w:t>non</w:t>
      </w:r>
      <w:r w:rsidRPr="00794EF8">
        <w:rPr>
          <w:szCs w:val="24"/>
          <w:lang w:val="fr-CA"/>
        </w:rPr>
        <w:noBreakHyphen/>
        <w:t>concurrence</w:t>
      </w:r>
      <w:proofErr w:type="spellEnd"/>
      <w:r w:rsidRPr="00794EF8">
        <w:rPr>
          <w:szCs w:val="24"/>
          <w:lang w:val="fr-CA"/>
        </w:rPr>
        <w:t> » et de « services de gestion ».  Le conseil d’administration de Internation</w:t>
      </w:r>
      <w:r w:rsidR="00075660" w:rsidRPr="00794EF8">
        <w:rPr>
          <w:szCs w:val="24"/>
          <w:lang w:val="fr-CA"/>
        </w:rPr>
        <w:t>al a chargé un comité spécial (</w:t>
      </w:r>
      <w:r w:rsidRPr="00794EF8">
        <w:rPr>
          <w:szCs w:val="24"/>
          <w:lang w:val="fr-CA"/>
        </w:rPr>
        <w:t xml:space="preserve">« comité ») de mener une enquête et a retenu les services de Richard </w:t>
      </w:r>
      <w:r w:rsidR="00007667" w:rsidRPr="00794EF8">
        <w:rPr>
          <w:szCs w:val="24"/>
          <w:lang w:val="fr-CA"/>
        </w:rPr>
        <w:t xml:space="preserve">C. </w:t>
      </w:r>
      <w:proofErr w:type="spellStart"/>
      <w:r w:rsidRPr="00794EF8">
        <w:rPr>
          <w:szCs w:val="24"/>
          <w:lang w:val="fr-CA"/>
        </w:rPr>
        <w:t>Breeden</w:t>
      </w:r>
      <w:proofErr w:type="spellEnd"/>
      <w:r w:rsidRPr="00794EF8">
        <w:rPr>
          <w:szCs w:val="24"/>
          <w:lang w:val="fr-CA"/>
        </w:rPr>
        <w:t xml:space="preserve">, l’un des appelants, et de son </w:t>
      </w:r>
      <w:proofErr w:type="spellStart"/>
      <w:r w:rsidRPr="00794EF8">
        <w:rPr>
          <w:szCs w:val="24"/>
          <w:lang w:val="fr-CA"/>
        </w:rPr>
        <w:t>cabinet</w:t>
      </w:r>
      <w:r w:rsidRPr="00794EF8">
        <w:rPr>
          <w:szCs w:val="24"/>
          <w:lang w:val="fr-CA"/>
        </w:rPr>
        <w:noBreakHyphen/>
        <w:t>conseil</w:t>
      </w:r>
      <w:proofErr w:type="spellEnd"/>
      <w:r w:rsidRPr="00794EF8">
        <w:rPr>
          <w:szCs w:val="24"/>
          <w:lang w:val="fr-CA"/>
        </w:rPr>
        <w:t xml:space="preserve"> pour agir en tant que </w:t>
      </w:r>
      <w:r w:rsidRPr="00794EF8">
        <w:rPr>
          <w:szCs w:val="24"/>
          <w:lang w:val="fr-CA"/>
        </w:rPr>
        <w:lastRenderedPageBreak/>
        <w:t>conseiller juridique externe auprès du comité.  En octobre 2003, le comité a conclu que International avait fait des paiements non autorisés de « </w:t>
      </w:r>
      <w:proofErr w:type="spellStart"/>
      <w:r w:rsidRPr="00794EF8">
        <w:rPr>
          <w:szCs w:val="24"/>
          <w:lang w:val="fr-CA"/>
        </w:rPr>
        <w:t>non</w:t>
      </w:r>
      <w:r w:rsidRPr="00794EF8">
        <w:rPr>
          <w:szCs w:val="24"/>
          <w:lang w:val="fr-CA"/>
        </w:rPr>
        <w:noBreakHyphen/>
        <w:t>concurrence</w:t>
      </w:r>
      <w:proofErr w:type="spellEnd"/>
      <w:r w:rsidRPr="00794EF8">
        <w:rPr>
          <w:szCs w:val="24"/>
          <w:lang w:val="fr-CA"/>
        </w:rPr>
        <w:t xml:space="preserve"> » totalisant 32,15 millions de dollars américains à lord Black, à </w:t>
      </w:r>
      <w:proofErr w:type="spellStart"/>
      <w:r w:rsidRPr="00794EF8">
        <w:rPr>
          <w:szCs w:val="24"/>
          <w:lang w:val="fr-CA"/>
        </w:rPr>
        <w:t>Hollinger</w:t>
      </w:r>
      <w:proofErr w:type="spellEnd"/>
      <w:r w:rsidRPr="00794EF8">
        <w:rPr>
          <w:szCs w:val="24"/>
          <w:lang w:val="fr-CA"/>
        </w:rPr>
        <w:t xml:space="preserve"> Inc. et à certains gestionnaires principaux, et que lord Black </w:t>
      </w:r>
      <w:proofErr w:type="spellStart"/>
      <w:r w:rsidRPr="00794EF8">
        <w:rPr>
          <w:szCs w:val="24"/>
          <w:lang w:val="fr-CA"/>
        </w:rPr>
        <w:t>lui</w:t>
      </w:r>
      <w:r w:rsidRPr="00794EF8">
        <w:rPr>
          <w:szCs w:val="24"/>
          <w:lang w:val="fr-CA"/>
        </w:rPr>
        <w:noBreakHyphen/>
        <w:t>même</w:t>
      </w:r>
      <w:proofErr w:type="spellEnd"/>
      <w:r w:rsidRPr="00794EF8">
        <w:rPr>
          <w:szCs w:val="24"/>
          <w:lang w:val="fr-CA"/>
        </w:rPr>
        <w:t xml:space="preserve"> avait reçu 7,2 millions de dollars américains.  Le rapport du comité a été rédigé en août 2004.  À la suite d’une ordonnance sur consentement prononcée aux </w:t>
      </w:r>
      <w:proofErr w:type="spellStart"/>
      <w:r w:rsidRPr="00794EF8">
        <w:rPr>
          <w:szCs w:val="24"/>
          <w:lang w:val="fr-CA"/>
        </w:rPr>
        <w:t>États</w:t>
      </w:r>
      <w:r w:rsidRPr="00794EF8">
        <w:rPr>
          <w:szCs w:val="24"/>
          <w:lang w:val="fr-CA"/>
        </w:rPr>
        <w:noBreakHyphen/>
        <w:t>Unis</w:t>
      </w:r>
      <w:proofErr w:type="spellEnd"/>
      <w:r w:rsidRPr="00794EF8">
        <w:rPr>
          <w:szCs w:val="24"/>
          <w:lang w:val="fr-CA"/>
        </w:rPr>
        <w:t xml:space="preserve"> en relation avec une demande d’injonction présentée par la Securities an</w:t>
      </w:r>
      <w:r w:rsidR="00007667" w:rsidRPr="00794EF8">
        <w:rPr>
          <w:szCs w:val="24"/>
          <w:lang w:val="fr-CA"/>
        </w:rPr>
        <w:t>d Exchange Commission des États-</w:t>
      </w:r>
      <w:r w:rsidR="008D1732" w:rsidRPr="00794EF8">
        <w:rPr>
          <w:szCs w:val="24"/>
          <w:lang w:val="fr-CA"/>
        </w:rPr>
        <w:t>Unis (</w:t>
      </w:r>
      <w:r w:rsidRPr="00794EF8">
        <w:rPr>
          <w:szCs w:val="24"/>
          <w:lang w:val="fr-CA"/>
        </w:rPr>
        <w:t>« SEC ») à l’encontre de International en Illinois, la SEC e</w:t>
      </w:r>
      <w:r w:rsidR="00007667" w:rsidRPr="00794EF8">
        <w:rPr>
          <w:szCs w:val="24"/>
          <w:lang w:val="fr-CA"/>
        </w:rPr>
        <w:t>t la Cour de district des États-</w:t>
      </w:r>
      <w:r w:rsidRPr="00794EF8">
        <w:rPr>
          <w:szCs w:val="24"/>
          <w:lang w:val="fr-CA"/>
        </w:rPr>
        <w:t>Unis pour le district du nord de l’Illino</w:t>
      </w:r>
      <w:r w:rsidR="00007667" w:rsidRPr="00794EF8">
        <w:rPr>
          <w:szCs w:val="24"/>
          <w:lang w:val="fr-CA"/>
        </w:rPr>
        <w:t>is ont obtenu le rapport; celui-</w:t>
      </w:r>
      <w:r w:rsidRPr="00794EF8">
        <w:rPr>
          <w:szCs w:val="24"/>
          <w:lang w:val="fr-CA"/>
        </w:rPr>
        <w:t>ci a également été affiché sur le site Web de International.</w:t>
      </w:r>
    </w:p>
    <w:p w:rsidR="009207EA" w:rsidRPr="00794EF8" w:rsidRDefault="009207EA" w:rsidP="009207EA">
      <w:pPr>
        <w:pStyle w:val="ParaNoNdepar-AltN"/>
        <w:rPr>
          <w:szCs w:val="24"/>
          <w:lang w:val="fr-CA"/>
        </w:rPr>
      </w:pPr>
      <w:r w:rsidRPr="00794EF8">
        <w:rPr>
          <w:szCs w:val="24"/>
          <w:lang w:val="fr-CA"/>
        </w:rPr>
        <w:t xml:space="preserve">Entre février 2004 et mars 2005, lord Black a introduit six actions en Cour supérieure de justice de l’Ontario.  Les quatre premières poursuites ont trait à des communiqués de presse affichés sur le site Web </w:t>
      </w:r>
      <w:proofErr w:type="gramStart"/>
      <w:r w:rsidRPr="00794EF8">
        <w:rPr>
          <w:szCs w:val="24"/>
          <w:lang w:val="fr-CA"/>
        </w:rPr>
        <w:t>de International</w:t>
      </w:r>
      <w:proofErr w:type="gramEnd"/>
      <w:r w:rsidRPr="00794EF8">
        <w:rPr>
          <w:szCs w:val="24"/>
          <w:lang w:val="fr-CA"/>
        </w:rPr>
        <w:t xml:space="preserve"> en janvier 2004 (les trois premières poursuites) et en mai 2004 (la quatrième poursuite).  La cinquième poursuite porte sur le rapport du comité, et la sixième vise les communiqués publiés dans le rapport annuel </w:t>
      </w:r>
      <w:proofErr w:type="gramStart"/>
      <w:r w:rsidRPr="00794EF8">
        <w:rPr>
          <w:szCs w:val="24"/>
          <w:lang w:val="fr-CA"/>
        </w:rPr>
        <w:t>de International</w:t>
      </w:r>
      <w:proofErr w:type="gramEnd"/>
      <w:r w:rsidRPr="00794EF8">
        <w:rPr>
          <w:szCs w:val="24"/>
          <w:lang w:val="fr-CA"/>
        </w:rPr>
        <w:t xml:space="preserve"> résumant les conclusions du comité.  Les communiqués de presse contenaient des coordonnées destinées aux médias canadiens.  Le site Web </w:t>
      </w:r>
      <w:proofErr w:type="gramStart"/>
      <w:r w:rsidRPr="00794EF8">
        <w:rPr>
          <w:szCs w:val="24"/>
          <w:lang w:val="fr-CA"/>
        </w:rPr>
        <w:t>de International</w:t>
      </w:r>
      <w:proofErr w:type="gramEnd"/>
      <w:r w:rsidRPr="00794EF8">
        <w:rPr>
          <w:szCs w:val="24"/>
          <w:lang w:val="fr-CA"/>
        </w:rPr>
        <w:t xml:space="preserve"> était accessible à l’échelle mondiale. </w:t>
      </w:r>
    </w:p>
    <w:p w:rsidR="009207EA" w:rsidRPr="00794EF8" w:rsidRDefault="009207EA" w:rsidP="009207EA">
      <w:pPr>
        <w:pStyle w:val="ParaNoNdepar-AltN"/>
        <w:rPr>
          <w:szCs w:val="24"/>
          <w:lang w:val="fr-CA"/>
        </w:rPr>
      </w:pPr>
      <w:r w:rsidRPr="00794EF8">
        <w:rPr>
          <w:szCs w:val="24"/>
          <w:lang w:val="fr-CA"/>
        </w:rPr>
        <w:t xml:space="preserve">Lord Black soutient que les communiqués de presse et les rapports publiés par les appelants et affichés sur le site Web de International contenaient des </w:t>
      </w:r>
      <w:r w:rsidRPr="00794EF8">
        <w:rPr>
          <w:szCs w:val="24"/>
          <w:lang w:val="fr-CA"/>
        </w:rPr>
        <w:lastRenderedPageBreak/>
        <w:t xml:space="preserve">propos diffamatoires qui ont été téléchargés, lus et repris en Ontario par le </w:t>
      </w:r>
      <w:r w:rsidRPr="00794EF8">
        <w:rPr>
          <w:i/>
          <w:szCs w:val="24"/>
          <w:lang w:val="fr-CA"/>
        </w:rPr>
        <w:t>Globe and Mail</w:t>
      </w:r>
      <w:r w:rsidRPr="00794EF8">
        <w:rPr>
          <w:szCs w:val="24"/>
          <w:lang w:val="fr-CA"/>
        </w:rPr>
        <w:t xml:space="preserve">, le </w:t>
      </w:r>
      <w:r w:rsidRPr="00794EF8">
        <w:rPr>
          <w:i/>
          <w:szCs w:val="24"/>
          <w:lang w:val="fr-CA"/>
        </w:rPr>
        <w:t>Toronto Star</w:t>
      </w:r>
      <w:r w:rsidRPr="00794EF8">
        <w:rPr>
          <w:szCs w:val="24"/>
          <w:lang w:val="fr-CA"/>
        </w:rPr>
        <w:t xml:space="preserve"> et le </w:t>
      </w:r>
      <w:r w:rsidRPr="00794EF8">
        <w:rPr>
          <w:i/>
          <w:szCs w:val="24"/>
          <w:lang w:val="fr-CA"/>
        </w:rPr>
        <w:t>National Post</w:t>
      </w:r>
      <w:r w:rsidRPr="00794EF8">
        <w:rPr>
          <w:szCs w:val="24"/>
          <w:lang w:val="fr-CA"/>
        </w:rPr>
        <w:t xml:space="preserve">.  Il réclame des </w:t>
      </w:r>
      <w:proofErr w:type="spellStart"/>
      <w:r w:rsidRPr="00794EF8">
        <w:rPr>
          <w:szCs w:val="24"/>
          <w:lang w:val="fr-CA"/>
        </w:rPr>
        <w:t>dommages</w:t>
      </w:r>
      <w:r w:rsidRPr="00794EF8">
        <w:rPr>
          <w:szCs w:val="24"/>
          <w:lang w:val="fr-CA"/>
        </w:rPr>
        <w:noBreakHyphen/>
        <w:t>intérêts</w:t>
      </w:r>
      <w:proofErr w:type="spellEnd"/>
      <w:r w:rsidRPr="00794EF8">
        <w:rPr>
          <w:szCs w:val="24"/>
          <w:lang w:val="fr-CA"/>
        </w:rPr>
        <w:t xml:space="preserve"> pour le tort causé à sa réputation en Ontario.  Le juge saisi de la motion a résumé comme suit les allégations figurant dans les communiqués de presse affichés sur le site Web de International (</w:t>
      </w:r>
      <w:r w:rsidR="00007667" w:rsidRPr="00794EF8">
        <w:rPr>
          <w:szCs w:val="24"/>
          <w:lang w:val="fr-CA"/>
        </w:rPr>
        <w:t xml:space="preserve">(2009), 309 D.L.R. (4th) 708, </w:t>
      </w:r>
      <w:r w:rsidRPr="00794EF8">
        <w:rPr>
          <w:szCs w:val="24"/>
          <w:lang w:val="fr-CA"/>
        </w:rPr>
        <w:t xml:space="preserve">par. 16) : </w:t>
      </w:r>
    </w:p>
    <w:p w:rsidR="009207EA" w:rsidRPr="00794EF8" w:rsidRDefault="009207EA" w:rsidP="009207EA">
      <w:pPr>
        <w:pStyle w:val="Citation-AltC"/>
        <w:spacing w:after="240"/>
        <w:ind w:left="1526" w:hanging="1526"/>
        <w:contextualSpacing w:val="0"/>
        <w:rPr>
          <w:szCs w:val="24"/>
          <w:lang w:val="fr-CA"/>
        </w:rPr>
      </w:pPr>
      <w:r w:rsidRPr="00794EF8">
        <w:rPr>
          <w:szCs w:val="24"/>
          <w:lang w:val="fr-CA"/>
        </w:rPr>
        <w:tab/>
        <w:t>[</w:t>
      </w:r>
      <w:r w:rsidRPr="00794EF8">
        <w:rPr>
          <w:smallCaps/>
          <w:szCs w:val="24"/>
          <w:lang w:val="fr-CA"/>
        </w:rPr>
        <w:t>traduction</w:t>
      </w:r>
      <w:r w:rsidRPr="00794EF8">
        <w:rPr>
          <w:szCs w:val="24"/>
          <w:lang w:val="fr-CA"/>
        </w:rPr>
        <w:t>]</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a </w:t>
      </w:r>
      <w:r w:rsidR="009207EA" w:rsidRPr="00794EF8">
        <w:rPr>
          <w:lang w:val="fr-CA"/>
        </w:rPr>
        <w:t>soutiré</w:t>
      </w:r>
      <w:r w:rsidR="009207EA" w:rsidRPr="00794EF8">
        <w:rPr>
          <w:szCs w:val="24"/>
          <w:lang w:val="fr-CA"/>
        </w:rPr>
        <w:t xml:space="preserve"> de l’argent à [International] sous forme de versements non autorisés de </w:t>
      </w:r>
      <w:proofErr w:type="spellStart"/>
      <w:r w:rsidR="009207EA" w:rsidRPr="00794EF8">
        <w:rPr>
          <w:szCs w:val="24"/>
          <w:lang w:val="fr-CA"/>
        </w:rPr>
        <w:t>non</w:t>
      </w:r>
      <w:r w:rsidR="009207EA" w:rsidRPr="00794EF8">
        <w:rPr>
          <w:szCs w:val="24"/>
          <w:lang w:val="fr-CA"/>
        </w:rPr>
        <w:noBreakHyphen/>
        <w:t>concurrence</w:t>
      </w:r>
      <w:proofErr w:type="spellEnd"/>
      <w:r w:rsidR="009207EA" w:rsidRPr="00794EF8">
        <w:rPr>
          <w:szCs w:val="24"/>
          <w:lang w:val="fr-CA"/>
        </w:rPr>
        <w:t xml:space="preserve">, s’enrichissant personnellement de façon irrégulière; </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a </w:t>
      </w:r>
      <w:r w:rsidR="009207EA" w:rsidRPr="00794EF8">
        <w:rPr>
          <w:lang w:val="fr-CA"/>
        </w:rPr>
        <w:t>détourné</w:t>
      </w:r>
      <w:r w:rsidR="009207EA" w:rsidRPr="00794EF8">
        <w:rPr>
          <w:szCs w:val="24"/>
          <w:lang w:val="fr-CA"/>
        </w:rPr>
        <w:t xml:space="preserve"> plus de 200 millions de dollars américains de [International] en recourant de façon répétée et systématique à des stratagèmes en vue de détourner injustement à son profit et au profit de ses associés des éléments d’actif de la société; </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w:t>
      </w:r>
      <w:r w:rsidR="009207EA" w:rsidRPr="00794EF8">
        <w:rPr>
          <w:lang w:val="fr-CA"/>
        </w:rPr>
        <w:t>présidait</w:t>
      </w:r>
      <w:r w:rsidR="009207EA" w:rsidRPr="00794EF8">
        <w:rPr>
          <w:szCs w:val="24"/>
          <w:lang w:val="fr-CA"/>
        </w:rPr>
        <w:t xml:space="preserve"> une </w:t>
      </w:r>
      <w:proofErr w:type="spellStart"/>
      <w:r w:rsidR="009207EA" w:rsidRPr="00794EF8">
        <w:rPr>
          <w:szCs w:val="24"/>
          <w:lang w:val="fr-CA"/>
        </w:rPr>
        <w:t>cleptocratie</w:t>
      </w:r>
      <w:proofErr w:type="spellEnd"/>
      <w:r w:rsidR="009207EA" w:rsidRPr="00794EF8">
        <w:rPr>
          <w:szCs w:val="24"/>
          <w:lang w:val="fr-CA"/>
        </w:rPr>
        <w:t xml:space="preserve"> d’entreprise dont l’activité consistait à piller [International] de façon systématique, volontaire et délibérée;  </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a </w:t>
      </w:r>
      <w:r w:rsidR="009207EA" w:rsidRPr="00794EF8">
        <w:rPr>
          <w:lang w:val="fr-CA"/>
        </w:rPr>
        <w:t>fondé</w:t>
      </w:r>
      <w:r w:rsidR="009207EA" w:rsidRPr="00794EF8">
        <w:rPr>
          <w:szCs w:val="24"/>
          <w:lang w:val="fr-CA"/>
        </w:rPr>
        <w:t xml:space="preserve"> une entité où l’immoralité était une caractéristique intrinsèque de l’équipe qui en assumait la direction;</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a </w:t>
      </w:r>
      <w:r w:rsidR="009207EA" w:rsidRPr="00794EF8">
        <w:rPr>
          <w:lang w:val="fr-CA"/>
        </w:rPr>
        <w:t>induit</w:t>
      </w:r>
      <w:r w:rsidR="009207EA" w:rsidRPr="00794EF8">
        <w:rPr>
          <w:szCs w:val="24"/>
          <w:lang w:val="fr-CA"/>
        </w:rPr>
        <w:t xml:space="preserve"> en erreur le conseil d’administration, a manqué à ses obligations de fiduciaire, a commis des délits d’initié, s’est rempli les poches aux dépens de [International] presque quotidiennement, a pratiqué l’évasion fiscale et utilisé l’argent de la société pour faire en son nom propre des dons de charité valant des millions de dollars;</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a </w:t>
      </w:r>
      <w:r w:rsidR="009207EA" w:rsidRPr="00794EF8">
        <w:rPr>
          <w:lang w:val="fr-CA"/>
        </w:rPr>
        <w:t>empoché</w:t>
      </w:r>
      <w:r w:rsidR="009207EA" w:rsidRPr="00794EF8">
        <w:rPr>
          <w:szCs w:val="24"/>
          <w:lang w:val="fr-CA"/>
        </w:rPr>
        <w:t xml:space="preserve"> 500 millions de dollars américains de [International] pour son bénéfice personnel et celui de ses associés; </w:t>
      </w:r>
    </w:p>
    <w:p w:rsidR="009207EA" w:rsidRPr="00794EF8" w:rsidRDefault="00007667" w:rsidP="00007667">
      <w:pPr>
        <w:pStyle w:val="Citation-AltC"/>
        <w:tabs>
          <w:tab w:val="left" w:pos="1530"/>
        </w:tabs>
        <w:spacing w:after="240"/>
        <w:ind w:left="2246" w:hanging="2246"/>
        <w:contextualSpacing w:val="0"/>
        <w:rPr>
          <w:szCs w:val="24"/>
          <w:lang w:val="fr-CA"/>
        </w:rPr>
      </w:pPr>
      <w:r w:rsidRPr="00794EF8">
        <w:rPr>
          <w:szCs w:val="24"/>
          <w:lang w:val="fr-CA"/>
        </w:rPr>
        <w:tab/>
        <w:t>●</w:t>
      </w:r>
      <w:r w:rsidRPr="00794EF8">
        <w:rPr>
          <w:szCs w:val="24"/>
          <w:lang w:val="fr-CA"/>
        </w:rPr>
        <w:tab/>
      </w:r>
      <w:r w:rsidR="009207EA" w:rsidRPr="00794EF8">
        <w:rPr>
          <w:szCs w:val="24"/>
          <w:lang w:val="fr-CA"/>
        </w:rPr>
        <w:t xml:space="preserve">M. Black a usé de </w:t>
      </w:r>
      <w:r w:rsidR="009207EA" w:rsidRPr="00794EF8">
        <w:rPr>
          <w:lang w:val="fr-CA"/>
        </w:rPr>
        <w:t>façon</w:t>
      </w:r>
      <w:r w:rsidR="009207EA" w:rsidRPr="00794EF8">
        <w:rPr>
          <w:szCs w:val="24"/>
          <w:lang w:val="fr-CA"/>
        </w:rPr>
        <w:t xml:space="preserve"> continue de sa position d’actionnaire de contrôle pour agir au détriment de [International] et de ses </w:t>
      </w:r>
      <w:r w:rsidR="009207EA" w:rsidRPr="00794EF8">
        <w:rPr>
          <w:szCs w:val="24"/>
          <w:lang w:val="fr-CA"/>
        </w:rPr>
        <w:lastRenderedPageBreak/>
        <w:t>actionnaires publics, et en contravention des lois américaines sur les valeurs mobilières.</w:t>
      </w:r>
    </w:p>
    <w:p w:rsidR="009207EA" w:rsidRPr="00794EF8" w:rsidRDefault="009207EA" w:rsidP="009207EA">
      <w:pPr>
        <w:pStyle w:val="ParaNoNdepar-AltN"/>
        <w:rPr>
          <w:szCs w:val="24"/>
          <w:lang w:val="fr-CA"/>
        </w:rPr>
      </w:pPr>
      <w:r w:rsidRPr="00794EF8">
        <w:rPr>
          <w:szCs w:val="24"/>
          <w:lang w:val="fr-CA"/>
        </w:rPr>
        <w:t xml:space="preserve">Les appelants ont demandé qu’il soit sursis aux six instances en diffamation au motif qu’il n’y avait pas de lien réel et substantiel entre ces instances et l’Ontario ou, subsidiairement, qu’un tribunal de New York ou de l’Illinois constituaient des ressorts plus appropriés.  À l’audience devant notre Cour, l’avocat des appelants a soutenu qu’un tribunal de l’Illinois constituait le ressort le plus approprié. </w:t>
      </w:r>
    </w:p>
    <w:p w:rsidR="009207EA" w:rsidRPr="00794EF8" w:rsidRDefault="009207EA" w:rsidP="009207EA">
      <w:pPr>
        <w:pStyle w:val="ParaNoNdepar-AltN"/>
        <w:rPr>
          <w:szCs w:val="24"/>
          <w:lang w:val="fr-CA"/>
        </w:rPr>
      </w:pPr>
      <w:r w:rsidRPr="00794EF8">
        <w:rPr>
          <w:szCs w:val="24"/>
          <w:lang w:val="fr-CA"/>
        </w:rPr>
        <w:t xml:space="preserve">Cinq des appelants agissent en défense dans chacune des six poursuites, soit, Richard C. </w:t>
      </w:r>
      <w:proofErr w:type="spellStart"/>
      <w:r w:rsidRPr="00794EF8">
        <w:rPr>
          <w:szCs w:val="24"/>
          <w:lang w:val="fr-CA"/>
        </w:rPr>
        <w:t>Breeden</w:t>
      </w:r>
      <w:proofErr w:type="spellEnd"/>
      <w:r w:rsidRPr="00794EF8">
        <w:rPr>
          <w:szCs w:val="24"/>
          <w:lang w:val="fr-CA"/>
        </w:rPr>
        <w:t xml:space="preserve">, Richard C. </w:t>
      </w:r>
      <w:proofErr w:type="spellStart"/>
      <w:r w:rsidRPr="00794EF8">
        <w:rPr>
          <w:szCs w:val="24"/>
          <w:lang w:val="fr-CA"/>
        </w:rPr>
        <w:t>Breeden</w:t>
      </w:r>
      <w:proofErr w:type="spellEnd"/>
      <w:r w:rsidRPr="00794EF8">
        <w:rPr>
          <w:szCs w:val="24"/>
          <w:lang w:val="fr-CA"/>
        </w:rPr>
        <w:t xml:space="preserve"> &amp; Co., Gordon A. Paris, Graham W. Savage et Raymond G.</w:t>
      </w:r>
      <w:r w:rsidR="00A030DA" w:rsidRPr="00794EF8">
        <w:rPr>
          <w:szCs w:val="24"/>
          <w:lang w:val="fr-CA"/>
        </w:rPr>
        <w:t xml:space="preserve"> </w:t>
      </w:r>
      <w:r w:rsidRPr="00794EF8">
        <w:rPr>
          <w:szCs w:val="24"/>
          <w:lang w:val="fr-CA"/>
        </w:rPr>
        <w:t xml:space="preserve">H. </w:t>
      </w:r>
      <w:proofErr w:type="spellStart"/>
      <w:r w:rsidRPr="00794EF8">
        <w:rPr>
          <w:szCs w:val="24"/>
          <w:lang w:val="fr-CA"/>
        </w:rPr>
        <w:t>Seitz</w:t>
      </w:r>
      <w:proofErr w:type="spellEnd"/>
      <w:r w:rsidRPr="00794EF8">
        <w:rPr>
          <w:szCs w:val="24"/>
          <w:lang w:val="fr-CA"/>
        </w:rPr>
        <w:t xml:space="preserve">.  James R. Thompson et Richard D. Burt ont été constitués comme défendeurs dans les quatre premières poursuites.  Paul B. </w:t>
      </w:r>
      <w:proofErr w:type="spellStart"/>
      <w:r w:rsidRPr="00794EF8">
        <w:rPr>
          <w:szCs w:val="24"/>
          <w:lang w:val="fr-CA"/>
        </w:rPr>
        <w:t>Healy</w:t>
      </w:r>
      <w:proofErr w:type="spellEnd"/>
      <w:r w:rsidRPr="00794EF8">
        <w:rPr>
          <w:szCs w:val="24"/>
          <w:lang w:val="fr-CA"/>
        </w:rPr>
        <w:t xml:space="preserve"> a été ajouté comme défendeur dans la cinquième, et James R. Thompson, Richard D. Burt, </w:t>
      </w:r>
      <w:proofErr w:type="spellStart"/>
      <w:r w:rsidRPr="00794EF8">
        <w:rPr>
          <w:szCs w:val="24"/>
          <w:lang w:val="fr-CA"/>
        </w:rPr>
        <w:t>Shmuel</w:t>
      </w:r>
      <w:proofErr w:type="spellEnd"/>
      <w:r w:rsidRPr="00794EF8">
        <w:rPr>
          <w:szCs w:val="24"/>
          <w:lang w:val="fr-CA"/>
        </w:rPr>
        <w:t xml:space="preserve"> </w:t>
      </w:r>
      <w:proofErr w:type="spellStart"/>
      <w:r w:rsidRPr="00794EF8">
        <w:rPr>
          <w:szCs w:val="24"/>
          <w:lang w:val="fr-CA"/>
        </w:rPr>
        <w:t>Meitar</w:t>
      </w:r>
      <w:proofErr w:type="spellEnd"/>
      <w:r w:rsidRPr="00794EF8">
        <w:rPr>
          <w:szCs w:val="24"/>
          <w:lang w:val="fr-CA"/>
        </w:rPr>
        <w:t xml:space="preserve"> ainsi que Henry A. Kissinger l’ont été dans la sixième.  M</w:t>
      </w:r>
      <w:r w:rsidR="0005161D" w:rsidRPr="00794EF8">
        <w:rPr>
          <w:szCs w:val="24"/>
          <w:lang w:val="fr-CA"/>
        </w:rPr>
        <w:t xml:space="preserve">. </w:t>
      </w:r>
      <w:r w:rsidRPr="00794EF8">
        <w:rPr>
          <w:szCs w:val="24"/>
          <w:lang w:val="fr-CA"/>
        </w:rPr>
        <w:t>Savage vit en Ontario et M. </w:t>
      </w:r>
      <w:proofErr w:type="spellStart"/>
      <w:r w:rsidRPr="00794EF8">
        <w:rPr>
          <w:szCs w:val="24"/>
          <w:lang w:val="fr-CA"/>
        </w:rPr>
        <w:t>Meitar</w:t>
      </w:r>
      <w:proofErr w:type="spellEnd"/>
      <w:r w:rsidRPr="00794EF8">
        <w:rPr>
          <w:szCs w:val="24"/>
          <w:lang w:val="fr-CA"/>
        </w:rPr>
        <w:t xml:space="preserve"> en Israël; les autres appelants vivent aux </w:t>
      </w:r>
      <w:proofErr w:type="spellStart"/>
      <w:r w:rsidRPr="00794EF8">
        <w:rPr>
          <w:szCs w:val="24"/>
          <w:lang w:val="fr-CA"/>
        </w:rPr>
        <w:t>États</w:t>
      </w:r>
      <w:r w:rsidRPr="00794EF8">
        <w:rPr>
          <w:szCs w:val="24"/>
          <w:lang w:val="fr-CA"/>
        </w:rPr>
        <w:noBreakHyphen/>
        <w:t>Unis</w:t>
      </w:r>
      <w:proofErr w:type="spellEnd"/>
      <w:r w:rsidRPr="00794EF8">
        <w:rPr>
          <w:szCs w:val="24"/>
          <w:lang w:val="fr-CA"/>
        </w:rPr>
        <w:t>, dont trois au Connecticut (M. </w:t>
      </w:r>
      <w:proofErr w:type="spellStart"/>
      <w:r w:rsidRPr="00794EF8">
        <w:rPr>
          <w:szCs w:val="24"/>
          <w:lang w:val="fr-CA"/>
        </w:rPr>
        <w:t>Breeden</w:t>
      </w:r>
      <w:proofErr w:type="spellEnd"/>
      <w:r w:rsidRPr="00794EF8">
        <w:rPr>
          <w:szCs w:val="24"/>
          <w:lang w:val="fr-CA"/>
        </w:rPr>
        <w:t xml:space="preserve">, Richard C. </w:t>
      </w:r>
      <w:proofErr w:type="spellStart"/>
      <w:r w:rsidRPr="00794EF8">
        <w:rPr>
          <w:szCs w:val="24"/>
          <w:lang w:val="fr-CA"/>
        </w:rPr>
        <w:t>Breeden</w:t>
      </w:r>
      <w:proofErr w:type="spellEnd"/>
      <w:r w:rsidRPr="00794EF8">
        <w:rPr>
          <w:szCs w:val="24"/>
          <w:lang w:val="fr-CA"/>
        </w:rPr>
        <w:t xml:space="preserve"> &amp; Co. et M. Kissinger), deux à New York (M. Paris et M. </w:t>
      </w:r>
      <w:proofErr w:type="spellStart"/>
      <w:r w:rsidRPr="00794EF8">
        <w:rPr>
          <w:szCs w:val="24"/>
          <w:lang w:val="fr-CA"/>
        </w:rPr>
        <w:t>Healy</w:t>
      </w:r>
      <w:proofErr w:type="spellEnd"/>
      <w:r w:rsidRPr="00794EF8">
        <w:rPr>
          <w:szCs w:val="24"/>
          <w:lang w:val="fr-CA"/>
        </w:rPr>
        <w:t>) et un en Illinois (M. Thompson), un dans le district de Columbia (M. Burt) et un autre au New Hampshire (M. </w:t>
      </w:r>
      <w:proofErr w:type="spellStart"/>
      <w:r w:rsidRPr="00794EF8">
        <w:rPr>
          <w:szCs w:val="24"/>
          <w:lang w:val="fr-CA"/>
        </w:rPr>
        <w:t>Seitz</w:t>
      </w:r>
      <w:proofErr w:type="spellEnd"/>
      <w:r w:rsidRPr="00794EF8">
        <w:rPr>
          <w:szCs w:val="24"/>
          <w:lang w:val="fr-CA"/>
        </w:rPr>
        <w:t xml:space="preserve">).  Ni les parties ni les instances inférieures n’ont fait de distinction entre les six poursuites pour les besoins de la motion. </w:t>
      </w:r>
    </w:p>
    <w:p w:rsidR="009207EA" w:rsidRPr="00794EF8" w:rsidRDefault="009207EA" w:rsidP="009207EA">
      <w:pPr>
        <w:pStyle w:val="ParaNoNdepar-AltN"/>
        <w:rPr>
          <w:szCs w:val="24"/>
          <w:lang w:val="fr-CA"/>
        </w:rPr>
      </w:pPr>
      <w:r w:rsidRPr="00794EF8">
        <w:rPr>
          <w:szCs w:val="24"/>
          <w:lang w:val="fr-CA"/>
        </w:rPr>
        <w:lastRenderedPageBreak/>
        <w:t xml:space="preserve">Précisons qu’en plus de ces litiges, plusieurs autres poursuites civiles et criminelles ont été intentées tant aux </w:t>
      </w:r>
      <w:proofErr w:type="spellStart"/>
      <w:r w:rsidRPr="00794EF8">
        <w:rPr>
          <w:szCs w:val="24"/>
          <w:lang w:val="fr-CA"/>
        </w:rPr>
        <w:t>États</w:t>
      </w:r>
      <w:r w:rsidRPr="00794EF8">
        <w:rPr>
          <w:szCs w:val="24"/>
          <w:lang w:val="fr-CA"/>
        </w:rPr>
        <w:noBreakHyphen/>
        <w:t>Unis</w:t>
      </w:r>
      <w:proofErr w:type="spellEnd"/>
      <w:r w:rsidRPr="00794EF8">
        <w:rPr>
          <w:szCs w:val="24"/>
          <w:lang w:val="fr-CA"/>
        </w:rPr>
        <w:t xml:space="preserve"> qu’au Canada à la suite de la diffusion du rapport du comité.  En 2007, lord Black a été déclaré coupable de trois chefs de fraude postale et d’un chef d’entrave à la justice, et il a été condamné à six ans et demi d’emprisonnement.  Deux des déclarations de culpabilité pour fraude postale ont par la suite été annulées en appel.  On a fait valoir devant les instances inférieures que ces condamnations constituaient un fait pertinent quant au litige en raison de leur incidence sur l’admissibilité de lord Black au Canada.  En juin 2011, postérieurement à l’audition du pourvoi par notre Cour, une nouvelle peine de 42 mois d’emprisonnement a été infligée à lord Black.  Il est actuellement incarcéré aux </w:t>
      </w:r>
      <w:proofErr w:type="spellStart"/>
      <w:r w:rsidRPr="00794EF8">
        <w:rPr>
          <w:szCs w:val="24"/>
          <w:lang w:val="fr-CA"/>
        </w:rPr>
        <w:t>États</w:t>
      </w:r>
      <w:r w:rsidRPr="00794EF8">
        <w:rPr>
          <w:szCs w:val="24"/>
          <w:lang w:val="fr-CA"/>
        </w:rPr>
        <w:noBreakHyphen/>
        <w:t>Unis</w:t>
      </w:r>
      <w:proofErr w:type="spellEnd"/>
      <w:r w:rsidRPr="00794EF8">
        <w:rPr>
          <w:szCs w:val="24"/>
          <w:lang w:val="fr-CA"/>
        </w:rPr>
        <w:t>.</w:t>
      </w:r>
    </w:p>
    <w:p w:rsidR="009207EA" w:rsidRPr="00794EF8" w:rsidRDefault="009207EA" w:rsidP="009207EA">
      <w:pPr>
        <w:pStyle w:val="ParaNoNdepar-AltN"/>
        <w:rPr>
          <w:szCs w:val="24"/>
          <w:lang w:val="fr-CA"/>
        </w:rPr>
      </w:pPr>
      <w:r w:rsidRPr="00794EF8">
        <w:rPr>
          <w:szCs w:val="24"/>
          <w:lang w:val="fr-CA"/>
        </w:rPr>
        <w:t xml:space="preserve">Deux poursuites civiles instituées contre lord Black par International au Delaware et en Illinois sont également pertinentes quant aux litiges en l’espèce.  Au Delaware, lord Black et </w:t>
      </w:r>
      <w:proofErr w:type="spellStart"/>
      <w:r w:rsidRPr="00794EF8">
        <w:rPr>
          <w:szCs w:val="24"/>
          <w:lang w:val="fr-CA"/>
        </w:rPr>
        <w:t>Hollinger</w:t>
      </w:r>
      <w:proofErr w:type="spellEnd"/>
      <w:r w:rsidRPr="00794EF8">
        <w:rPr>
          <w:szCs w:val="24"/>
          <w:lang w:val="fr-CA"/>
        </w:rPr>
        <w:t xml:space="preserve"> Inc. sont poursuivis pour manquement à leurs obligations contractuelles et fiduciaires sous le régime des lois de cet État.  Dans l’action instituée en Illinois, on reproche à lord Black et à ses associés d’avoir reçu plus de 90 millions de dollars américains sous forme de versements de </w:t>
      </w:r>
      <w:proofErr w:type="spellStart"/>
      <w:r w:rsidRPr="00794EF8">
        <w:rPr>
          <w:szCs w:val="24"/>
          <w:lang w:val="fr-CA"/>
        </w:rPr>
        <w:t>non</w:t>
      </w:r>
      <w:r w:rsidRPr="00794EF8">
        <w:rPr>
          <w:szCs w:val="24"/>
          <w:lang w:val="fr-CA"/>
        </w:rPr>
        <w:noBreakHyphen/>
        <w:t>concurrence</w:t>
      </w:r>
      <w:proofErr w:type="spellEnd"/>
      <w:r w:rsidRPr="00794EF8">
        <w:rPr>
          <w:szCs w:val="24"/>
          <w:lang w:val="fr-CA"/>
        </w:rPr>
        <w:t xml:space="preserve"> non autorisés ou indûment autorisés, et on allègue que les frais de services de gestion versés à </w:t>
      </w:r>
      <w:proofErr w:type="spellStart"/>
      <w:r w:rsidRPr="00794EF8">
        <w:rPr>
          <w:szCs w:val="24"/>
          <w:lang w:val="fr-CA"/>
        </w:rPr>
        <w:t>Ravelston</w:t>
      </w:r>
      <w:proofErr w:type="spellEnd"/>
      <w:r w:rsidRPr="00794EF8">
        <w:rPr>
          <w:szCs w:val="24"/>
          <w:lang w:val="fr-CA"/>
        </w:rPr>
        <w:t xml:space="preserve"> et </w:t>
      </w:r>
      <w:proofErr w:type="spellStart"/>
      <w:r w:rsidRPr="00794EF8">
        <w:rPr>
          <w:szCs w:val="24"/>
          <w:lang w:val="fr-CA"/>
        </w:rPr>
        <w:t>Hollinger</w:t>
      </w:r>
      <w:proofErr w:type="spellEnd"/>
      <w:r w:rsidRPr="00794EF8">
        <w:rPr>
          <w:szCs w:val="24"/>
          <w:lang w:val="fr-CA"/>
        </w:rPr>
        <w:t xml:space="preserve"> Inc. ont été négociés de façon irrégulière et sont exorbitants.  L’action intentée en Illinois a été suspendue en attendant la fin des procédures criminelles intentées contre lord Black.  L’existence </w:t>
      </w:r>
      <w:r w:rsidRPr="00794EF8">
        <w:rPr>
          <w:szCs w:val="24"/>
          <w:lang w:val="fr-CA"/>
        </w:rPr>
        <w:lastRenderedPageBreak/>
        <w:t xml:space="preserve">des actions intentées au Delaware et en Illinois a été prise en compte par les tribunaux d’instance inférieure. </w:t>
      </w:r>
    </w:p>
    <w:p w:rsidR="009207EA" w:rsidRPr="00794EF8" w:rsidRDefault="009207EA" w:rsidP="00174234">
      <w:pPr>
        <w:pStyle w:val="TitleTitre-AltT"/>
        <w:tabs>
          <w:tab w:val="clear" w:pos="360"/>
          <w:tab w:val="left" w:pos="540"/>
        </w:tabs>
        <w:ind w:left="540" w:hanging="540"/>
        <w:rPr>
          <w:szCs w:val="24"/>
          <w:lang w:val="fr-CA"/>
        </w:rPr>
      </w:pPr>
      <w:r w:rsidRPr="00794EF8">
        <w:rPr>
          <w:szCs w:val="24"/>
          <w:lang w:val="fr-CA"/>
        </w:rPr>
        <w:t>C.</w:t>
      </w:r>
      <w:r w:rsidRPr="00794EF8">
        <w:rPr>
          <w:szCs w:val="24"/>
          <w:lang w:val="fr-CA"/>
        </w:rPr>
        <w:tab/>
      </w:r>
      <w:r w:rsidRPr="00794EF8">
        <w:rPr>
          <w:i/>
          <w:szCs w:val="24"/>
          <w:lang w:val="fr-CA"/>
        </w:rPr>
        <w:t>Historique judiciaire</w:t>
      </w:r>
    </w:p>
    <w:p w:rsidR="009207EA" w:rsidRPr="00794EF8" w:rsidRDefault="00174234" w:rsidP="00174234">
      <w:pPr>
        <w:pStyle w:val="TitleTitre-AltT"/>
        <w:tabs>
          <w:tab w:val="clear" w:pos="360"/>
          <w:tab w:val="left" w:pos="1170"/>
        </w:tabs>
        <w:ind w:left="1800" w:hanging="1800"/>
        <w:rPr>
          <w:szCs w:val="24"/>
          <w:lang w:val="fr-CA"/>
        </w:rPr>
      </w:pPr>
      <w:r w:rsidRPr="00794EF8">
        <w:rPr>
          <w:szCs w:val="24"/>
          <w:lang w:val="fr-CA"/>
        </w:rPr>
        <w:tab/>
      </w:r>
      <w:r w:rsidR="009207EA" w:rsidRPr="00794EF8">
        <w:rPr>
          <w:szCs w:val="24"/>
          <w:lang w:val="fr-CA"/>
        </w:rPr>
        <w:t>(1)</w:t>
      </w:r>
      <w:r w:rsidR="009207EA" w:rsidRPr="00794EF8">
        <w:rPr>
          <w:szCs w:val="24"/>
          <w:lang w:val="fr-CA"/>
        </w:rPr>
        <w:tab/>
      </w:r>
      <w:r w:rsidR="009207EA" w:rsidRPr="00794EF8">
        <w:rPr>
          <w:szCs w:val="24"/>
          <w:u w:val="single"/>
          <w:lang w:val="fr-CA"/>
        </w:rPr>
        <w:t>Cour sup</w:t>
      </w:r>
      <w:r w:rsidR="008747F5" w:rsidRPr="00794EF8">
        <w:rPr>
          <w:szCs w:val="24"/>
          <w:u w:val="single"/>
          <w:lang w:val="fr-CA"/>
        </w:rPr>
        <w:t>érieure de justice de l’Ontario</w:t>
      </w:r>
      <w:r w:rsidR="009207EA" w:rsidRPr="00794EF8">
        <w:rPr>
          <w:szCs w:val="24"/>
          <w:u w:val="single"/>
          <w:lang w:val="fr-CA"/>
        </w:rPr>
        <w:t xml:space="preserve"> </w:t>
      </w:r>
      <w:r w:rsidRPr="00794EF8">
        <w:rPr>
          <w:szCs w:val="24"/>
          <w:u w:val="single"/>
          <w:lang w:val="fr-CA"/>
        </w:rPr>
        <w:t xml:space="preserve">(2009), </w:t>
      </w:r>
      <w:r w:rsidR="009207EA" w:rsidRPr="00794EF8">
        <w:rPr>
          <w:szCs w:val="24"/>
          <w:u w:val="single"/>
          <w:lang w:val="fr-CA"/>
        </w:rPr>
        <w:t xml:space="preserve">309 D.L.R. (4th) 708 (le juge </w:t>
      </w:r>
      <w:proofErr w:type="spellStart"/>
      <w:r w:rsidR="009207EA" w:rsidRPr="00794EF8">
        <w:rPr>
          <w:szCs w:val="24"/>
          <w:u w:val="single"/>
          <w:lang w:val="fr-CA"/>
        </w:rPr>
        <w:t>Belobaba</w:t>
      </w:r>
      <w:proofErr w:type="spellEnd"/>
      <w:r w:rsidR="009207EA" w:rsidRPr="00794EF8">
        <w:rPr>
          <w:szCs w:val="24"/>
          <w:u w:val="single"/>
          <w:lang w:val="fr-CA"/>
        </w:rPr>
        <w:t>)</w:t>
      </w:r>
    </w:p>
    <w:p w:rsidR="009207EA" w:rsidRPr="00794EF8" w:rsidRDefault="009207EA" w:rsidP="009207EA">
      <w:pPr>
        <w:pStyle w:val="ParaNoNdepar-AltN"/>
        <w:rPr>
          <w:szCs w:val="24"/>
          <w:lang w:val="fr-CA"/>
        </w:rPr>
      </w:pPr>
      <w:r w:rsidRPr="00794EF8">
        <w:rPr>
          <w:szCs w:val="24"/>
          <w:lang w:val="fr-CA"/>
        </w:rPr>
        <w:t xml:space="preserve">Dans ses motifs rédigés avant la publication de la décision de la Cour d’appel de l’Ontario dans l’affaire </w:t>
      </w:r>
      <w:r w:rsidRPr="00794EF8">
        <w:rPr>
          <w:i/>
          <w:szCs w:val="24"/>
          <w:lang w:val="fr-CA"/>
        </w:rPr>
        <w:t xml:space="preserve">Charron </w:t>
      </w:r>
      <w:proofErr w:type="spellStart"/>
      <w:r w:rsidRPr="00794EF8">
        <w:rPr>
          <w:i/>
          <w:szCs w:val="24"/>
          <w:lang w:val="fr-CA"/>
        </w:rPr>
        <w:t>Estate</w:t>
      </w:r>
      <w:proofErr w:type="spellEnd"/>
      <w:r w:rsidRPr="00794EF8">
        <w:rPr>
          <w:i/>
          <w:szCs w:val="24"/>
          <w:lang w:val="fr-CA"/>
        </w:rPr>
        <w:t xml:space="preserve"> c. Village </w:t>
      </w:r>
      <w:proofErr w:type="spellStart"/>
      <w:r w:rsidRPr="00794EF8">
        <w:rPr>
          <w:i/>
          <w:szCs w:val="24"/>
          <w:lang w:val="fr-CA"/>
        </w:rPr>
        <w:t>Resorts</w:t>
      </w:r>
      <w:proofErr w:type="spellEnd"/>
      <w:r w:rsidRPr="00794EF8">
        <w:rPr>
          <w:i/>
          <w:szCs w:val="24"/>
          <w:lang w:val="fr-CA"/>
        </w:rPr>
        <w:t xml:space="preserve"> Ltd.</w:t>
      </w:r>
      <w:r w:rsidRPr="00794EF8">
        <w:rPr>
          <w:szCs w:val="24"/>
          <w:lang w:val="fr-CA"/>
        </w:rPr>
        <w:t>, 2010 ONCA 84, 98 O.R. (3d) 721 (l’affaire « </w:t>
      </w:r>
      <w:r w:rsidRPr="00794EF8">
        <w:rPr>
          <w:i/>
          <w:szCs w:val="24"/>
          <w:lang w:val="fr-CA"/>
        </w:rPr>
        <w:t xml:space="preserve">Van </w:t>
      </w:r>
      <w:proofErr w:type="spellStart"/>
      <w:r w:rsidRPr="00794EF8">
        <w:rPr>
          <w:i/>
          <w:szCs w:val="24"/>
          <w:lang w:val="fr-CA"/>
        </w:rPr>
        <w:t>Breda</w:t>
      </w:r>
      <w:r w:rsidRPr="00794EF8">
        <w:rPr>
          <w:i/>
          <w:szCs w:val="24"/>
          <w:lang w:val="fr-CA"/>
        </w:rPr>
        <w:noBreakHyphen/>
        <w:t>Charron</w:t>
      </w:r>
      <w:proofErr w:type="spellEnd"/>
      <w:r w:rsidRPr="00794EF8">
        <w:rPr>
          <w:szCs w:val="24"/>
          <w:lang w:val="fr-CA"/>
        </w:rPr>
        <w:t xml:space="preserve"> »), le juge </w:t>
      </w:r>
      <w:proofErr w:type="spellStart"/>
      <w:r w:rsidRPr="00794EF8">
        <w:rPr>
          <w:szCs w:val="24"/>
          <w:lang w:val="fr-CA"/>
        </w:rPr>
        <w:t>Be</w:t>
      </w:r>
      <w:r w:rsidR="00174234" w:rsidRPr="00794EF8">
        <w:rPr>
          <w:szCs w:val="24"/>
          <w:lang w:val="fr-CA"/>
        </w:rPr>
        <w:t>lobaba</w:t>
      </w:r>
      <w:proofErr w:type="spellEnd"/>
      <w:r w:rsidR="00174234" w:rsidRPr="00794EF8">
        <w:rPr>
          <w:szCs w:val="24"/>
          <w:lang w:val="fr-CA"/>
        </w:rPr>
        <w:t xml:space="preserve"> s’est considéré lié par </w:t>
      </w:r>
      <w:r w:rsidRPr="00794EF8">
        <w:rPr>
          <w:szCs w:val="24"/>
          <w:lang w:val="fr-CA"/>
        </w:rPr>
        <w:t xml:space="preserve">l’arrêt </w:t>
      </w:r>
      <w:proofErr w:type="spellStart"/>
      <w:r w:rsidRPr="00794EF8">
        <w:rPr>
          <w:i/>
          <w:szCs w:val="24"/>
          <w:lang w:val="fr-CA"/>
        </w:rPr>
        <w:t>Muscutt</w:t>
      </w:r>
      <w:proofErr w:type="spellEnd"/>
      <w:r w:rsidRPr="00794EF8">
        <w:rPr>
          <w:i/>
          <w:szCs w:val="24"/>
          <w:lang w:val="fr-CA"/>
        </w:rPr>
        <w:t xml:space="preserve"> c. Courcelles</w:t>
      </w:r>
      <w:r w:rsidRPr="00794EF8">
        <w:rPr>
          <w:szCs w:val="24"/>
          <w:lang w:val="fr-CA"/>
        </w:rPr>
        <w:t xml:space="preserve"> (2002), 60 O.R. (3d) 20 (C.A.).  Appliquant les huit facteurs énoncés dans cet arrêt en ce qui concerne la déclaration de compétence, le juge </w:t>
      </w:r>
      <w:proofErr w:type="spellStart"/>
      <w:r w:rsidRPr="00794EF8">
        <w:rPr>
          <w:szCs w:val="24"/>
          <w:lang w:val="fr-CA"/>
        </w:rPr>
        <w:t>Belobaba</w:t>
      </w:r>
      <w:proofErr w:type="spellEnd"/>
      <w:r w:rsidRPr="00794EF8">
        <w:rPr>
          <w:szCs w:val="24"/>
          <w:lang w:val="fr-CA"/>
        </w:rPr>
        <w:t xml:space="preserve"> a conclu qu’un lien réel et substantiel avec l’Ontario avait été établi.  Premièrement, il était possible de lier les actions à l’Ontario au motif que lord Black réclamait des </w:t>
      </w:r>
      <w:proofErr w:type="spellStart"/>
      <w:r w:rsidRPr="00794EF8">
        <w:rPr>
          <w:szCs w:val="24"/>
          <w:lang w:val="fr-CA"/>
        </w:rPr>
        <w:t>dommages</w:t>
      </w:r>
      <w:r w:rsidRPr="00794EF8">
        <w:rPr>
          <w:szCs w:val="24"/>
          <w:lang w:val="fr-CA"/>
        </w:rPr>
        <w:noBreakHyphen/>
        <w:t>intérêts</w:t>
      </w:r>
      <w:proofErr w:type="spellEnd"/>
      <w:r w:rsidRPr="00794EF8">
        <w:rPr>
          <w:szCs w:val="24"/>
          <w:lang w:val="fr-CA"/>
        </w:rPr>
        <w:t xml:space="preserve"> pour un délit commis en Ontario et qu’il y maintenait des liens depuis longtemps.  Deuxièmement, il était possible d’établir un lien entre les appelants et l’Ontario en raison du fait qu’ils auraient raisonnablement pu prévoir que les communiqués affichés sur le site Web </w:t>
      </w:r>
      <w:proofErr w:type="gramStart"/>
      <w:r w:rsidRPr="00794EF8">
        <w:rPr>
          <w:szCs w:val="24"/>
          <w:lang w:val="fr-CA"/>
        </w:rPr>
        <w:t>de International</w:t>
      </w:r>
      <w:proofErr w:type="gramEnd"/>
      <w:r w:rsidRPr="00794EF8">
        <w:rPr>
          <w:szCs w:val="24"/>
          <w:lang w:val="fr-CA"/>
        </w:rPr>
        <w:t xml:space="preserve"> pouvaient nuire à la réputation de lord Black en Ontario.  Parmi les six autres facteurs énoncés dans l’arrêt </w:t>
      </w:r>
      <w:proofErr w:type="spellStart"/>
      <w:r w:rsidRPr="00794EF8">
        <w:rPr>
          <w:i/>
          <w:szCs w:val="24"/>
          <w:lang w:val="fr-CA"/>
        </w:rPr>
        <w:t>Muscutt</w:t>
      </w:r>
      <w:proofErr w:type="spellEnd"/>
      <w:r w:rsidRPr="00794EF8">
        <w:rPr>
          <w:szCs w:val="24"/>
          <w:lang w:val="fr-CA"/>
        </w:rPr>
        <w:t xml:space="preserve">, le juge </w:t>
      </w:r>
      <w:proofErr w:type="spellStart"/>
      <w:r w:rsidRPr="00794EF8">
        <w:rPr>
          <w:szCs w:val="24"/>
          <w:lang w:val="fr-CA"/>
        </w:rPr>
        <w:t>Belobaba</w:t>
      </w:r>
      <w:proofErr w:type="spellEnd"/>
      <w:r w:rsidRPr="00794EF8">
        <w:rPr>
          <w:szCs w:val="24"/>
          <w:lang w:val="fr-CA"/>
        </w:rPr>
        <w:t xml:space="preserve"> a estimé qu’un seul favorisait nettement les appelants, soit le caractère international de l’affaire.  Le demandeur avait donc établi que la Cour supérieure de justice avait compétence pour se saisir de l’affaire. </w:t>
      </w:r>
    </w:p>
    <w:p w:rsidR="009207EA" w:rsidRPr="00794EF8" w:rsidRDefault="009207EA" w:rsidP="009207EA">
      <w:pPr>
        <w:pStyle w:val="ParaNoNdepar-AltN"/>
        <w:rPr>
          <w:szCs w:val="24"/>
          <w:lang w:val="fr-CA"/>
        </w:rPr>
      </w:pPr>
      <w:r w:rsidRPr="00794EF8">
        <w:rPr>
          <w:szCs w:val="24"/>
          <w:lang w:val="fr-CA"/>
        </w:rPr>
        <w:lastRenderedPageBreak/>
        <w:t xml:space="preserve">Le juge </w:t>
      </w:r>
      <w:proofErr w:type="spellStart"/>
      <w:r w:rsidRPr="00794EF8">
        <w:rPr>
          <w:szCs w:val="24"/>
          <w:lang w:val="fr-CA"/>
        </w:rPr>
        <w:t>Belobaba</w:t>
      </w:r>
      <w:proofErr w:type="spellEnd"/>
      <w:r w:rsidRPr="00794EF8">
        <w:rPr>
          <w:szCs w:val="24"/>
          <w:lang w:val="fr-CA"/>
        </w:rPr>
        <w:t xml:space="preserve"> a également conclu que l’Ontario était le lieu où il convenait d’introduire les actions et que ni New York ni l’Illinois ne constituaient un ressort nettement plus approprié.  À son avis, un seul des six facteurs habituels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favorisait les appelants, soit celui du lieu où se trouvent les témoins et les éléments de preuve clés, et le juge </w:t>
      </w:r>
      <w:proofErr w:type="spellStart"/>
      <w:r w:rsidRPr="00794EF8">
        <w:rPr>
          <w:szCs w:val="24"/>
          <w:lang w:val="fr-CA"/>
        </w:rPr>
        <w:t>Belobaba</w:t>
      </w:r>
      <w:proofErr w:type="spellEnd"/>
      <w:r w:rsidRPr="00794EF8">
        <w:rPr>
          <w:szCs w:val="24"/>
          <w:lang w:val="fr-CA"/>
        </w:rPr>
        <w:t xml:space="preserve"> n’a pu déterminer dans quelle mesure ce facteur penchait en leur faveur.  En conséquence, le juge </w:t>
      </w:r>
      <w:proofErr w:type="spellStart"/>
      <w:r w:rsidRPr="00794EF8">
        <w:rPr>
          <w:szCs w:val="24"/>
          <w:lang w:val="fr-CA"/>
        </w:rPr>
        <w:t>Belobaba</w:t>
      </w:r>
      <w:proofErr w:type="spellEnd"/>
      <w:r w:rsidRPr="00794EF8">
        <w:rPr>
          <w:szCs w:val="24"/>
          <w:lang w:val="fr-CA"/>
        </w:rPr>
        <w:t xml:space="preserve"> a exercé son pouvoir discrétionnaire de rejeter la demande de suspension des instances.  </w:t>
      </w:r>
    </w:p>
    <w:p w:rsidR="009207EA" w:rsidRPr="00794EF8" w:rsidRDefault="006C0BAB" w:rsidP="006C0BAB">
      <w:pPr>
        <w:pStyle w:val="TitleTitre-AltT"/>
        <w:tabs>
          <w:tab w:val="clear" w:pos="360"/>
          <w:tab w:val="left" w:pos="1170"/>
        </w:tabs>
        <w:ind w:left="1800" w:hanging="1800"/>
        <w:rPr>
          <w:szCs w:val="24"/>
          <w:lang w:val="fr-CA"/>
        </w:rPr>
      </w:pPr>
      <w:r w:rsidRPr="00794EF8">
        <w:rPr>
          <w:szCs w:val="24"/>
          <w:lang w:val="fr-CA"/>
        </w:rPr>
        <w:tab/>
      </w:r>
      <w:r w:rsidR="009207EA" w:rsidRPr="00794EF8">
        <w:rPr>
          <w:szCs w:val="24"/>
          <w:lang w:val="fr-CA"/>
        </w:rPr>
        <w:t>(2)</w:t>
      </w:r>
      <w:r w:rsidR="009207EA" w:rsidRPr="00794EF8">
        <w:rPr>
          <w:szCs w:val="24"/>
          <w:lang w:val="fr-CA"/>
        </w:rPr>
        <w:tab/>
      </w:r>
      <w:r w:rsidR="009207EA" w:rsidRPr="00794EF8">
        <w:rPr>
          <w:szCs w:val="24"/>
          <w:u w:val="single"/>
          <w:lang w:val="fr-CA"/>
        </w:rPr>
        <w:t xml:space="preserve">Cour d’appel de l’Ontario, 2010 ONCA 547, 102 O.R. (3d) 748 (les juges Doherty, </w:t>
      </w:r>
      <w:proofErr w:type="spellStart"/>
      <w:r w:rsidR="009207EA" w:rsidRPr="00794EF8">
        <w:rPr>
          <w:szCs w:val="24"/>
          <w:u w:val="single"/>
          <w:lang w:val="fr-CA"/>
        </w:rPr>
        <w:t>Juriansz</w:t>
      </w:r>
      <w:proofErr w:type="spellEnd"/>
      <w:r w:rsidR="009207EA" w:rsidRPr="00794EF8">
        <w:rPr>
          <w:szCs w:val="24"/>
          <w:u w:val="single"/>
          <w:lang w:val="fr-CA"/>
        </w:rPr>
        <w:t xml:space="preserve"> et </w:t>
      </w:r>
      <w:proofErr w:type="spellStart"/>
      <w:r w:rsidR="009207EA" w:rsidRPr="00794EF8">
        <w:rPr>
          <w:szCs w:val="24"/>
          <w:u w:val="single"/>
          <w:lang w:val="fr-CA"/>
        </w:rPr>
        <w:t>Karakatsanis</w:t>
      </w:r>
      <w:proofErr w:type="spellEnd"/>
      <w:r w:rsidR="009207EA" w:rsidRPr="00794EF8">
        <w:rPr>
          <w:szCs w:val="24"/>
          <w:u w:val="single"/>
          <w:lang w:val="fr-CA"/>
        </w:rPr>
        <w:t>)</w:t>
      </w:r>
    </w:p>
    <w:p w:rsidR="009207EA" w:rsidRPr="00794EF8" w:rsidRDefault="009207EA" w:rsidP="009207EA">
      <w:pPr>
        <w:pStyle w:val="ParaNoNdepar-AltN"/>
        <w:rPr>
          <w:szCs w:val="24"/>
          <w:lang w:val="fr-CA"/>
        </w:rPr>
      </w:pPr>
      <w:r w:rsidRPr="00794EF8">
        <w:rPr>
          <w:szCs w:val="24"/>
          <w:lang w:val="fr-CA"/>
        </w:rPr>
        <w:t xml:space="preserve">Dans un jugement postérieur à la publication de sa décision dans l’affaire </w:t>
      </w:r>
      <w:r w:rsidRPr="00794EF8">
        <w:rPr>
          <w:i/>
          <w:szCs w:val="24"/>
          <w:lang w:val="fr-CA"/>
        </w:rPr>
        <w:t xml:space="preserve">Van </w:t>
      </w:r>
      <w:proofErr w:type="spellStart"/>
      <w:r w:rsidRPr="00794EF8">
        <w:rPr>
          <w:i/>
          <w:szCs w:val="24"/>
          <w:lang w:val="fr-CA"/>
        </w:rPr>
        <w:t>Breda</w:t>
      </w:r>
      <w:r w:rsidRPr="00794EF8">
        <w:rPr>
          <w:i/>
          <w:szCs w:val="24"/>
          <w:lang w:val="fr-CA"/>
        </w:rPr>
        <w:noBreakHyphen/>
        <w:t>Charron</w:t>
      </w:r>
      <w:proofErr w:type="spellEnd"/>
      <w:r w:rsidRPr="00794EF8">
        <w:rPr>
          <w:szCs w:val="24"/>
          <w:lang w:val="fr-CA"/>
        </w:rPr>
        <w:t xml:space="preserve">, la Cour d’appel de l’Ontario a rejeté à l’unanimité l’appel interjeté par les appelants.  Appliquant la méthode retenue dans </w:t>
      </w:r>
      <w:r w:rsidRPr="00794EF8">
        <w:rPr>
          <w:i/>
          <w:szCs w:val="24"/>
          <w:lang w:val="fr-CA"/>
        </w:rPr>
        <w:t xml:space="preserve">Van </w:t>
      </w:r>
      <w:proofErr w:type="spellStart"/>
      <w:r w:rsidRPr="00794EF8">
        <w:rPr>
          <w:i/>
          <w:szCs w:val="24"/>
          <w:lang w:val="fr-CA"/>
        </w:rPr>
        <w:t>Breda</w:t>
      </w:r>
      <w:r w:rsidRPr="00794EF8">
        <w:rPr>
          <w:i/>
          <w:szCs w:val="24"/>
          <w:lang w:val="fr-CA"/>
        </w:rPr>
        <w:noBreakHyphen/>
        <w:t>Charron</w:t>
      </w:r>
      <w:proofErr w:type="spellEnd"/>
      <w:r w:rsidR="00174234" w:rsidRPr="00794EF8">
        <w:rPr>
          <w:szCs w:val="24"/>
          <w:lang w:val="fr-CA"/>
        </w:rPr>
        <w:t>, la C</w:t>
      </w:r>
      <w:r w:rsidRPr="00794EF8">
        <w:rPr>
          <w:szCs w:val="24"/>
          <w:lang w:val="fr-CA"/>
        </w:rPr>
        <w:t xml:space="preserve">our d’appel s’est appuyée sur l’al. 17.02g) des </w:t>
      </w:r>
      <w:r w:rsidRPr="00794EF8">
        <w:rPr>
          <w:i/>
          <w:szCs w:val="24"/>
          <w:lang w:val="fr-CA"/>
        </w:rPr>
        <w:t>Règles de procédure civile</w:t>
      </w:r>
      <w:r w:rsidRPr="00794EF8">
        <w:rPr>
          <w:szCs w:val="24"/>
          <w:lang w:val="fr-CA"/>
        </w:rPr>
        <w:t xml:space="preserve"> de l’Ontario, R.R.O. 1990, </w:t>
      </w:r>
      <w:proofErr w:type="spellStart"/>
      <w:r w:rsidRPr="00794EF8">
        <w:rPr>
          <w:szCs w:val="24"/>
          <w:lang w:val="fr-CA"/>
        </w:rPr>
        <w:t>Règl</w:t>
      </w:r>
      <w:proofErr w:type="spellEnd"/>
      <w:r w:rsidRPr="00794EF8">
        <w:rPr>
          <w:szCs w:val="24"/>
          <w:lang w:val="fr-CA"/>
        </w:rPr>
        <w:t>. 194,</w:t>
      </w:r>
      <w:r w:rsidRPr="00794EF8">
        <w:rPr>
          <w:i/>
          <w:szCs w:val="24"/>
          <w:lang w:val="fr-CA"/>
        </w:rPr>
        <w:t xml:space="preserve"> </w:t>
      </w:r>
      <w:r w:rsidRPr="00794EF8">
        <w:rPr>
          <w:szCs w:val="24"/>
          <w:lang w:val="fr-CA"/>
        </w:rPr>
        <w:t xml:space="preserve">pour conclure que l’existence d’un lien réel et substantiel était présumée du fait qu’un délit avait été commis en Ontario.  Les appelants n’avaient pas réussi à </w:t>
      </w:r>
      <w:r w:rsidR="006C0BAB" w:rsidRPr="00794EF8">
        <w:rPr>
          <w:szCs w:val="24"/>
          <w:lang w:val="fr-CA"/>
        </w:rPr>
        <w:t>réfuter cette présomption.  La C</w:t>
      </w:r>
      <w:r w:rsidRPr="00794EF8">
        <w:rPr>
          <w:szCs w:val="24"/>
          <w:lang w:val="fr-CA"/>
        </w:rPr>
        <w:t xml:space="preserve">our d’appel a conclu que l’existence d’un lien réel et substantiel reposait aussi sur les principes d’équité et d’ordre et sur les </w:t>
      </w:r>
      <w:r w:rsidR="00174234" w:rsidRPr="00794EF8">
        <w:rPr>
          <w:szCs w:val="24"/>
          <w:lang w:val="fr-CA"/>
        </w:rPr>
        <w:t>[</w:t>
      </w:r>
      <w:r w:rsidR="00174234" w:rsidRPr="00794EF8">
        <w:rPr>
          <w:smallCaps/>
          <w:szCs w:val="24"/>
          <w:lang w:val="fr-CA"/>
        </w:rPr>
        <w:t>traduction</w:t>
      </w:r>
      <w:r w:rsidR="00174234" w:rsidRPr="00794EF8">
        <w:rPr>
          <w:szCs w:val="24"/>
          <w:lang w:val="fr-CA"/>
        </w:rPr>
        <w:t xml:space="preserve">] </w:t>
      </w:r>
      <w:r w:rsidRPr="00794EF8">
        <w:rPr>
          <w:szCs w:val="24"/>
          <w:lang w:val="fr-CA"/>
        </w:rPr>
        <w:t xml:space="preserve">« principes généraux » énoncés dans </w:t>
      </w:r>
      <w:r w:rsidRPr="00794EF8">
        <w:rPr>
          <w:i/>
          <w:szCs w:val="24"/>
          <w:lang w:val="fr-CA"/>
        </w:rPr>
        <w:t xml:space="preserve">Van </w:t>
      </w:r>
      <w:proofErr w:type="spellStart"/>
      <w:r w:rsidRPr="00794EF8">
        <w:rPr>
          <w:i/>
          <w:szCs w:val="24"/>
          <w:lang w:val="fr-CA"/>
        </w:rPr>
        <w:t>Breda</w:t>
      </w:r>
      <w:r w:rsidRPr="00794EF8">
        <w:rPr>
          <w:i/>
          <w:szCs w:val="24"/>
          <w:lang w:val="fr-CA"/>
        </w:rPr>
        <w:noBreakHyphen/>
        <w:t>Charron</w:t>
      </w:r>
      <w:proofErr w:type="spellEnd"/>
      <w:r w:rsidR="006C0BAB" w:rsidRPr="00794EF8">
        <w:rPr>
          <w:szCs w:val="24"/>
          <w:lang w:val="fr-CA"/>
        </w:rPr>
        <w:t>.  Bien que la C</w:t>
      </w:r>
      <w:r w:rsidRPr="00794EF8">
        <w:rPr>
          <w:szCs w:val="24"/>
          <w:lang w:val="fr-CA"/>
        </w:rPr>
        <w:t xml:space="preserve">our d’appel n’ait pas estimé nécessaire de trancher la question de savoir s’il convenait d’adopter la notion de « stratégie de la cible » en droit canadien, elle a tout de même conclu que la preuve au dossier démontrait que les </w:t>
      </w:r>
      <w:r w:rsidRPr="00794EF8">
        <w:rPr>
          <w:szCs w:val="24"/>
          <w:lang w:val="fr-CA"/>
        </w:rPr>
        <w:lastRenderedPageBreak/>
        <w:t xml:space="preserve">appelants avaient effectivement ciblé l’Ontario et qu’ils y avaient dirigé leurs communiqués. </w:t>
      </w:r>
    </w:p>
    <w:p w:rsidR="009207EA" w:rsidRPr="00794EF8" w:rsidRDefault="009207EA" w:rsidP="009207EA">
      <w:pPr>
        <w:pStyle w:val="ParaNoNdepar-AltN"/>
        <w:rPr>
          <w:szCs w:val="24"/>
          <w:lang w:val="fr-CA"/>
        </w:rPr>
      </w:pPr>
      <w:r w:rsidRPr="00794EF8">
        <w:rPr>
          <w:szCs w:val="24"/>
          <w:lang w:val="fr-CA"/>
        </w:rPr>
        <w:t xml:space="preserve">En ce qui concerne la doctrine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la Cour d’appel a conclu qu’il n’y avait aucune raison de modifier la décision rendue par le juge saisi de la motion dans l’exercice de son pouvoir dis</w:t>
      </w:r>
      <w:r w:rsidR="00174234" w:rsidRPr="00794EF8">
        <w:rPr>
          <w:szCs w:val="24"/>
          <w:lang w:val="fr-CA"/>
        </w:rPr>
        <w:t>crétionnaire.  De l’avis de la C</w:t>
      </w:r>
      <w:r w:rsidRPr="00794EF8">
        <w:rPr>
          <w:szCs w:val="24"/>
          <w:lang w:val="fr-CA"/>
        </w:rPr>
        <w:t xml:space="preserve">our d’appel, le juge </w:t>
      </w:r>
      <w:proofErr w:type="spellStart"/>
      <w:r w:rsidRPr="00794EF8">
        <w:rPr>
          <w:szCs w:val="24"/>
          <w:lang w:val="fr-CA"/>
        </w:rPr>
        <w:t>Belobaba</w:t>
      </w:r>
      <w:proofErr w:type="spellEnd"/>
      <w:r w:rsidRPr="00794EF8">
        <w:rPr>
          <w:szCs w:val="24"/>
          <w:lang w:val="fr-CA"/>
        </w:rPr>
        <w:t xml:space="preserve"> avait énoncé correctement les facteurs pertinents et il pouvait décider de l’importance à accorder à chacun.  En conséquence, l’appel a été rejeté. </w:t>
      </w:r>
    </w:p>
    <w:p w:rsidR="009207EA" w:rsidRPr="00794EF8" w:rsidRDefault="009207EA" w:rsidP="00174234">
      <w:pPr>
        <w:pStyle w:val="TitleTitre-AltT"/>
        <w:tabs>
          <w:tab w:val="clear" w:pos="360"/>
          <w:tab w:val="left" w:pos="540"/>
        </w:tabs>
        <w:ind w:left="540" w:hanging="540"/>
        <w:rPr>
          <w:szCs w:val="24"/>
          <w:lang w:val="fr-CA"/>
        </w:rPr>
      </w:pPr>
      <w:r w:rsidRPr="00794EF8">
        <w:rPr>
          <w:szCs w:val="24"/>
          <w:lang w:val="fr-CA"/>
        </w:rPr>
        <w:t>II.</w:t>
      </w:r>
      <w:r w:rsidRPr="00794EF8">
        <w:rPr>
          <w:szCs w:val="24"/>
          <w:lang w:val="fr-CA"/>
        </w:rPr>
        <w:tab/>
      </w:r>
      <w:r w:rsidRPr="00794EF8">
        <w:rPr>
          <w:szCs w:val="24"/>
          <w:u w:val="single"/>
          <w:lang w:val="fr-CA"/>
        </w:rPr>
        <w:t>Analyse</w:t>
      </w:r>
    </w:p>
    <w:p w:rsidR="009207EA" w:rsidRPr="00794EF8" w:rsidRDefault="009207EA" w:rsidP="00174234">
      <w:pPr>
        <w:pStyle w:val="TitleTitre-AltT"/>
        <w:tabs>
          <w:tab w:val="clear" w:pos="360"/>
          <w:tab w:val="left" w:pos="540"/>
        </w:tabs>
        <w:ind w:left="540" w:hanging="540"/>
        <w:rPr>
          <w:szCs w:val="24"/>
          <w:lang w:val="fr-CA"/>
        </w:rPr>
      </w:pPr>
      <w:r w:rsidRPr="00794EF8">
        <w:rPr>
          <w:szCs w:val="24"/>
          <w:lang w:val="fr-CA"/>
        </w:rPr>
        <w:t>A.</w:t>
      </w:r>
      <w:r w:rsidRPr="00794EF8">
        <w:rPr>
          <w:szCs w:val="24"/>
          <w:lang w:val="fr-CA"/>
        </w:rPr>
        <w:tab/>
      </w:r>
      <w:r w:rsidRPr="00794EF8">
        <w:rPr>
          <w:i/>
          <w:szCs w:val="24"/>
          <w:lang w:val="fr-CA"/>
        </w:rPr>
        <w:t>Position des parties</w:t>
      </w:r>
    </w:p>
    <w:p w:rsidR="009207EA" w:rsidRPr="00794EF8" w:rsidRDefault="009207EA" w:rsidP="009207EA">
      <w:pPr>
        <w:pStyle w:val="ParaNoNdepar-AltN"/>
        <w:rPr>
          <w:szCs w:val="24"/>
          <w:lang w:val="fr-CA"/>
        </w:rPr>
      </w:pPr>
      <w:r w:rsidRPr="00794EF8">
        <w:rPr>
          <w:szCs w:val="24"/>
          <w:lang w:val="fr-CA"/>
        </w:rPr>
        <w:t xml:space="preserve">Les </w:t>
      </w:r>
      <w:proofErr w:type="gramStart"/>
      <w:r w:rsidRPr="00794EF8">
        <w:rPr>
          <w:szCs w:val="24"/>
          <w:lang w:val="fr-CA"/>
        </w:rPr>
        <w:t>appelants soutiennent</w:t>
      </w:r>
      <w:proofErr w:type="gramEnd"/>
      <w:r w:rsidRPr="00794EF8">
        <w:rPr>
          <w:szCs w:val="24"/>
          <w:lang w:val="fr-CA"/>
        </w:rPr>
        <w:t xml:space="preserve"> que lord Black pratique le tourisme diffamatoire.  Selon eux, l’approche dite </w:t>
      </w:r>
      <w:r w:rsidR="00174234" w:rsidRPr="00794EF8">
        <w:rPr>
          <w:szCs w:val="24"/>
          <w:lang w:val="fr-CA"/>
        </w:rPr>
        <w:t>[</w:t>
      </w:r>
      <w:r w:rsidR="00174234" w:rsidRPr="00794EF8">
        <w:rPr>
          <w:smallCaps/>
          <w:szCs w:val="24"/>
          <w:lang w:val="fr-CA"/>
        </w:rPr>
        <w:t>traduction</w:t>
      </w:r>
      <w:r w:rsidR="00174234" w:rsidRPr="00794EF8">
        <w:rPr>
          <w:szCs w:val="24"/>
          <w:lang w:val="fr-CA"/>
        </w:rPr>
        <w:t xml:space="preserve">] </w:t>
      </w:r>
      <w:r w:rsidRPr="00794EF8">
        <w:rPr>
          <w:szCs w:val="24"/>
          <w:lang w:val="fr-CA"/>
        </w:rPr>
        <w:t xml:space="preserve">« du lieu de lecture » en matière de diffamation devrait, dans des actions transnationales, être écartée au profit d’une démarche fondée sur l’existence d’un lien réel et substantiel entre le ressort et le </w:t>
      </w:r>
      <w:r w:rsidRPr="00794EF8">
        <w:rPr>
          <w:i/>
          <w:szCs w:val="24"/>
          <w:lang w:val="fr-CA"/>
        </w:rPr>
        <w:t>fond</w:t>
      </w:r>
      <w:r w:rsidRPr="00794EF8">
        <w:rPr>
          <w:szCs w:val="24"/>
          <w:lang w:val="fr-CA"/>
        </w:rPr>
        <w:t xml:space="preserve"> de l’action.  Dans une action en diffamation, l’objet de la poursuite, la conduite ayant donné lieu aux propos reprochés et le contexte dans lequel ils ont été publiés sont des questions de fond.  Les appelants prétendent que les actions intentées par lord Black sont américaines quant au fond et que New York et l’Illinois sont tous </w:t>
      </w:r>
      <w:r w:rsidRPr="00794EF8">
        <w:rPr>
          <w:szCs w:val="24"/>
          <w:lang w:val="fr-CA"/>
        </w:rPr>
        <w:lastRenderedPageBreak/>
        <w:t xml:space="preserve">deux des ressorts nettement plus appropriés que l’Ontario pour l’instruction de ces instances. </w:t>
      </w:r>
    </w:p>
    <w:p w:rsidR="009207EA" w:rsidRPr="00794EF8" w:rsidRDefault="009207EA" w:rsidP="009207EA">
      <w:pPr>
        <w:pStyle w:val="ParaNoNdepar-AltN"/>
        <w:rPr>
          <w:szCs w:val="24"/>
          <w:lang w:val="fr-CA"/>
        </w:rPr>
      </w:pPr>
      <w:r w:rsidRPr="00794EF8">
        <w:rPr>
          <w:szCs w:val="24"/>
          <w:lang w:val="fr-CA"/>
        </w:rPr>
        <w:t xml:space="preserve">Les appelants soutiennent également que les instances inférieures ont à tort mis l’accent sur le ressort dans lequel les dommages ont été subis et font valoir qu’il est inapproprié de faire une analogie avec les affaires mettant en cause la responsabilité du fabricant.  Ils soutiennent en outre qu’indépendamment de l’adoption en droit canadien de la notion de « stratégie de la cible », en l’espèce, une conclusion en ce sens ne repose sur aucun fondement factuel.  À propos du choix de la loi applicable, les appelants rejettent l’application du critère de la </w:t>
      </w:r>
      <w:proofErr w:type="spellStart"/>
      <w:r w:rsidRPr="00794EF8">
        <w:rPr>
          <w:i/>
          <w:szCs w:val="24"/>
          <w:lang w:val="fr-CA"/>
        </w:rPr>
        <w:t>lex</w:t>
      </w:r>
      <w:proofErr w:type="spellEnd"/>
      <w:r w:rsidRPr="00794EF8">
        <w:rPr>
          <w:i/>
          <w:szCs w:val="24"/>
          <w:lang w:val="fr-CA"/>
        </w:rPr>
        <w:t xml:space="preserve"> </w:t>
      </w:r>
      <w:proofErr w:type="spellStart"/>
      <w:r w:rsidRPr="00794EF8">
        <w:rPr>
          <w:i/>
          <w:szCs w:val="24"/>
          <w:lang w:val="fr-CA"/>
        </w:rPr>
        <w:t>loci</w:t>
      </w:r>
      <w:proofErr w:type="spellEnd"/>
      <w:r w:rsidRPr="00794EF8">
        <w:rPr>
          <w:i/>
          <w:szCs w:val="24"/>
          <w:lang w:val="fr-CA"/>
        </w:rPr>
        <w:t xml:space="preserve"> </w:t>
      </w:r>
      <w:proofErr w:type="spellStart"/>
      <w:r w:rsidRPr="00794EF8">
        <w:rPr>
          <w:i/>
          <w:szCs w:val="24"/>
          <w:lang w:val="fr-CA"/>
        </w:rPr>
        <w:t>delicti</w:t>
      </w:r>
      <w:proofErr w:type="spellEnd"/>
      <w:r w:rsidRPr="00794EF8">
        <w:rPr>
          <w:szCs w:val="24"/>
          <w:lang w:val="fr-CA"/>
        </w:rPr>
        <w:t xml:space="preserve"> par les tribunaux d’instance inférieure.  Selon eux, ce critère convient mal pour les actions transnationales en diffamation dans la mesure où la loi applicable est déterminée uniquement en fonction du lieu où les dommages peuvent se manifester, étant donné qu’ils peuvent se manifester dans de nombreux ressorts.  Les appelants soutiennent que le droit applicable aux actions est le droit américain, en raison des questions de fond qu’elles soulèvent. </w:t>
      </w:r>
    </w:p>
    <w:p w:rsidR="009207EA" w:rsidRPr="00794EF8" w:rsidRDefault="009207EA" w:rsidP="009207EA">
      <w:pPr>
        <w:pStyle w:val="ParaNoNdepar-AltN"/>
        <w:rPr>
          <w:szCs w:val="24"/>
          <w:lang w:val="fr-CA"/>
        </w:rPr>
      </w:pPr>
      <w:r w:rsidRPr="00794EF8">
        <w:rPr>
          <w:szCs w:val="24"/>
          <w:lang w:val="fr-CA"/>
        </w:rPr>
        <w:t>Lord Black se défend de pratiquer le tourisme diffamatoire.  Il soutient qu’il est satisfait au critère du lien réel et substantiel, s’il est correctement appliqué aux actions transnati</w:t>
      </w:r>
      <w:r w:rsidR="00174234" w:rsidRPr="00794EF8">
        <w:rPr>
          <w:szCs w:val="24"/>
          <w:lang w:val="fr-CA"/>
        </w:rPr>
        <w:t xml:space="preserve">onales en diffamation, lorsque </w:t>
      </w:r>
      <w:r w:rsidRPr="00794EF8">
        <w:rPr>
          <w:szCs w:val="24"/>
          <w:lang w:val="fr-CA"/>
        </w:rPr>
        <w:t>a) la diffusion d</w:t>
      </w:r>
      <w:r w:rsidR="00174234" w:rsidRPr="00794EF8">
        <w:rPr>
          <w:szCs w:val="24"/>
          <w:lang w:val="fr-CA"/>
        </w:rPr>
        <w:t xml:space="preserve">ans le ressort est importante, </w:t>
      </w:r>
      <w:r w:rsidRPr="00794EF8">
        <w:rPr>
          <w:szCs w:val="24"/>
          <w:lang w:val="fr-CA"/>
        </w:rPr>
        <w:t xml:space="preserve">b) le plaignant a dans le ressort une </w:t>
      </w:r>
      <w:r w:rsidR="00174234" w:rsidRPr="00794EF8">
        <w:rPr>
          <w:szCs w:val="24"/>
          <w:lang w:val="fr-CA"/>
        </w:rPr>
        <w:t xml:space="preserve">bonne réputation à protéger et </w:t>
      </w:r>
      <w:r w:rsidRPr="00794EF8">
        <w:rPr>
          <w:szCs w:val="24"/>
          <w:lang w:val="fr-CA"/>
        </w:rPr>
        <w:t xml:space="preserve">c) le défendeur est en mesure de prévoir raisonnablement une diffusion importante dans le ressort et de connaître la bonne réputation du plaignant en cet endroit.  Selon lord </w:t>
      </w:r>
      <w:r w:rsidRPr="00794EF8">
        <w:rPr>
          <w:szCs w:val="24"/>
          <w:lang w:val="fr-CA"/>
        </w:rPr>
        <w:lastRenderedPageBreak/>
        <w:t xml:space="preserve">Black, les tribunaux d’instance inférieure ont appliqué correctement ce critère pour conclure que les trois conditions étaient remplies, compte tenu des faits de l’espèce.  </w:t>
      </w:r>
    </w:p>
    <w:p w:rsidR="009207EA" w:rsidRPr="00794EF8" w:rsidRDefault="009207EA" w:rsidP="009207EA">
      <w:pPr>
        <w:pStyle w:val="ParaNoNdepar-AltN"/>
        <w:rPr>
          <w:szCs w:val="24"/>
          <w:lang w:val="fr-CA"/>
        </w:rPr>
      </w:pPr>
      <w:r w:rsidRPr="00794EF8">
        <w:rPr>
          <w:szCs w:val="24"/>
          <w:lang w:val="fr-CA"/>
        </w:rPr>
        <w:t xml:space="preserve">Lord Black soutient également que l’approche préconisée par les appelants détournerait indûment l’attention que porte le droit canadien de la diffamation à la réputation de plaignant pour la faire porter plutôt sur la conduite du défendeur.  En ce qui concerne le choix de la loi applicable, lord Black fait valoir que notre Cour a établi que la règle de la </w:t>
      </w:r>
      <w:proofErr w:type="spellStart"/>
      <w:r w:rsidRPr="00794EF8">
        <w:rPr>
          <w:i/>
          <w:szCs w:val="24"/>
          <w:lang w:val="fr-CA"/>
        </w:rPr>
        <w:t>lex</w:t>
      </w:r>
      <w:proofErr w:type="spellEnd"/>
      <w:r w:rsidRPr="00794EF8">
        <w:rPr>
          <w:i/>
          <w:szCs w:val="24"/>
          <w:lang w:val="fr-CA"/>
        </w:rPr>
        <w:t xml:space="preserve"> </w:t>
      </w:r>
      <w:proofErr w:type="spellStart"/>
      <w:r w:rsidRPr="00794EF8">
        <w:rPr>
          <w:i/>
          <w:szCs w:val="24"/>
          <w:lang w:val="fr-CA"/>
        </w:rPr>
        <w:t>loci</w:t>
      </w:r>
      <w:proofErr w:type="spellEnd"/>
      <w:r w:rsidRPr="00794EF8">
        <w:rPr>
          <w:i/>
          <w:szCs w:val="24"/>
          <w:lang w:val="fr-CA"/>
        </w:rPr>
        <w:t xml:space="preserve"> </w:t>
      </w:r>
      <w:proofErr w:type="spellStart"/>
      <w:r w:rsidRPr="00794EF8">
        <w:rPr>
          <w:i/>
          <w:szCs w:val="24"/>
          <w:lang w:val="fr-CA"/>
        </w:rPr>
        <w:t>delicti</w:t>
      </w:r>
      <w:proofErr w:type="spellEnd"/>
      <w:r w:rsidRPr="00794EF8">
        <w:rPr>
          <w:i/>
          <w:szCs w:val="24"/>
          <w:lang w:val="fr-CA"/>
        </w:rPr>
        <w:t xml:space="preserve"> </w:t>
      </w:r>
      <w:r w:rsidRPr="00794EF8">
        <w:rPr>
          <w:szCs w:val="24"/>
          <w:lang w:val="fr-CA"/>
        </w:rPr>
        <w:t>est celle qui doit prévaloir dans  les actions en responsabilité délictuelle.  Dans les affaires de diffamation, la loi applicable est celle du lieu de diffusion, soit, en l’espèce, l’Ontario.</w:t>
      </w:r>
    </w:p>
    <w:p w:rsidR="009207EA" w:rsidRPr="00794EF8" w:rsidRDefault="009207EA" w:rsidP="00174234">
      <w:pPr>
        <w:pStyle w:val="TitleTitre-AltT"/>
        <w:tabs>
          <w:tab w:val="clear" w:pos="360"/>
          <w:tab w:val="left" w:pos="540"/>
        </w:tabs>
        <w:ind w:left="540" w:hanging="540"/>
        <w:rPr>
          <w:i/>
          <w:szCs w:val="24"/>
          <w:lang w:val="fr-CA"/>
        </w:rPr>
      </w:pPr>
      <w:r w:rsidRPr="00794EF8">
        <w:rPr>
          <w:szCs w:val="24"/>
          <w:lang w:val="fr-CA"/>
        </w:rPr>
        <w:t>B.</w:t>
      </w:r>
      <w:r w:rsidRPr="00794EF8">
        <w:rPr>
          <w:szCs w:val="24"/>
          <w:lang w:val="fr-CA"/>
        </w:rPr>
        <w:tab/>
      </w:r>
      <w:r w:rsidRPr="00794EF8">
        <w:rPr>
          <w:i/>
          <w:szCs w:val="24"/>
          <w:lang w:val="fr-CA"/>
        </w:rPr>
        <w:t xml:space="preserve">Simple reconnaissance de la compétence </w:t>
      </w:r>
    </w:p>
    <w:p w:rsidR="009207EA" w:rsidRPr="00794EF8" w:rsidRDefault="009207EA" w:rsidP="009207EA">
      <w:pPr>
        <w:pStyle w:val="ParaNoNdepar-AltN"/>
        <w:rPr>
          <w:szCs w:val="24"/>
          <w:lang w:val="fr-CA"/>
        </w:rPr>
      </w:pPr>
      <w:r w:rsidRPr="00794EF8">
        <w:rPr>
          <w:szCs w:val="24"/>
          <w:lang w:val="fr-CA"/>
        </w:rPr>
        <w:t xml:space="preserve">En droit international privé, la compétence de la cour s’appuie traditionnellement sur deux fondements, la présence et le consentement.  Comme nous l’avons vu cependant, un seul des </w:t>
      </w:r>
      <w:r w:rsidR="002D3897">
        <w:rPr>
          <w:szCs w:val="24"/>
          <w:lang w:val="fr-CA"/>
        </w:rPr>
        <w:t>10</w:t>
      </w:r>
      <w:r w:rsidRPr="00794EF8">
        <w:rPr>
          <w:szCs w:val="24"/>
          <w:lang w:val="fr-CA"/>
        </w:rPr>
        <w:t xml:space="preserve"> défendeurs réside en Ontario et aucun des neuf autres n’a consenti à se soumettre à la compétence de la cour ontarienne.  Il devient donc nécessaire de procéder à l’analyse du lien réel et substantiel pour déterminer si la cour ontarienne peut à bon droit se déclarer compétente pour connaître des six actions en diffamation introduites par lord Black.  Notre Cour a récemment exposé le cadre de la déclaration de compétence dans l’arrêt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w:t>
      </w:r>
    </w:p>
    <w:p w:rsidR="009207EA" w:rsidRPr="00794EF8" w:rsidRDefault="009207EA" w:rsidP="009207EA">
      <w:pPr>
        <w:pStyle w:val="ParaNoNdepar-AltN"/>
        <w:rPr>
          <w:szCs w:val="24"/>
          <w:lang w:val="fr-CA"/>
        </w:rPr>
      </w:pPr>
      <w:r w:rsidRPr="00794EF8">
        <w:rPr>
          <w:szCs w:val="24"/>
          <w:lang w:val="fr-CA"/>
        </w:rPr>
        <w:lastRenderedPageBreak/>
        <w:t xml:space="preserve">En l’espèce, la question de la déclaration de compétence est facile à trancher compte tenu du facteur de rattachement créant une présomption — le délit de diffamation qui aurait été commis en Ontario.  Le droit canadien admet depuis longtemps que le délit de diffamation se manifeste dès qu’il y a diffusion d’un propos diffamatoire destiné à un tiers.  En l’espèce, il y a eu diffusion lorsque les communiqués contestés ont été lus, téléchargés et repris en Ontario par trois journaux.  Il est également bien établi que chaque répétition ou reprise d’un communiqué diffamatoire constitue une nouvelle diffusion.  L’auteur initial du communiqué peut être tenu responsable de la reprise dès lors qu’il l’a autorisée ou que la reprise est le résultat naturel et probable de la diffusion initiale (R. E. Brown, </w:t>
      </w:r>
      <w:r w:rsidRPr="00794EF8">
        <w:rPr>
          <w:i/>
          <w:szCs w:val="24"/>
          <w:lang w:val="fr-CA"/>
        </w:rPr>
        <w:t xml:space="preserve">The Law of </w:t>
      </w:r>
      <w:proofErr w:type="spellStart"/>
      <w:r w:rsidRPr="00794EF8">
        <w:rPr>
          <w:i/>
          <w:szCs w:val="24"/>
          <w:lang w:val="fr-CA"/>
        </w:rPr>
        <w:t>Defamation</w:t>
      </w:r>
      <w:proofErr w:type="spellEnd"/>
      <w:r w:rsidRPr="00794EF8">
        <w:rPr>
          <w:i/>
          <w:szCs w:val="24"/>
          <w:lang w:val="fr-CA"/>
        </w:rPr>
        <w:t xml:space="preserve"> in Canada</w:t>
      </w:r>
      <w:r w:rsidR="00174234" w:rsidRPr="00794EF8">
        <w:rPr>
          <w:szCs w:val="24"/>
          <w:lang w:val="fr-CA"/>
        </w:rPr>
        <w:t xml:space="preserve"> (1987), vol. 1, p. 253-</w:t>
      </w:r>
      <w:r w:rsidRPr="00794EF8">
        <w:rPr>
          <w:szCs w:val="24"/>
          <w:lang w:val="fr-CA"/>
        </w:rPr>
        <w:t>254).  À mon avis, la règle s’applique clairement à la reprise, par les trois journaux, des propos figurant dans les communiqués de presse émis par les appelants.  Dans les circonstances, les appelants n’ont pas réfuté la présomption de compétence découlant de ce facteur de rattachement.</w:t>
      </w:r>
    </w:p>
    <w:p w:rsidR="009207EA" w:rsidRPr="00794EF8" w:rsidRDefault="009207EA" w:rsidP="009207EA">
      <w:pPr>
        <w:pStyle w:val="ParaNoNdepar-AltN"/>
        <w:rPr>
          <w:szCs w:val="24"/>
          <w:lang w:val="fr-CA"/>
        </w:rPr>
      </w:pPr>
      <w:r w:rsidRPr="00794EF8">
        <w:rPr>
          <w:szCs w:val="24"/>
          <w:lang w:val="fr-CA"/>
        </w:rPr>
        <w:t xml:space="preserve">Après avoir établi l’existence d’un lien réel et substantiel entre l’Ontario et les actions en diffamation, je dois maintenant aborder la question de savoir si le tribunal ontarien </w:t>
      </w:r>
      <w:r w:rsidRPr="00794EF8">
        <w:rPr>
          <w:i/>
          <w:szCs w:val="24"/>
          <w:lang w:val="fr-CA"/>
        </w:rPr>
        <w:t xml:space="preserve">devrait </w:t>
      </w:r>
      <w:r w:rsidRPr="00794EF8">
        <w:rPr>
          <w:szCs w:val="24"/>
          <w:lang w:val="fr-CA"/>
        </w:rPr>
        <w:t xml:space="preserve">exercer sa compétence pour entendre les actions — la question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w:t>
      </w:r>
    </w:p>
    <w:p w:rsidR="009207EA" w:rsidRPr="00794EF8" w:rsidRDefault="009207EA" w:rsidP="009207EA">
      <w:pPr>
        <w:pStyle w:val="TitleTitre-AltT"/>
        <w:rPr>
          <w:szCs w:val="24"/>
          <w:lang w:val="fr-CA"/>
        </w:rPr>
      </w:pPr>
      <w:r w:rsidRPr="00794EF8">
        <w:rPr>
          <w:szCs w:val="24"/>
          <w:lang w:val="fr-CA"/>
        </w:rPr>
        <w:lastRenderedPageBreak/>
        <w:t>C.</w:t>
      </w:r>
      <w:r w:rsidRPr="00794EF8">
        <w:rPr>
          <w:szCs w:val="24"/>
          <w:lang w:val="fr-CA"/>
        </w:rPr>
        <w:tab/>
      </w:r>
      <w:r w:rsidRPr="00794EF8">
        <w:rPr>
          <w:i/>
          <w:szCs w:val="24"/>
          <w:lang w:val="fr-CA"/>
        </w:rPr>
        <w:t xml:space="preserve">Forum non </w:t>
      </w:r>
      <w:proofErr w:type="spellStart"/>
      <w:r w:rsidRPr="00794EF8">
        <w:rPr>
          <w:i/>
          <w:szCs w:val="24"/>
          <w:lang w:val="fr-CA"/>
        </w:rPr>
        <w:t>conveniens</w:t>
      </w:r>
      <w:proofErr w:type="spellEnd"/>
    </w:p>
    <w:p w:rsidR="009207EA" w:rsidRPr="00794EF8" w:rsidRDefault="009207EA" w:rsidP="009207EA">
      <w:pPr>
        <w:pStyle w:val="ParaNoNdepar-AltN"/>
        <w:rPr>
          <w:szCs w:val="24"/>
          <w:lang w:val="fr-CA"/>
        </w:rPr>
      </w:pPr>
      <w:r w:rsidRPr="00794EF8">
        <w:rPr>
          <w:szCs w:val="24"/>
          <w:lang w:val="fr-CA"/>
        </w:rPr>
        <w:t xml:space="preserve">Après avoir conclu à l’existence d’un lien réel et substantiel entre les actions et l’Ontario, je dois maintenant déterminer si le tribunal ontarien devrait néanmoins décliner compétence au motif que le tribunal d’un autre ressort constitue clairement un tribunal plus approprié pour instruire les actions.  Les appelants soutiennent que l’Illinois est un ressort nettement plus approprié que l’Ontario.  Pour les motifs qui suivent, je ne souscris pas à cette conclusion. </w:t>
      </w:r>
    </w:p>
    <w:p w:rsidR="009207EA" w:rsidRPr="00794EF8" w:rsidRDefault="009207EA" w:rsidP="009207EA">
      <w:pPr>
        <w:pStyle w:val="ParaNoNdepar-AltN"/>
        <w:rPr>
          <w:szCs w:val="24"/>
          <w:lang w:val="fr-CA"/>
        </w:rPr>
      </w:pPr>
      <w:r w:rsidRPr="00794EF8">
        <w:rPr>
          <w:szCs w:val="24"/>
          <w:lang w:val="fr-CA"/>
        </w:rPr>
        <w:t xml:space="preserve">Dans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il incombe à la partie qui soulève cette question de démontrer que le tribunal de l’autre ressort constitue un tribunal nettement plus approprié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xml:space="preserve">, par. 103).  Les facteurs à prendre en compte pour déterminer si un autre tribunal est nettement plus approprié sont nombreux et variables.  Bien qu’ils émanent de la </w:t>
      </w:r>
      <w:proofErr w:type="spellStart"/>
      <w:r w:rsidRPr="00794EF8">
        <w:rPr>
          <w:szCs w:val="24"/>
          <w:lang w:val="fr-CA"/>
        </w:rPr>
        <w:t>common</w:t>
      </w:r>
      <w:proofErr w:type="spellEnd"/>
      <w:r w:rsidRPr="00794EF8">
        <w:rPr>
          <w:szCs w:val="24"/>
          <w:lang w:val="fr-CA"/>
        </w:rPr>
        <w:t xml:space="preserve"> </w:t>
      </w:r>
      <w:proofErr w:type="spellStart"/>
      <w:r w:rsidRPr="00794EF8">
        <w:rPr>
          <w:szCs w:val="24"/>
          <w:lang w:val="fr-CA"/>
        </w:rPr>
        <w:t>law</w:t>
      </w:r>
      <w:proofErr w:type="spellEnd"/>
      <w:r w:rsidRPr="00794EF8">
        <w:rPr>
          <w:szCs w:val="24"/>
          <w:lang w:val="fr-CA"/>
        </w:rPr>
        <w:t xml:space="preserve">, ils ont aussi été codifiés, par exemple dans une liste non exhaustive au par. 11(2) de la </w:t>
      </w:r>
      <w:r w:rsidRPr="00794EF8">
        <w:rPr>
          <w:i/>
          <w:szCs w:val="24"/>
          <w:lang w:val="fr-CA"/>
        </w:rPr>
        <w:t xml:space="preserve">Court </w:t>
      </w:r>
      <w:proofErr w:type="spellStart"/>
      <w:r w:rsidRPr="00794EF8">
        <w:rPr>
          <w:i/>
          <w:szCs w:val="24"/>
          <w:lang w:val="fr-CA"/>
        </w:rPr>
        <w:t>Jurisdiction</w:t>
      </w:r>
      <w:proofErr w:type="spellEnd"/>
      <w:r w:rsidRPr="00794EF8">
        <w:rPr>
          <w:i/>
          <w:szCs w:val="24"/>
          <w:lang w:val="fr-CA"/>
        </w:rPr>
        <w:t xml:space="preserve"> and </w:t>
      </w:r>
      <w:proofErr w:type="spellStart"/>
      <w:r w:rsidRPr="00794EF8">
        <w:rPr>
          <w:i/>
          <w:szCs w:val="24"/>
          <w:lang w:val="fr-CA"/>
        </w:rPr>
        <w:t>Proceedings</w:t>
      </w:r>
      <w:proofErr w:type="spellEnd"/>
      <w:r w:rsidRPr="00794EF8">
        <w:rPr>
          <w:i/>
          <w:szCs w:val="24"/>
          <w:lang w:val="fr-CA"/>
        </w:rPr>
        <w:t xml:space="preserve"> Transfer </w:t>
      </w:r>
      <w:proofErr w:type="spellStart"/>
      <w:r w:rsidRPr="00794EF8">
        <w:rPr>
          <w:i/>
          <w:szCs w:val="24"/>
          <w:lang w:val="fr-CA"/>
        </w:rPr>
        <w:t>Act</w:t>
      </w:r>
      <w:proofErr w:type="spellEnd"/>
      <w:r w:rsidRPr="00794EF8">
        <w:rPr>
          <w:szCs w:val="24"/>
          <w:lang w:val="fr-CA"/>
        </w:rPr>
        <w:t xml:space="preserve">, S.B.C. 2003, ch. 28, de la </w:t>
      </w:r>
      <w:proofErr w:type="spellStart"/>
      <w:r w:rsidRPr="00794EF8">
        <w:rPr>
          <w:szCs w:val="24"/>
          <w:lang w:val="fr-CA"/>
        </w:rPr>
        <w:t>Colombie</w:t>
      </w:r>
      <w:r w:rsidRPr="00794EF8">
        <w:rPr>
          <w:szCs w:val="24"/>
          <w:lang w:val="fr-CA"/>
        </w:rPr>
        <w:noBreakHyphen/>
        <w:t>Britannique</w:t>
      </w:r>
      <w:proofErr w:type="spellEnd"/>
      <w:r w:rsidRPr="00794EF8">
        <w:rPr>
          <w:szCs w:val="24"/>
          <w:lang w:val="fr-CA"/>
        </w:rPr>
        <w:t xml:space="preserve">.  Cette loi, tout comme d’autres lois, est inspirée d’une loi uniforme proposée </w:t>
      </w:r>
      <w:r w:rsidR="00C92A44">
        <w:rPr>
          <w:szCs w:val="24"/>
          <w:lang w:val="fr-CA"/>
        </w:rPr>
        <w:t xml:space="preserve">par </w:t>
      </w:r>
      <w:r w:rsidRPr="00794EF8">
        <w:rPr>
          <w:szCs w:val="24"/>
          <w:lang w:val="fr-CA"/>
        </w:rPr>
        <w:t>la Conférence pour l’harmonisation des lois au Canada (</w:t>
      </w:r>
      <w:r w:rsidRPr="00794EF8">
        <w:rPr>
          <w:i/>
          <w:szCs w:val="24"/>
          <w:lang w:val="fr-CA"/>
        </w:rPr>
        <w:t xml:space="preserve">Teck </w:t>
      </w:r>
      <w:proofErr w:type="spellStart"/>
      <w:r w:rsidRPr="00794EF8">
        <w:rPr>
          <w:i/>
          <w:szCs w:val="24"/>
          <w:lang w:val="fr-CA"/>
        </w:rPr>
        <w:t>Cominco</w:t>
      </w:r>
      <w:proofErr w:type="spellEnd"/>
      <w:r w:rsidRPr="00794EF8">
        <w:rPr>
          <w:i/>
          <w:szCs w:val="24"/>
          <w:lang w:val="fr-CA"/>
        </w:rPr>
        <w:t xml:space="preserve"> </w:t>
      </w:r>
      <w:proofErr w:type="spellStart"/>
      <w:r w:rsidRPr="00794EF8">
        <w:rPr>
          <w:i/>
          <w:szCs w:val="24"/>
          <w:lang w:val="fr-CA"/>
        </w:rPr>
        <w:t>Metals</w:t>
      </w:r>
      <w:proofErr w:type="spellEnd"/>
      <w:r w:rsidRPr="00794EF8">
        <w:rPr>
          <w:i/>
          <w:szCs w:val="24"/>
          <w:lang w:val="fr-CA"/>
        </w:rPr>
        <w:t xml:space="preserve"> Ltd. c. Lloyd’s </w:t>
      </w:r>
      <w:proofErr w:type="spellStart"/>
      <w:r w:rsidRPr="00794EF8">
        <w:rPr>
          <w:i/>
          <w:szCs w:val="24"/>
          <w:lang w:val="fr-CA"/>
        </w:rPr>
        <w:t>Underwriters</w:t>
      </w:r>
      <w:proofErr w:type="spellEnd"/>
      <w:r w:rsidRPr="00794EF8">
        <w:rPr>
          <w:szCs w:val="24"/>
          <w:lang w:val="fr-CA"/>
        </w:rPr>
        <w:t xml:space="preserve">, 2009 CSC 11, [2009] 1 R.C.S. 321, par. 22;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par. 105</w:t>
      </w:r>
      <w:r w:rsidRPr="00794EF8">
        <w:rPr>
          <w:szCs w:val="24"/>
          <w:lang w:val="fr-CA"/>
        </w:rPr>
        <w:noBreakHyphen/>
        <w:t xml:space="preserve">106) — la </w:t>
      </w:r>
      <w:r w:rsidRPr="00794EF8">
        <w:rPr>
          <w:i/>
          <w:szCs w:val="24"/>
          <w:lang w:val="fr-CA"/>
        </w:rPr>
        <w:t>Loi uniforme sur la compétence des tribunaux et le renvoi des instances</w:t>
      </w:r>
      <w:r w:rsidRPr="00794EF8">
        <w:rPr>
          <w:szCs w:val="24"/>
          <w:lang w:val="fr-CA"/>
        </w:rPr>
        <w:t xml:space="preserve"> (« </w:t>
      </w:r>
      <w:r w:rsidRPr="00794EF8">
        <w:rPr>
          <w:i/>
          <w:szCs w:val="24"/>
          <w:lang w:val="fr-CA"/>
        </w:rPr>
        <w:t>LUCTRI </w:t>
      </w:r>
      <w:r w:rsidRPr="00794EF8">
        <w:rPr>
          <w:szCs w:val="24"/>
          <w:lang w:val="fr-CA"/>
        </w:rPr>
        <w:t xml:space="preserve">»).  L’article 11 de la </w:t>
      </w:r>
      <w:r w:rsidRPr="00794EF8">
        <w:rPr>
          <w:i/>
          <w:szCs w:val="24"/>
          <w:lang w:val="fr-CA"/>
        </w:rPr>
        <w:t>LUCTRI</w:t>
      </w:r>
      <w:r w:rsidRPr="00794EF8">
        <w:rPr>
          <w:szCs w:val="24"/>
          <w:lang w:val="fr-CA"/>
        </w:rPr>
        <w:t xml:space="preserve"> est ainsi libellé : </w:t>
      </w:r>
    </w:p>
    <w:p w:rsidR="009207EA" w:rsidRPr="00794EF8" w:rsidRDefault="009207EA" w:rsidP="009207EA">
      <w:pPr>
        <w:pStyle w:val="Citation-AltC"/>
        <w:spacing w:after="240"/>
        <w:ind w:left="1168" w:hanging="1168"/>
        <w:contextualSpacing w:val="0"/>
        <w:rPr>
          <w:szCs w:val="24"/>
          <w:lang w:val="fr-CA"/>
        </w:rPr>
      </w:pPr>
      <w:r w:rsidRPr="00794EF8">
        <w:rPr>
          <w:b/>
          <w:szCs w:val="24"/>
          <w:lang w:val="fr-CA"/>
        </w:rPr>
        <w:lastRenderedPageBreak/>
        <w:tab/>
        <w:t>11</w:t>
      </w:r>
      <w:r w:rsidRPr="00794EF8">
        <w:rPr>
          <w:szCs w:val="24"/>
          <w:lang w:val="fr-CA"/>
        </w:rPr>
        <w:t>(1)  Après avoir pris en considération l’intérêt des parties à une instance et les fins de la justice, le tribunal peut refuser d’exercer sa compétence territoriale à l’égard d</w:t>
      </w:r>
      <w:r w:rsidR="00BC156D" w:rsidRPr="00794EF8">
        <w:rPr>
          <w:szCs w:val="24"/>
          <w:lang w:val="fr-CA"/>
        </w:rPr>
        <w:t>e l’</w:t>
      </w:r>
      <w:r w:rsidRPr="00794EF8">
        <w:rPr>
          <w:szCs w:val="24"/>
          <w:lang w:val="fr-CA"/>
        </w:rPr>
        <w:t xml:space="preserve">instance si, à son avis, il conviendrait mieux qu’un tribunal d’un autre État </w:t>
      </w:r>
      <w:r w:rsidR="00BC156D" w:rsidRPr="00794EF8">
        <w:rPr>
          <w:szCs w:val="24"/>
          <w:lang w:val="fr-CA"/>
        </w:rPr>
        <w:t>entende l’instance</w:t>
      </w:r>
      <w:r w:rsidRPr="00794EF8">
        <w:rPr>
          <w:szCs w:val="24"/>
          <w:lang w:val="fr-CA"/>
        </w:rPr>
        <w:t>.</w:t>
      </w:r>
    </w:p>
    <w:p w:rsidR="009207EA" w:rsidRPr="00794EF8" w:rsidRDefault="009207EA" w:rsidP="006C0BAB">
      <w:pPr>
        <w:pStyle w:val="Citation-AltC"/>
        <w:tabs>
          <w:tab w:val="left" w:pos="1710"/>
        </w:tabs>
        <w:spacing w:after="240"/>
        <w:ind w:left="1168" w:hanging="1168"/>
        <w:contextualSpacing w:val="0"/>
        <w:rPr>
          <w:szCs w:val="24"/>
          <w:lang w:val="fr-CA"/>
        </w:rPr>
      </w:pPr>
      <w:r w:rsidRPr="00794EF8">
        <w:rPr>
          <w:szCs w:val="24"/>
          <w:lang w:val="fr-CA"/>
        </w:rPr>
        <w:tab/>
      </w:r>
      <w:r w:rsidR="006C0BAB" w:rsidRPr="00794EF8">
        <w:rPr>
          <w:szCs w:val="24"/>
          <w:lang w:val="fr-CA"/>
        </w:rPr>
        <w:t>(2)</w:t>
      </w:r>
      <w:r w:rsidR="006C0BAB" w:rsidRPr="00794EF8">
        <w:rPr>
          <w:szCs w:val="24"/>
          <w:lang w:val="fr-CA"/>
        </w:rPr>
        <w:tab/>
      </w:r>
      <w:r w:rsidRPr="00794EF8">
        <w:rPr>
          <w:szCs w:val="24"/>
          <w:lang w:val="fr-CA"/>
        </w:rPr>
        <w:t xml:space="preserve">Lorsqu’il détermine si </w:t>
      </w:r>
      <w:r w:rsidR="00BC156D" w:rsidRPr="00794EF8">
        <w:rPr>
          <w:szCs w:val="24"/>
          <w:lang w:val="fr-CA"/>
        </w:rPr>
        <w:t xml:space="preserve">c’est lui </w:t>
      </w:r>
      <w:r w:rsidRPr="00794EF8">
        <w:rPr>
          <w:szCs w:val="24"/>
          <w:lang w:val="fr-CA"/>
        </w:rPr>
        <w:t>ou</w:t>
      </w:r>
      <w:r w:rsidR="00BC156D" w:rsidRPr="00794EF8">
        <w:rPr>
          <w:szCs w:val="24"/>
          <w:lang w:val="fr-CA"/>
        </w:rPr>
        <w:t xml:space="preserve"> un tribunal</w:t>
      </w:r>
      <w:r w:rsidRPr="00794EF8">
        <w:rPr>
          <w:szCs w:val="24"/>
          <w:lang w:val="fr-CA"/>
        </w:rPr>
        <w:t xml:space="preserve"> à l’extérieur de </w:t>
      </w:r>
      <w:r w:rsidRPr="002D3897">
        <w:rPr>
          <w:i/>
          <w:szCs w:val="24"/>
          <w:lang w:val="fr-CA"/>
        </w:rPr>
        <w:t>[</w:t>
      </w:r>
      <w:r w:rsidRPr="00794EF8">
        <w:rPr>
          <w:i/>
          <w:szCs w:val="24"/>
          <w:lang w:val="fr-CA"/>
        </w:rPr>
        <w:t>province ou territoire qui adopte la Loi</w:t>
      </w:r>
      <w:r w:rsidRPr="002D3897">
        <w:rPr>
          <w:i/>
          <w:szCs w:val="24"/>
          <w:lang w:val="fr-CA"/>
        </w:rPr>
        <w:t>]</w:t>
      </w:r>
      <w:r w:rsidRPr="00794EF8">
        <w:rPr>
          <w:szCs w:val="24"/>
          <w:lang w:val="fr-CA"/>
        </w:rPr>
        <w:t xml:space="preserve"> </w:t>
      </w:r>
      <w:r w:rsidR="00AD5CAD" w:rsidRPr="00794EF8">
        <w:rPr>
          <w:szCs w:val="24"/>
          <w:lang w:val="fr-CA"/>
        </w:rPr>
        <w:t xml:space="preserve">qui </w:t>
      </w:r>
      <w:r w:rsidRPr="00794EF8">
        <w:rPr>
          <w:szCs w:val="24"/>
          <w:lang w:val="fr-CA"/>
        </w:rPr>
        <w:t>constitue le ressort approprié pour entendre l’</w:t>
      </w:r>
      <w:r w:rsidR="00AD5CAD" w:rsidRPr="00794EF8">
        <w:rPr>
          <w:szCs w:val="24"/>
          <w:lang w:val="fr-CA"/>
        </w:rPr>
        <w:t>instance</w:t>
      </w:r>
      <w:r w:rsidRPr="00794EF8">
        <w:rPr>
          <w:szCs w:val="24"/>
          <w:lang w:val="fr-CA"/>
        </w:rPr>
        <w:t>, le tribunal doit prendre en considération les circonstances pertinentes, notamment :</w:t>
      </w:r>
    </w:p>
    <w:p w:rsidR="009207EA" w:rsidRPr="00794EF8" w:rsidRDefault="00557CE9" w:rsidP="00557CE9">
      <w:pPr>
        <w:pStyle w:val="Citation-AltC"/>
        <w:tabs>
          <w:tab w:val="left" w:pos="1710"/>
        </w:tabs>
        <w:spacing w:after="240"/>
        <w:ind w:left="1710" w:hanging="1710"/>
        <w:contextualSpacing w:val="0"/>
        <w:rPr>
          <w:szCs w:val="24"/>
          <w:lang w:val="fr-CA"/>
        </w:rPr>
      </w:pPr>
      <w:r w:rsidRPr="00794EF8">
        <w:rPr>
          <w:szCs w:val="24"/>
          <w:lang w:val="fr-CA"/>
        </w:rPr>
        <w:tab/>
        <w:t>a)</w:t>
      </w:r>
      <w:r w:rsidRPr="00794EF8">
        <w:rPr>
          <w:szCs w:val="24"/>
          <w:lang w:val="fr-CA"/>
        </w:rPr>
        <w:tab/>
        <w:t xml:space="preserve">dans quel ressort il serait plus commode et moins coûteux </w:t>
      </w:r>
      <w:r w:rsidR="009207EA" w:rsidRPr="00794EF8">
        <w:rPr>
          <w:szCs w:val="24"/>
          <w:lang w:val="fr-CA"/>
        </w:rPr>
        <w:t>pour les parties à l’instance et leurs témoins d’être</w:t>
      </w:r>
      <w:r w:rsidR="006C0BAB" w:rsidRPr="00794EF8">
        <w:rPr>
          <w:szCs w:val="24"/>
          <w:lang w:val="fr-CA"/>
        </w:rPr>
        <w:t xml:space="preserve"> entendus</w:t>
      </w:r>
      <w:r w:rsidR="009207EA" w:rsidRPr="00794EF8">
        <w:rPr>
          <w:szCs w:val="24"/>
          <w:lang w:val="fr-CA"/>
        </w:rPr>
        <w:t>;</w:t>
      </w:r>
    </w:p>
    <w:p w:rsidR="009207EA" w:rsidRPr="00794EF8" w:rsidRDefault="00557CE9" w:rsidP="00557CE9">
      <w:pPr>
        <w:pStyle w:val="Citation-AltC"/>
        <w:tabs>
          <w:tab w:val="left" w:pos="1710"/>
        </w:tabs>
        <w:spacing w:after="240"/>
        <w:ind w:left="1710" w:hanging="1710"/>
        <w:contextualSpacing w:val="0"/>
        <w:rPr>
          <w:szCs w:val="24"/>
          <w:lang w:val="fr-CA"/>
        </w:rPr>
      </w:pPr>
      <w:r w:rsidRPr="00794EF8">
        <w:rPr>
          <w:szCs w:val="24"/>
          <w:lang w:val="fr-CA"/>
        </w:rPr>
        <w:tab/>
        <w:t>b)</w:t>
      </w:r>
      <w:r w:rsidRPr="00794EF8">
        <w:rPr>
          <w:szCs w:val="24"/>
          <w:lang w:val="fr-CA"/>
        </w:rPr>
        <w:tab/>
      </w:r>
      <w:r w:rsidR="009207EA" w:rsidRPr="00794EF8">
        <w:rPr>
          <w:szCs w:val="24"/>
          <w:lang w:val="fr-CA"/>
        </w:rPr>
        <w:t>la loi à appliquer aux questions en litige;</w:t>
      </w:r>
    </w:p>
    <w:p w:rsidR="009207EA" w:rsidRPr="00794EF8" w:rsidRDefault="00557CE9" w:rsidP="00557CE9">
      <w:pPr>
        <w:pStyle w:val="Citation-AltC"/>
        <w:tabs>
          <w:tab w:val="left" w:pos="1710"/>
        </w:tabs>
        <w:spacing w:after="240"/>
        <w:ind w:left="1710" w:hanging="1710"/>
        <w:contextualSpacing w:val="0"/>
        <w:rPr>
          <w:szCs w:val="24"/>
          <w:lang w:val="fr-CA"/>
        </w:rPr>
      </w:pPr>
      <w:r w:rsidRPr="00794EF8">
        <w:rPr>
          <w:szCs w:val="24"/>
          <w:lang w:val="fr-CA"/>
        </w:rPr>
        <w:tab/>
        <w:t>c)</w:t>
      </w:r>
      <w:r w:rsidRPr="00794EF8">
        <w:rPr>
          <w:szCs w:val="24"/>
          <w:lang w:val="fr-CA"/>
        </w:rPr>
        <w:tab/>
        <w:t xml:space="preserve">le fait qu’il est préférable </w:t>
      </w:r>
      <w:r w:rsidR="009207EA" w:rsidRPr="00794EF8">
        <w:rPr>
          <w:szCs w:val="24"/>
          <w:lang w:val="fr-CA"/>
        </w:rPr>
        <w:t>d’éviter la multiplicité des</w:t>
      </w:r>
      <w:r w:rsidRPr="00794EF8">
        <w:rPr>
          <w:szCs w:val="24"/>
          <w:lang w:val="fr-CA"/>
        </w:rPr>
        <w:t xml:space="preserve"> instances judiciaires</w:t>
      </w:r>
      <w:r w:rsidR="009207EA" w:rsidRPr="00794EF8">
        <w:rPr>
          <w:szCs w:val="24"/>
          <w:lang w:val="fr-CA"/>
        </w:rPr>
        <w:t>;</w:t>
      </w:r>
    </w:p>
    <w:p w:rsidR="009207EA" w:rsidRPr="00794EF8" w:rsidRDefault="00557CE9" w:rsidP="00557CE9">
      <w:pPr>
        <w:pStyle w:val="Citation-AltC"/>
        <w:tabs>
          <w:tab w:val="left" w:pos="1710"/>
        </w:tabs>
        <w:spacing w:after="240"/>
        <w:ind w:left="1710" w:hanging="1710"/>
        <w:contextualSpacing w:val="0"/>
        <w:rPr>
          <w:szCs w:val="24"/>
          <w:lang w:val="fr-CA"/>
        </w:rPr>
      </w:pPr>
      <w:r w:rsidRPr="00794EF8">
        <w:rPr>
          <w:szCs w:val="24"/>
          <w:lang w:val="fr-CA"/>
        </w:rPr>
        <w:tab/>
        <w:t>d)</w:t>
      </w:r>
      <w:r w:rsidRPr="00794EF8">
        <w:rPr>
          <w:szCs w:val="24"/>
          <w:lang w:val="fr-CA"/>
        </w:rPr>
        <w:tab/>
        <w:t xml:space="preserve">le fait qu’il est préférable </w:t>
      </w:r>
      <w:r w:rsidR="009207EA" w:rsidRPr="00794EF8">
        <w:rPr>
          <w:szCs w:val="24"/>
          <w:lang w:val="fr-CA"/>
        </w:rPr>
        <w:t>d’éviter que des décisions contradictoires soient rendues par différents tribunaux;</w:t>
      </w:r>
    </w:p>
    <w:p w:rsidR="009207EA" w:rsidRPr="00794EF8" w:rsidRDefault="00557CE9" w:rsidP="00557CE9">
      <w:pPr>
        <w:pStyle w:val="Citation-AltC"/>
        <w:tabs>
          <w:tab w:val="left" w:pos="1710"/>
        </w:tabs>
        <w:spacing w:after="240"/>
        <w:ind w:left="1710" w:hanging="1710"/>
        <w:contextualSpacing w:val="0"/>
        <w:rPr>
          <w:szCs w:val="24"/>
          <w:lang w:val="fr-CA"/>
        </w:rPr>
      </w:pPr>
      <w:r w:rsidRPr="00794EF8">
        <w:rPr>
          <w:szCs w:val="24"/>
          <w:lang w:val="fr-CA"/>
        </w:rPr>
        <w:tab/>
        <w:t>e)</w:t>
      </w:r>
      <w:r w:rsidRPr="00794EF8">
        <w:rPr>
          <w:szCs w:val="24"/>
          <w:lang w:val="fr-CA"/>
        </w:rPr>
        <w:tab/>
      </w:r>
      <w:r w:rsidR="009207EA" w:rsidRPr="00794EF8">
        <w:rPr>
          <w:szCs w:val="24"/>
          <w:lang w:val="fr-CA"/>
        </w:rPr>
        <w:t>l’exécution d’un jugement éventuel;</w:t>
      </w:r>
    </w:p>
    <w:p w:rsidR="009207EA" w:rsidRPr="00794EF8" w:rsidRDefault="00557CE9" w:rsidP="00557CE9">
      <w:pPr>
        <w:pStyle w:val="Citation-AltC"/>
        <w:tabs>
          <w:tab w:val="left" w:pos="1710"/>
        </w:tabs>
        <w:ind w:left="1714" w:hanging="1714"/>
        <w:contextualSpacing w:val="0"/>
        <w:rPr>
          <w:szCs w:val="24"/>
          <w:lang w:val="fr-CA"/>
        </w:rPr>
      </w:pPr>
      <w:r w:rsidRPr="00794EF8">
        <w:rPr>
          <w:szCs w:val="24"/>
          <w:lang w:val="fr-CA"/>
        </w:rPr>
        <w:tab/>
        <w:t>f)</w:t>
      </w:r>
      <w:r w:rsidRPr="00794EF8">
        <w:rPr>
          <w:szCs w:val="24"/>
          <w:lang w:val="fr-CA"/>
        </w:rPr>
        <w:tab/>
      </w:r>
      <w:r w:rsidR="009207EA" w:rsidRPr="00794EF8">
        <w:rPr>
          <w:szCs w:val="24"/>
          <w:lang w:val="fr-CA"/>
        </w:rPr>
        <w:t>le fonctionnement juste et efficace du système judiciaire canadien dans son ensemble.</w:t>
      </w:r>
      <w:r w:rsidRPr="00794EF8">
        <w:rPr>
          <w:szCs w:val="24"/>
          <w:lang w:val="fr-CA"/>
        </w:rPr>
        <w:t xml:space="preserve">  [Texte entre crochets dans l’original.]</w:t>
      </w:r>
    </w:p>
    <w:p w:rsidR="009207EA" w:rsidRPr="00794EF8" w:rsidRDefault="009207EA" w:rsidP="009207EA">
      <w:pPr>
        <w:pStyle w:val="ParaNoNdepar-AltN"/>
        <w:rPr>
          <w:szCs w:val="24"/>
          <w:lang w:val="fr-CA"/>
        </w:rPr>
      </w:pPr>
      <w:r w:rsidRPr="00794EF8">
        <w:rPr>
          <w:szCs w:val="24"/>
          <w:lang w:val="fr-CA"/>
        </w:rPr>
        <w:t xml:space="preserve">Comme les rédacteurs de la </w:t>
      </w:r>
      <w:r w:rsidRPr="00794EF8">
        <w:rPr>
          <w:i/>
          <w:szCs w:val="24"/>
          <w:lang w:val="fr-CA"/>
        </w:rPr>
        <w:t>LUCTRI</w:t>
      </w:r>
      <w:r w:rsidRPr="00794EF8">
        <w:rPr>
          <w:szCs w:val="24"/>
          <w:lang w:val="fr-CA"/>
        </w:rPr>
        <w:t xml:space="preserve"> le confirment dans leurs commentaires portant sur l’art. 11, les facteurs énumérés au par. 11(2) sont des « facteurs qui ont déjà été expressément ou implicitement pris en considération par les tribunaux ».  L’article 11 de la </w:t>
      </w:r>
      <w:r w:rsidRPr="00794EF8">
        <w:rPr>
          <w:i/>
          <w:szCs w:val="24"/>
          <w:lang w:val="fr-CA"/>
        </w:rPr>
        <w:t>LUCTRI</w:t>
      </w:r>
      <w:r w:rsidRPr="00794EF8">
        <w:rPr>
          <w:szCs w:val="24"/>
          <w:lang w:val="fr-CA"/>
        </w:rPr>
        <w:t xml:space="preserve"> est aussi semblable à la disposition du </w:t>
      </w:r>
      <w:r w:rsidRPr="00794EF8">
        <w:rPr>
          <w:i/>
          <w:szCs w:val="24"/>
          <w:lang w:val="fr-CA"/>
        </w:rPr>
        <w:t>Code civil du Québec</w:t>
      </w:r>
      <w:r w:rsidRPr="00794EF8">
        <w:rPr>
          <w:szCs w:val="24"/>
          <w:lang w:val="fr-CA"/>
        </w:rPr>
        <w:t xml:space="preserve">, L.Q. 1991, ch. 64, portant sur le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et reprend les facteurs examinés par les tribunaux du Québec dans l’exercice de leur pouvoir discrétionnaire au titre de cette disposition.  L’article 3135 du </w:t>
      </w:r>
      <w:r w:rsidRPr="00794EF8">
        <w:rPr>
          <w:i/>
          <w:szCs w:val="24"/>
          <w:lang w:val="fr-CA"/>
        </w:rPr>
        <w:t>Code civil</w:t>
      </w:r>
      <w:r w:rsidRPr="00794EF8">
        <w:rPr>
          <w:szCs w:val="24"/>
          <w:lang w:val="fr-CA"/>
        </w:rPr>
        <w:t xml:space="preserve"> est ainsi libellé : </w:t>
      </w:r>
    </w:p>
    <w:p w:rsidR="009207EA" w:rsidRPr="00794EF8" w:rsidRDefault="009207EA" w:rsidP="00725154">
      <w:pPr>
        <w:pStyle w:val="Citation-AltC"/>
        <w:tabs>
          <w:tab w:val="left" w:pos="1710"/>
        </w:tabs>
        <w:ind w:hanging="1166"/>
        <w:rPr>
          <w:szCs w:val="24"/>
          <w:lang w:val="fr-CA"/>
        </w:rPr>
      </w:pPr>
      <w:r w:rsidRPr="00794EF8">
        <w:rPr>
          <w:szCs w:val="24"/>
          <w:lang w:val="fr-CA"/>
        </w:rPr>
        <w:lastRenderedPageBreak/>
        <w:tab/>
      </w:r>
      <w:r w:rsidRPr="00794EF8">
        <w:rPr>
          <w:szCs w:val="24"/>
          <w:lang w:val="fr-CA"/>
        </w:rPr>
        <w:tab/>
        <w:t>Bien qu’elle soit compétente pour connaître d’un litige, une autorité du Québec peut, exceptionnellement et à la demande d’une partie, décliner cette compétence si elle estime que les autorités d’un autre État sont mieux à même de trancher le litige.</w:t>
      </w:r>
    </w:p>
    <w:p w:rsidR="009207EA" w:rsidRPr="00794EF8" w:rsidRDefault="009207EA" w:rsidP="009207EA">
      <w:pPr>
        <w:pStyle w:val="ParaNoNdepar-AltN"/>
        <w:rPr>
          <w:szCs w:val="24"/>
          <w:lang w:val="fr-CA"/>
        </w:rPr>
      </w:pPr>
      <w:r w:rsidRPr="00794EF8">
        <w:rPr>
          <w:szCs w:val="24"/>
          <w:lang w:val="fr-CA"/>
        </w:rPr>
        <w:t xml:space="preserve">Ainsi que notre Cour l’a affirmé dans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xml:space="preserve">, le terme « exceptionnellement » utilisé à l’art. 3135, tout comme l’expression tribunal </w:t>
      </w:r>
      <w:r w:rsidR="00725154" w:rsidRPr="00794EF8">
        <w:rPr>
          <w:szCs w:val="24"/>
          <w:lang w:val="fr-CA"/>
        </w:rPr>
        <w:t>« </w:t>
      </w:r>
      <w:r w:rsidRPr="00794EF8">
        <w:rPr>
          <w:szCs w:val="24"/>
          <w:lang w:val="fr-CA"/>
        </w:rPr>
        <w:t xml:space="preserve">nettement plus approprié », reflète « une reconnaissance du fait qu’en règle générale, le tribunal doit exercer sa compétence lorsqu’il se déclare à juste titre compétent » (par. 109). </w:t>
      </w:r>
      <w:r w:rsidRPr="00794EF8">
        <w:rPr>
          <w:i/>
          <w:szCs w:val="24"/>
          <w:lang w:val="fr-CA"/>
        </w:rPr>
        <w:t xml:space="preserve"> </w:t>
      </w:r>
      <w:r w:rsidRPr="00794EF8">
        <w:rPr>
          <w:szCs w:val="24"/>
          <w:lang w:val="fr-CA"/>
        </w:rPr>
        <w:t xml:space="preserve">Les facteurs les plus souvent pris en compte par les tribunaux du Québec dans l’exercice de ce pouvoir discrétionnaire ont été examinés dans l’arrêt </w:t>
      </w:r>
      <w:r w:rsidRPr="00794EF8">
        <w:rPr>
          <w:i/>
          <w:szCs w:val="24"/>
          <w:lang w:val="fr-CA"/>
        </w:rPr>
        <w:t>Oppenheim forfait G</w:t>
      </w:r>
      <w:r w:rsidR="00725154" w:rsidRPr="00794EF8">
        <w:rPr>
          <w:i/>
          <w:szCs w:val="24"/>
          <w:lang w:val="fr-CA"/>
        </w:rPr>
        <w:t>MB</w:t>
      </w:r>
      <w:r w:rsidRPr="00794EF8">
        <w:rPr>
          <w:i/>
          <w:szCs w:val="24"/>
          <w:lang w:val="fr-CA"/>
        </w:rPr>
        <w:t xml:space="preserve">H c. Lexus maritime </w:t>
      </w:r>
      <w:proofErr w:type="spellStart"/>
      <w:r w:rsidRPr="00794EF8">
        <w:rPr>
          <w:i/>
          <w:szCs w:val="24"/>
          <w:lang w:val="fr-CA"/>
        </w:rPr>
        <w:t>inc</w:t>
      </w:r>
      <w:proofErr w:type="spellEnd"/>
      <w:r w:rsidRPr="00794EF8">
        <w:rPr>
          <w:i/>
          <w:szCs w:val="24"/>
          <w:lang w:val="fr-CA"/>
        </w:rPr>
        <w:t>.</w:t>
      </w:r>
      <w:r w:rsidRPr="00794EF8">
        <w:rPr>
          <w:szCs w:val="24"/>
          <w:lang w:val="fr-CA"/>
        </w:rPr>
        <w:t xml:space="preserve">, 1998 </w:t>
      </w:r>
      <w:proofErr w:type="spellStart"/>
      <w:r w:rsidRPr="00794EF8">
        <w:rPr>
          <w:szCs w:val="24"/>
          <w:lang w:val="fr-CA"/>
        </w:rPr>
        <w:t>CanLII</w:t>
      </w:r>
      <w:proofErr w:type="spellEnd"/>
      <w:r w:rsidRPr="00794EF8">
        <w:rPr>
          <w:szCs w:val="24"/>
          <w:lang w:val="fr-CA"/>
        </w:rPr>
        <w:t xml:space="preserve"> 13001, où la Cour d’appel du Québec a établi que, parmi les critères pertinents, il y a lieu d’examiner notamment les facteurs suivants, dont aucun n’est déterminant en soi, mais qui doivent être évalués globalement (par. 18)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1)</w:t>
      </w:r>
      <w:r w:rsidR="009207EA" w:rsidRPr="00794EF8">
        <w:rPr>
          <w:szCs w:val="24"/>
          <w:lang w:val="fr-CA"/>
        </w:rPr>
        <w:tab/>
        <w:t>le lieu de résidence des parties et des</w:t>
      </w:r>
      <w:r w:rsidR="00725154" w:rsidRPr="00794EF8">
        <w:rPr>
          <w:szCs w:val="24"/>
          <w:lang w:val="fr-CA"/>
        </w:rPr>
        <w:t xml:space="preserve"> témoins</w:t>
      </w:r>
      <w:r w:rsidR="009207EA" w:rsidRPr="00794EF8">
        <w:rPr>
          <w:szCs w:val="24"/>
          <w:lang w:val="fr-CA"/>
        </w:rPr>
        <w:t xml:space="preserve">;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2)</w:t>
      </w:r>
      <w:r w:rsidR="009207EA" w:rsidRPr="00794EF8">
        <w:rPr>
          <w:szCs w:val="24"/>
          <w:lang w:val="fr-CA"/>
        </w:rPr>
        <w:tab/>
        <w:t xml:space="preserve">la situation des éléments de preuve;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3)</w:t>
      </w:r>
      <w:r w:rsidR="009207EA" w:rsidRPr="00794EF8">
        <w:rPr>
          <w:szCs w:val="24"/>
          <w:lang w:val="fr-CA"/>
        </w:rPr>
        <w:tab/>
        <w:t>le lieu de formation et d’exécution du</w:t>
      </w:r>
      <w:r w:rsidR="00725154" w:rsidRPr="00794EF8">
        <w:rPr>
          <w:szCs w:val="24"/>
          <w:lang w:val="fr-CA"/>
        </w:rPr>
        <w:t xml:space="preserve"> contrat</w:t>
      </w:r>
      <w:r w:rsidR="009207EA" w:rsidRPr="00794EF8">
        <w:rPr>
          <w:szCs w:val="24"/>
          <w:lang w:val="fr-CA"/>
        </w:rPr>
        <w:t xml:space="preserve">;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4)</w:t>
      </w:r>
      <w:r w:rsidR="009207EA" w:rsidRPr="00794EF8">
        <w:rPr>
          <w:szCs w:val="24"/>
          <w:lang w:val="fr-CA"/>
        </w:rPr>
        <w:tab/>
        <w:t xml:space="preserve">l’existence d’une autre action intentée à l’étranger et le progrès déjà effectué dans la poursuite de cette action;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lastRenderedPageBreak/>
        <w:t>(</w:t>
      </w:r>
      <w:r w:rsidR="009207EA" w:rsidRPr="00794EF8">
        <w:rPr>
          <w:szCs w:val="24"/>
          <w:lang w:val="fr-CA"/>
        </w:rPr>
        <w:t>5)</w:t>
      </w:r>
      <w:r w:rsidR="009207EA" w:rsidRPr="00794EF8">
        <w:rPr>
          <w:szCs w:val="24"/>
          <w:lang w:val="fr-CA"/>
        </w:rPr>
        <w:tab/>
        <w:t xml:space="preserve">la situation des biens appartenant au défendeur;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6)</w:t>
      </w:r>
      <w:r w:rsidR="009207EA" w:rsidRPr="00794EF8">
        <w:rPr>
          <w:szCs w:val="24"/>
          <w:lang w:val="fr-CA"/>
        </w:rPr>
        <w:tab/>
        <w:t xml:space="preserve">la loi applicable au litige;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7)</w:t>
      </w:r>
      <w:r w:rsidR="009207EA" w:rsidRPr="00794EF8">
        <w:rPr>
          <w:szCs w:val="24"/>
          <w:lang w:val="fr-CA"/>
        </w:rPr>
        <w:tab/>
        <w:t xml:space="preserve">l’avantage dont jouit la demanderesse dans le for choisi;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8)</w:t>
      </w:r>
      <w:r w:rsidR="009207EA" w:rsidRPr="00794EF8">
        <w:rPr>
          <w:szCs w:val="24"/>
          <w:lang w:val="fr-CA"/>
        </w:rPr>
        <w:tab/>
        <w:t xml:space="preserve">l’intérêt de la justice;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9)</w:t>
      </w:r>
      <w:r w:rsidR="009207EA" w:rsidRPr="00794EF8">
        <w:rPr>
          <w:szCs w:val="24"/>
          <w:lang w:val="fr-CA"/>
        </w:rPr>
        <w:tab/>
        <w:t xml:space="preserve">l’intérêt des deux parties; </w:t>
      </w:r>
    </w:p>
    <w:p w:rsidR="009207EA" w:rsidRPr="00794EF8" w:rsidRDefault="00F870B7" w:rsidP="00F870B7">
      <w:pPr>
        <w:pStyle w:val="Citation-AltC"/>
        <w:tabs>
          <w:tab w:val="left" w:pos="1170"/>
        </w:tabs>
        <w:spacing w:after="480" w:line="480" w:lineRule="auto"/>
        <w:ind w:left="1170" w:hanging="1170"/>
        <w:contextualSpacing w:val="0"/>
        <w:rPr>
          <w:szCs w:val="24"/>
          <w:lang w:val="fr-CA"/>
        </w:rPr>
      </w:pPr>
      <w:r>
        <w:rPr>
          <w:szCs w:val="24"/>
          <w:lang w:val="fr-CA"/>
        </w:rPr>
        <w:t>(</w:t>
      </w:r>
      <w:r w:rsidR="009207EA" w:rsidRPr="00794EF8">
        <w:rPr>
          <w:szCs w:val="24"/>
          <w:lang w:val="fr-CA"/>
        </w:rPr>
        <w:t>10)</w:t>
      </w:r>
      <w:r w:rsidR="009207EA" w:rsidRPr="00794EF8">
        <w:rPr>
          <w:szCs w:val="24"/>
          <w:lang w:val="fr-CA"/>
        </w:rPr>
        <w:tab/>
        <w:t xml:space="preserve">la nécessité éventuelle d’une procédure en exemplification à l’étranger. </w:t>
      </w:r>
    </w:p>
    <w:p w:rsidR="009207EA" w:rsidRPr="00794EF8" w:rsidRDefault="009207EA" w:rsidP="009207EA">
      <w:pPr>
        <w:pStyle w:val="ParaNoNdepar-AltN"/>
        <w:rPr>
          <w:szCs w:val="24"/>
          <w:lang w:val="fr-CA"/>
        </w:rPr>
      </w:pPr>
      <w:r w:rsidRPr="00794EF8">
        <w:rPr>
          <w:szCs w:val="24"/>
          <w:lang w:val="fr-CA"/>
        </w:rPr>
        <w:t xml:space="preserve">À l’exception de l’avantage juridique, les facteurs énoncés dans </w:t>
      </w:r>
      <w:r w:rsidRPr="00794EF8">
        <w:rPr>
          <w:i/>
          <w:szCs w:val="24"/>
          <w:lang w:val="fr-CA"/>
        </w:rPr>
        <w:t xml:space="preserve">Oppenheim </w:t>
      </w:r>
      <w:r w:rsidRPr="00794EF8">
        <w:rPr>
          <w:szCs w:val="24"/>
          <w:lang w:val="fr-CA"/>
        </w:rPr>
        <w:t xml:space="preserve">semblent correspondre étroitement aux facteurs énumérés au par. 11(2) de la </w:t>
      </w:r>
      <w:r w:rsidRPr="00794EF8">
        <w:rPr>
          <w:i/>
          <w:szCs w:val="24"/>
          <w:lang w:val="fr-CA"/>
        </w:rPr>
        <w:t>LUCTRI</w:t>
      </w:r>
      <w:r w:rsidRPr="00794EF8">
        <w:rPr>
          <w:szCs w:val="24"/>
          <w:lang w:val="fr-CA"/>
        </w:rPr>
        <w:t xml:space="preserve">.  Cette loi ne prévoit pas la prise en compte d’un facteur correspondant à l’avantage dont jouit le demandeur dans le for choisi, bien qu’elle ne l’exclue pas expressément lorsque ce facteur est pertinent.  Ce point de vue s’harmonise bien avec le commentaire de notre Cour dans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xml:space="preserve">, selon lequel mettre l’accent sur l’avantage juridique serait incompatible avec les principes de la courtoisie.  Plus particulièrement, il se peut que l’accent mis sur l’avantage juridique incite les tribunaux à accorder trop d’importance à des questions tenant uniquement aux différences de tradition juridique et qui commandent la déférence, ou encore à </w:t>
      </w:r>
      <w:r w:rsidRPr="00794EF8">
        <w:rPr>
          <w:szCs w:val="24"/>
          <w:lang w:val="fr-CA"/>
        </w:rPr>
        <w:lastRenderedPageBreak/>
        <w:t>considérer spontanément le désavantage juridique comme un signe d’infériorité du forum concurrent et à favoriser le tribunal interne (par. 112).</w:t>
      </w:r>
    </w:p>
    <w:p w:rsidR="009207EA" w:rsidRPr="00794EF8" w:rsidRDefault="009207EA" w:rsidP="009207EA">
      <w:pPr>
        <w:pStyle w:val="ParaNoNdepar-AltN"/>
        <w:rPr>
          <w:szCs w:val="24"/>
          <w:lang w:val="fr-CA"/>
        </w:rPr>
      </w:pPr>
      <w:r w:rsidRPr="00794EF8">
        <w:rPr>
          <w:szCs w:val="24"/>
          <w:lang w:val="fr-CA"/>
        </w:rPr>
        <w:t xml:space="preserve">L’avantage juridique pose non seulement problème quant à la courtoisie, mais peut aussi, en pratique, constituer un exercice superflu dans l’analyse relative à la compétence. Comme l’a souligné notre Cour dans </w:t>
      </w:r>
      <w:proofErr w:type="spellStart"/>
      <w:r w:rsidRPr="00794EF8">
        <w:rPr>
          <w:i/>
          <w:szCs w:val="24"/>
          <w:lang w:val="fr-CA"/>
        </w:rPr>
        <w:t>Amchem</w:t>
      </w:r>
      <w:proofErr w:type="spellEnd"/>
      <w:r w:rsidRPr="00794EF8">
        <w:rPr>
          <w:i/>
          <w:szCs w:val="24"/>
          <w:lang w:val="fr-CA"/>
        </w:rPr>
        <w:t xml:space="preserve"> </w:t>
      </w:r>
      <w:proofErr w:type="spellStart"/>
      <w:r w:rsidRPr="00794EF8">
        <w:rPr>
          <w:i/>
          <w:szCs w:val="24"/>
          <w:lang w:val="fr-CA"/>
        </w:rPr>
        <w:t>Products</w:t>
      </w:r>
      <w:proofErr w:type="spellEnd"/>
      <w:r w:rsidRPr="00794EF8">
        <w:rPr>
          <w:i/>
          <w:szCs w:val="24"/>
          <w:lang w:val="fr-CA"/>
        </w:rPr>
        <w:t xml:space="preserve"> Inc. </w:t>
      </w:r>
      <w:r w:rsidR="00725154" w:rsidRPr="00794EF8">
        <w:rPr>
          <w:i/>
          <w:szCs w:val="24"/>
          <w:lang w:val="fr-CA"/>
        </w:rPr>
        <w:t>c. Colombie-Britannique (</w:t>
      </w:r>
      <w:proofErr w:type="spellStart"/>
      <w:r w:rsidR="00725154" w:rsidRPr="00794EF8">
        <w:rPr>
          <w:i/>
          <w:szCs w:val="24"/>
          <w:lang w:val="fr-CA"/>
        </w:rPr>
        <w:t>Worker</w:t>
      </w:r>
      <w:r w:rsidRPr="00794EF8">
        <w:rPr>
          <w:i/>
          <w:szCs w:val="24"/>
          <w:lang w:val="fr-CA"/>
        </w:rPr>
        <w:t>s</w:t>
      </w:r>
      <w:proofErr w:type="spellEnd"/>
      <w:r w:rsidR="00725154" w:rsidRPr="00794EF8">
        <w:rPr>
          <w:i/>
          <w:szCs w:val="24"/>
          <w:lang w:val="fr-CA"/>
        </w:rPr>
        <w:t>’</w:t>
      </w:r>
      <w:r w:rsidRPr="00794EF8">
        <w:rPr>
          <w:i/>
          <w:szCs w:val="24"/>
          <w:lang w:val="fr-CA"/>
        </w:rPr>
        <w:t xml:space="preserve"> Compensation </w:t>
      </w:r>
      <w:proofErr w:type="spellStart"/>
      <w:r w:rsidRPr="00794EF8">
        <w:rPr>
          <w:i/>
          <w:szCs w:val="24"/>
          <w:lang w:val="fr-CA"/>
        </w:rPr>
        <w:t>Board</w:t>
      </w:r>
      <w:proofErr w:type="spellEnd"/>
      <w:r w:rsidRPr="00794EF8">
        <w:rPr>
          <w:i/>
          <w:szCs w:val="24"/>
          <w:lang w:val="fr-CA"/>
        </w:rPr>
        <w:t>)</w:t>
      </w:r>
      <w:r w:rsidRPr="00794EF8">
        <w:rPr>
          <w:szCs w:val="24"/>
          <w:lang w:val="fr-CA"/>
        </w:rPr>
        <w:t xml:space="preserve">, [1993] 1 R.C.S. 897, « [l]a perte d’avantages subie par le demandeur à l’étranger doit être mise en balance avec la perte d’avantages, s’il en est, que subirait le défendeur devant le tribunal étranger au cas où l’action serait jugée par </w:t>
      </w:r>
      <w:proofErr w:type="spellStart"/>
      <w:r w:rsidRPr="00794EF8">
        <w:rPr>
          <w:szCs w:val="24"/>
          <w:lang w:val="fr-CA"/>
        </w:rPr>
        <w:t>celui</w:t>
      </w:r>
      <w:r w:rsidRPr="00794EF8">
        <w:rPr>
          <w:szCs w:val="24"/>
          <w:lang w:val="fr-CA"/>
        </w:rPr>
        <w:noBreakHyphen/>
        <w:t>ci</w:t>
      </w:r>
      <w:proofErr w:type="spellEnd"/>
      <w:r w:rsidRPr="00794EF8">
        <w:rPr>
          <w:szCs w:val="24"/>
          <w:lang w:val="fr-CA"/>
        </w:rPr>
        <w:t xml:space="preserve"> et non par le tribunal interne » (p. 933).  Il convient donc de ne pas accorder trop d’importance à l’avantage juridique dans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w:t>
      </w:r>
    </w:p>
    <w:p w:rsidR="009207EA" w:rsidRPr="00794EF8" w:rsidRDefault="009207EA" w:rsidP="009207EA">
      <w:pPr>
        <w:pStyle w:val="ParaNoNdepar-AltN"/>
        <w:rPr>
          <w:szCs w:val="24"/>
          <w:lang w:val="fr-CA"/>
        </w:rPr>
      </w:pPr>
      <w:r w:rsidRPr="00794EF8">
        <w:rPr>
          <w:szCs w:val="24"/>
          <w:lang w:val="fr-CA"/>
        </w:rPr>
        <w:t xml:space="preserve">Outre la liste des facteurs que le tribunal peut prendre en compte pour déterminer s’il y a lieu de décliner compétence, la </w:t>
      </w:r>
      <w:r w:rsidRPr="00794EF8">
        <w:rPr>
          <w:i/>
          <w:szCs w:val="24"/>
          <w:lang w:val="fr-CA"/>
        </w:rPr>
        <w:t xml:space="preserve">LUCTRI </w:t>
      </w:r>
      <w:r w:rsidRPr="00794EF8">
        <w:rPr>
          <w:szCs w:val="24"/>
          <w:lang w:val="fr-CA"/>
        </w:rPr>
        <w:t xml:space="preserve">définit également le rôle que jouent, dans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les considérations d’équité envers les parties.  Le parag</w:t>
      </w:r>
      <w:r w:rsidR="00725154" w:rsidRPr="00794EF8">
        <w:rPr>
          <w:szCs w:val="24"/>
          <w:lang w:val="fr-CA"/>
        </w:rPr>
        <w:t>raphe 11(1) prévoit en effet qu’</w:t>
      </w:r>
      <w:r w:rsidRPr="00794EF8">
        <w:rPr>
          <w:szCs w:val="24"/>
          <w:lang w:val="fr-CA"/>
        </w:rPr>
        <w:t xml:space="preserve">« [a]près avoir pris en considération </w:t>
      </w:r>
      <w:r w:rsidRPr="00794EF8">
        <w:rPr>
          <w:szCs w:val="24"/>
          <w:u w:val="single"/>
          <w:lang w:val="fr-CA"/>
        </w:rPr>
        <w:t>l’intérêt des parties à une instance et les fins de la justice</w:t>
      </w:r>
      <w:r w:rsidRPr="00794EF8">
        <w:rPr>
          <w:szCs w:val="24"/>
          <w:lang w:val="fr-CA"/>
        </w:rPr>
        <w:t xml:space="preserve">, le tribunal peut refuser d’exercer sa compétence territoriale à l’égard </w:t>
      </w:r>
      <w:r w:rsidR="00725154" w:rsidRPr="00794EF8">
        <w:rPr>
          <w:szCs w:val="24"/>
          <w:lang w:val="fr-CA"/>
        </w:rPr>
        <w:t>de l</w:t>
      </w:r>
      <w:r w:rsidRPr="00794EF8">
        <w:rPr>
          <w:szCs w:val="24"/>
          <w:lang w:val="fr-CA"/>
        </w:rPr>
        <w:t>’instance si, à son avis, il conviendrait mieux qu’un tribunal d’un autre État e</w:t>
      </w:r>
      <w:r w:rsidR="00725154" w:rsidRPr="00794EF8">
        <w:rPr>
          <w:szCs w:val="24"/>
          <w:lang w:val="fr-CA"/>
        </w:rPr>
        <w:t>ntende l’instance</w:t>
      </w:r>
      <w:r w:rsidRPr="00794EF8">
        <w:rPr>
          <w:szCs w:val="24"/>
          <w:lang w:val="fr-CA"/>
        </w:rPr>
        <w:t xml:space="preserve"> » (je souligne).  Bien que les facteurs pertinents quant à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varient selon le contexte de chaque affaire, l’art. 11 de la </w:t>
      </w:r>
      <w:r w:rsidRPr="00794EF8">
        <w:rPr>
          <w:i/>
          <w:szCs w:val="24"/>
          <w:lang w:val="fr-CA"/>
        </w:rPr>
        <w:t xml:space="preserve">LUCTRI </w:t>
      </w:r>
      <w:r w:rsidRPr="00794EF8">
        <w:rPr>
          <w:szCs w:val="24"/>
          <w:lang w:val="fr-CA"/>
        </w:rPr>
        <w:t>constitue une référence utile.</w:t>
      </w:r>
    </w:p>
    <w:p w:rsidR="009207EA" w:rsidRPr="00794EF8" w:rsidRDefault="009207EA" w:rsidP="009207EA">
      <w:pPr>
        <w:pStyle w:val="ParaNoNdepar-AltN"/>
        <w:rPr>
          <w:szCs w:val="24"/>
          <w:lang w:val="fr-CA"/>
        </w:rPr>
      </w:pPr>
      <w:r w:rsidRPr="00794EF8">
        <w:rPr>
          <w:szCs w:val="24"/>
          <w:lang w:val="fr-CA"/>
        </w:rPr>
        <w:lastRenderedPageBreak/>
        <w:t xml:space="preserve">En appliquant l’analyse relative au </w:t>
      </w:r>
      <w:r w:rsidRPr="00794EF8">
        <w:rPr>
          <w:i/>
          <w:szCs w:val="24"/>
          <w:lang w:val="fr-CA"/>
        </w:rPr>
        <w:t xml:space="preserve">forum non </w:t>
      </w:r>
      <w:proofErr w:type="spellStart"/>
      <w:r w:rsidRPr="00794EF8">
        <w:rPr>
          <w:i/>
          <w:szCs w:val="24"/>
          <w:lang w:val="fr-CA"/>
        </w:rPr>
        <w:t>conveniens</w:t>
      </w:r>
      <w:proofErr w:type="spellEnd"/>
      <w:r w:rsidRPr="00794EF8">
        <w:rPr>
          <w:i/>
          <w:szCs w:val="24"/>
          <w:lang w:val="fr-CA"/>
        </w:rPr>
        <w:t xml:space="preserve"> </w:t>
      </w:r>
      <w:r w:rsidRPr="00794EF8">
        <w:rPr>
          <w:szCs w:val="24"/>
          <w:lang w:val="fr-CA"/>
        </w:rPr>
        <w:t xml:space="preserve">aux circonstances du présent pourvoi, il ressort à l’évidence que les tribunaux de l’Illinois et de l’Ontario constituent tous deux des ressorts appropriés pour l’instruction des actions en diffamation.  En fait, bon nombre de facteurs pertinents militent en faveur de la tenue du procès en Illinois.  D’autres facteurs favorisent la tenue du procès en Ontario.  En définitive, toutefois, en faisant preuve de la déférence qui s’impose à l’égard de l’exercice du pouvoir discrétionnaire du juge saisi de la motion, je ne suis pas convaincu que les appelants ont établi que le tribunal de l’Illinois apparaît comme un ressort </w:t>
      </w:r>
      <w:r w:rsidRPr="00794EF8">
        <w:rPr>
          <w:i/>
          <w:szCs w:val="24"/>
          <w:lang w:val="fr-CA"/>
        </w:rPr>
        <w:t>nettement</w:t>
      </w:r>
      <w:r w:rsidRPr="00794EF8">
        <w:rPr>
          <w:szCs w:val="24"/>
          <w:lang w:val="fr-CA"/>
        </w:rPr>
        <w:t xml:space="preserve"> plus approprié et que le juge saisi de la motion a commis une erreur donnant lieu à révision.  Je vais examiner successivement chacun des facteurs pertinents.</w:t>
      </w:r>
    </w:p>
    <w:p w:rsidR="009207EA" w:rsidRPr="00794EF8" w:rsidRDefault="00CB144C" w:rsidP="00CB144C">
      <w:pPr>
        <w:pStyle w:val="TitleTitre-AltT"/>
        <w:tabs>
          <w:tab w:val="clear" w:pos="360"/>
          <w:tab w:val="left" w:pos="1170"/>
          <w:tab w:val="left" w:pos="1701"/>
        </w:tabs>
        <w:ind w:left="1695" w:hanging="1695"/>
        <w:rPr>
          <w:szCs w:val="24"/>
          <w:u w:val="single"/>
          <w:lang w:val="fr-CA"/>
        </w:rPr>
      </w:pPr>
      <w:r w:rsidRPr="00794EF8">
        <w:rPr>
          <w:szCs w:val="24"/>
          <w:lang w:val="fr-CA"/>
        </w:rPr>
        <w:tab/>
      </w:r>
      <w:r w:rsidR="009207EA" w:rsidRPr="00794EF8">
        <w:rPr>
          <w:szCs w:val="24"/>
          <w:lang w:val="fr-CA"/>
        </w:rPr>
        <w:t>(1)</w:t>
      </w:r>
      <w:r w:rsidR="009207EA" w:rsidRPr="00794EF8">
        <w:rPr>
          <w:szCs w:val="24"/>
          <w:lang w:val="fr-CA"/>
        </w:rPr>
        <w:tab/>
      </w:r>
      <w:r w:rsidR="009207EA" w:rsidRPr="00794EF8">
        <w:rPr>
          <w:szCs w:val="24"/>
          <w:u w:val="single"/>
          <w:lang w:val="fr-CA"/>
        </w:rPr>
        <w:t>Le coût et la commodité pour les parties à l’instance et leurs témoins</w:t>
      </w:r>
    </w:p>
    <w:p w:rsidR="009207EA" w:rsidRPr="00794EF8" w:rsidRDefault="009207EA" w:rsidP="009207EA">
      <w:pPr>
        <w:pStyle w:val="ParaNoNdepar-AltN"/>
        <w:rPr>
          <w:szCs w:val="24"/>
          <w:lang w:val="fr-CA"/>
        </w:rPr>
      </w:pPr>
      <w:r w:rsidRPr="00794EF8">
        <w:rPr>
          <w:szCs w:val="24"/>
          <w:lang w:val="fr-CA"/>
        </w:rPr>
        <w:t xml:space="preserve">J’estime que le coût et la commodité pour les parties à l’instance et leurs témoins militent en faveur de la tenue d’un procès en Illinois.  Tout d’abord, comme l’a conclu le juge saisi de la motion, la plupart des témoins et la majeure partie des éléments </w:t>
      </w:r>
      <w:r w:rsidR="00CB144C" w:rsidRPr="00794EF8">
        <w:rPr>
          <w:szCs w:val="24"/>
          <w:lang w:val="fr-CA"/>
        </w:rPr>
        <w:t>de preuve se trouvent aux États-</w:t>
      </w:r>
      <w:r w:rsidRPr="00794EF8">
        <w:rPr>
          <w:szCs w:val="24"/>
          <w:lang w:val="fr-CA"/>
        </w:rPr>
        <w:t xml:space="preserve">Unis.  À cet égard, il est révélateur que International ait eu son siège, pendant un certain temps du moins, en Illinois.  De plus et comme l’a fait remarquer le juge saisi de la motion, </w:t>
      </w:r>
      <w:r w:rsidR="00CB144C" w:rsidRPr="00794EF8">
        <w:rPr>
          <w:szCs w:val="24"/>
          <w:lang w:val="fr-CA"/>
        </w:rPr>
        <w:t xml:space="preserve">la règle </w:t>
      </w:r>
      <w:r w:rsidRPr="00794EF8">
        <w:rPr>
          <w:szCs w:val="24"/>
          <w:lang w:val="fr-CA"/>
        </w:rPr>
        <w:t xml:space="preserve">45 des </w:t>
      </w:r>
      <w:proofErr w:type="spellStart"/>
      <w:r w:rsidRPr="00794EF8">
        <w:rPr>
          <w:i/>
          <w:szCs w:val="24"/>
          <w:lang w:val="fr-CA"/>
        </w:rPr>
        <w:t>Federal</w:t>
      </w:r>
      <w:proofErr w:type="spellEnd"/>
      <w:r w:rsidRPr="00794EF8">
        <w:rPr>
          <w:i/>
          <w:szCs w:val="24"/>
          <w:lang w:val="fr-CA"/>
        </w:rPr>
        <w:t xml:space="preserve"> </w:t>
      </w:r>
      <w:proofErr w:type="spellStart"/>
      <w:r w:rsidRPr="00794EF8">
        <w:rPr>
          <w:i/>
          <w:szCs w:val="24"/>
          <w:lang w:val="fr-CA"/>
        </w:rPr>
        <w:t>Rules</w:t>
      </w:r>
      <w:proofErr w:type="spellEnd"/>
      <w:r w:rsidRPr="00794EF8">
        <w:rPr>
          <w:i/>
          <w:szCs w:val="24"/>
          <w:lang w:val="fr-CA"/>
        </w:rPr>
        <w:t xml:space="preserve"> of Civil </w:t>
      </w:r>
      <w:proofErr w:type="spellStart"/>
      <w:r w:rsidRPr="00794EF8">
        <w:rPr>
          <w:i/>
          <w:szCs w:val="24"/>
          <w:lang w:val="fr-CA"/>
        </w:rPr>
        <w:t>Procedure</w:t>
      </w:r>
      <w:proofErr w:type="spellEnd"/>
      <w:r w:rsidRPr="00794EF8">
        <w:rPr>
          <w:szCs w:val="24"/>
          <w:lang w:val="fr-CA"/>
        </w:rPr>
        <w:t>, 28 U.S.C.</w:t>
      </w:r>
      <w:r w:rsidR="00CB144C" w:rsidRPr="00794EF8">
        <w:rPr>
          <w:szCs w:val="24"/>
          <w:lang w:val="fr-CA"/>
        </w:rPr>
        <w:t xml:space="preserve"> </w:t>
      </w:r>
      <w:proofErr w:type="spellStart"/>
      <w:r w:rsidR="00CB144C" w:rsidRPr="00794EF8">
        <w:rPr>
          <w:szCs w:val="24"/>
          <w:lang w:val="fr-CA"/>
        </w:rPr>
        <w:t>app</w:t>
      </w:r>
      <w:proofErr w:type="spellEnd"/>
      <w:r w:rsidR="00CB144C" w:rsidRPr="00794EF8">
        <w:rPr>
          <w:szCs w:val="24"/>
          <w:lang w:val="fr-CA"/>
        </w:rPr>
        <w:t>.</w:t>
      </w:r>
      <w:r w:rsidRPr="00794EF8">
        <w:rPr>
          <w:szCs w:val="24"/>
          <w:lang w:val="fr-CA"/>
        </w:rPr>
        <w:t xml:space="preserve">, facilite le déplacement des témoins et des éléments de preuve entre les États.  Le lieu de résidence des témoins et </w:t>
      </w:r>
      <w:r w:rsidRPr="00794EF8">
        <w:rPr>
          <w:szCs w:val="24"/>
          <w:lang w:val="fr-CA"/>
        </w:rPr>
        <w:lastRenderedPageBreak/>
        <w:t xml:space="preserve">l’emplacement des éléments de preuve font en sorte qu’il serait plus commode de tenir un procès en Illinois qu’en Ontario.  </w:t>
      </w:r>
    </w:p>
    <w:p w:rsidR="009207EA" w:rsidRPr="00794EF8" w:rsidRDefault="009207EA" w:rsidP="009207EA">
      <w:pPr>
        <w:pStyle w:val="ParaNoNdepar-AltN"/>
        <w:rPr>
          <w:szCs w:val="24"/>
          <w:lang w:val="fr-CA"/>
        </w:rPr>
      </w:pPr>
      <w:r w:rsidRPr="00794EF8">
        <w:rPr>
          <w:szCs w:val="24"/>
          <w:lang w:val="fr-CA"/>
        </w:rPr>
        <w:t xml:space="preserve">Il en va de même du lieu de résidence des parties.  Bien que la majorité des parties n’habitent pas dans un même ressort, il est révélateur que neuf des onze parties, y compris lord Black, résident aux </w:t>
      </w:r>
      <w:proofErr w:type="spellStart"/>
      <w:r w:rsidRPr="00794EF8">
        <w:rPr>
          <w:szCs w:val="24"/>
          <w:lang w:val="fr-CA"/>
        </w:rPr>
        <w:t>États</w:t>
      </w:r>
      <w:r w:rsidRPr="00794EF8">
        <w:rPr>
          <w:szCs w:val="24"/>
          <w:lang w:val="fr-CA"/>
        </w:rPr>
        <w:noBreakHyphen/>
        <w:t>Unis</w:t>
      </w:r>
      <w:proofErr w:type="spellEnd"/>
      <w:r w:rsidRPr="00794EF8">
        <w:rPr>
          <w:szCs w:val="24"/>
          <w:lang w:val="fr-CA"/>
        </w:rPr>
        <w:t>.  En fait, lord Black est présentement incarcéré en Floride.  De plus, puisqu’il a été déclaré coupable d’actes criminels et qu’il a répudié la citoyenneté canadienne, lord Black ne pourra pas rentrer au Canada sans l’autorisation spéciale du ministre de la Citoyenneté et de l’Immigration même une fois sa peine purgée.  Il se peut toutefois qu’un bref d’</w:t>
      </w:r>
      <w:r w:rsidRPr="00794EF8">
        <w:rPr>
          <w:i/>
          <w:szCs w:val="24"/>
          <w:lang w:val="fr-CA"/>
        </w:rPr>
        <w:t xml:space="preserve">habeas corpus ad </w:t>
      </w:r>
      <w:proofErr w:type="spellStart"/>
      <w:r w:rsidRPr="00794EF8">
        <w:rPr>
          <w:i/>
          <w:szCs w:val="24"/>
          <w:lang w:val="fr-CA"/>
        </w:rPr>
        <w:t>testificandum</w:t>
      </w:r>
      <w:proofErr w:type="spellEnd"/>
      <w:r w:rsidRPr="00794EF8">
        <w:rPr>
          <w:szCs w:val="24"/>
          <w:lang w:val="fr-CA"/>
        </w:rPr>
        <w:t xml:space="preserve"> lui permette de participer en personne à un procès tenu aux </w:t>
      </w:r>
      <w:proofErr w:type="spellStart"/>
      <w:r w:rsidRPr="00794EF8">
        <w:rPr>
          <w:szCs w:val="24"/>
          <w:lang w:val="fr-CA"/>
        </w:rPr>
        <w:t>États</w:t>
      </w:r>
      <w:r w:rsidRPr="00794EF8">
        <w:rPr>
          <w:szCs w:val="24"/>
          <w:lang w:val="fr-CA"/>
        </w:rPr>
        <w:noBreakHyphen/>
        <w:t>Unis</w:t>
      </w:r>
      <w:proofErr w:type="spellEnd"/>
      <w:r w:rsidRPr="00794EF8">
        <w:rPr>
          <w:szCs w:val="24"/>
          <w:lang w:val="fr-CA"/>
        </w:rPr>
        <w:t>, à défaut de quoi il devrait y participer par vidéoconférence.  Les huit appelants résidant aux États-Unis proviennent de différents États, mais il ne semble pas que des considérations de nature financière les empêcheraient de participer à un procès tenu en Illinois.</w:t>
      </w:r>
    </w:p>
    <w:p w:rsidR="009207EA" w:rsidRPr="00794EF8" w:rsidRDefault="00CB144C" w:rsidP="00CB144C">
      <w:pPr>
        <w:pStyle w:val="TitleTitre-AltT"/>
        <w:tabs>
          <w:tab w:val="clear" w:pos="360"/>
          <w:tab w:val="left" w:pos="1170"/>
          <w:tab w:val="left" w:pos="1701"/>
        </w:tabs>
        <w:ind w:left="1701" w:hanging="1701"/>
        <w:rPr>
          <w:szCs w:val="24"/>
          <w:u w:val="single"/>
          <w:lang w:val="fr-CA"/>
        </w:rPr>
      </w:pPr>
      <w:r w:rsidRPr="00794EF8">
        <w:rPr>
          <w:szCs w:val="24"/>
          <w:lang w:val="fr-CA"/>
        </w:rPr>
        <w:tab/>
      </w:r>
      <w:r w:rsidR="009207EA" w:rsidRPr="00794EF8">
        <w:rPr>
          <w:szCs w:val="24"/>
          <w:lang w:val="fr-CA"/>
        </w:rPr>
        <w:t>(2)</w:t>
      </w:r>
      <w:r w:rsidR="009207EA" w:rsidRPr="00794EF8">
        <w:rPr>
          <w:szCs w:val="24"/>
          <w:lang w:val="fr-CA"/>
        </w:rPr>
        <w:tab/>
      </w:r>
      <w:r w:rsidR="009207EA" w:rsidRPr="00794EF8">
        <w:rPr>
          <w:szCs w:val="24"/>
          <w:u w:val="single"/>
          <w:lang w:val="fr-CA"/>
        </w:rPr>
        <w:t>La loi applicable</w:t>
      </w:r>
    </w:p>
    <w:p w:rsidR="009207EA" w:rsidRPr="00794EF8" w:rsidRDefault="009207EA" w:rsidP="009207EA">
      <w:pPr>
        <w:pStyle w:val="ParaNoNdepar-AltN"/>
        <w:rPr>
          <w:szCs w:val="24"/>
          <w:lang w:val="fr-CA"/>
        </w:rPr>
      </w:pPr>
      <w:r w:rsidRPr="00794EF8">
        <w:rPr>
          <w:szCs w:val="24"/>
          <w:lang w:val="fr-CA"/>
        </w:rPr>
        <w:t xml:space="preserve">Dans l’arrêt connexe </w:t>
      </w:r>
      <w:r w:rsidRPr="00794EF8">
        <w:rPr>
          <w:i/>
          <w:szCs w:val="24"/>
          <w:lang w:val="fr-CA"/>
        </w:rPr>
        <w:t xml:space="preserve">Éditions </w:t>
      </w:r>
      <w:proofErr w:type="spellStart"/>
      <w:r w:rsidRPr="00794EF8">
        <w:rPr>
          <w:i/>
          <w:szCs w:val="24"/>
          <w:lang w:val="fr-CA"/>
        </w:rPr>
        <w:t>Écosociété</w:t>
      </w:r>
      <w:proofErr w:type="spellEnd"/>
      <w:r w:rsidRPr="00794EF8">
        <w:rPr>
          <w:i/>
          <w:szCs w:val="24"/>
          <w:lang w:val="fr-CA"/>
        </w:rPr>
        <w:t xml:space="preserve"> Inc. c. </w:t>
      </w:r>
      <w:proofErr w:type="spellStart"/>
      <w:r w:rsidRPr="00794EF8">
        <w:rPr>
          <w:i/>
          <w:szCs w:val="24"/>
          <w:lang w:val="fr-CA"/>
        </w:rPr>
        <w:t>Banro</w:t>
      </w:r>
      <w:proofErr w:type="spellEnd"/>
      <w:r w:rsidRPr="00794EF8">
        <w:rPr>
          <w:i/>
          <w:szCs w:val="24"/>
          <w:lang w:val="fr-CA"/>
        </w:rPr>
        <w:t xml:space="preserve"> Corp.</w:t>
      </w:r>
      <w:r w:rsidRPr="00794EF8">
        <w:rPr>
          <w:szCs w:val="24"/>
          <w:lang w:val="fr-CA"/>
        </w:rPr>
        <w:t xml:space="preserve">, 2012 CSC 18, </w:t>
      </w:r>
      <w:r w:rsidR="00CB144C" w:rsidRPr="00794EF8">
        <w:rPr>
          <w:szCs w:val="24"/>
          <w:lang w:val="fr-CA"/>
        </w:rPr>
        <w:t xml:space="preserve">[2012] 1 R.C.S. </w:t>
      </w:r>
      <w:r w:rsidR="002D3897">
        <w:rPr>
          <w:szCs w:val="24"/>
          <w:lang w:val="fr-CA"/>
        </w:rPr>
        <w:t>636</w:t>
      </w:r>
      <w:r w:rsidR="00CB144C" w:rsidRPr="00794EF8">
        <w:rPr>
          <w:szCs w:val="24"/>
          <w:lang w:val="fr-CA"/>
        </w:rPr>
        <w:t xml:space="preserve">, </w:t>
      </w:r>
      <w:r w:rsidRPr="00794EF8">
        <w:rPr>
          <w:szCs w:val="24"/>
          <w:lang w:val="fr-CA"/>
        </w:rPr>
        <w:t xml:space="preserve">j’analyse les conséquences du choix de la loi applicable dans le contexte d’actions en diffamation </w:t>
      </w:r>
      <w:proofErr w:type="spellStart"/>
      <w:r w:rsidRPr="00794EF8">
        <w:rPr>
          <w:szCs w:val="24"/>
          <w:lang w:val="fr-CA"/>
        </w:rPr>
        <w:t>multi</w:t>
      </w:r>
      <w:r w:rsidRPr="00794EF8">
        <w:rPr>
          <w:szCs w:val="24"/>
          <w:lang w:val="fr-CA"/>
        </w:rPr>
        <w:noBreakHyphen/>
        <w:t>États</w:t>
      </w:r>
      <w:proofErr w:type="spellEnd"/>
      <w:r w:rsidRPr="00794EF8">
        <w:rPr>
          <w:szCs w:val="24"/>
          <w:lang w:val="fr-CA"/>
        </w:rPr>
        <w:t xml:space="preserve">.  Sans trancher la question, je signale qu’il faut se demander si la règle de la </w:t>
      </w:r>
      <w:proofErr w:type="spellStart"/>
      <w:r w:rsidRPr="00794EF8">
        <w:rPr>
          <w:i/>
          <w:szCs w:val="24"/>
          <w:lang w:val="fr-CA"/>
        </w:rPr>
        <w:t>lex</w:t>
      </w:r>
      <w:proofErr w:type="spellEnd"/>
      <w:r w:rsidRPr="00794EF8">
        <w:rPr>
          <w:i/>
          <w:szCs w:val="24"/>
          <w:lang w:val="fr-CA"/>
        </w:rPr>
        <w:t xml:space="preserve"> </w:t>
      </w:r>
      <w:proofErr w:type="spellStart"/>
      <w:r w:rsidRPr="00794EF8">
        <w:rPr>
          <w:i/>
          <w:szCs w:val="24"/>
          <w:lang w:val="fr-CA"/>
        </w:rPr>
        <w:t>loci</w:t>
      </w:r>
      <w:proofErr w:type="spellEnd"/>
      <w:r w:rsidRPr="00794EF8">
        <w:rPr>
          <w:i/>
          <w:szCs w:val="24"/>
          <w:lang w:val="fr-CA"/>
        </w:rPr>
        <w:t xml:space="preserve"> </w:t>
      </w:r>
      <w:proofErr w:type="spellStart"/>
      <w:r w:rsidRPr="00794EF8">
        <w:rPr>
          <w:i/>
          <w:szCs w:val="24"/>
          <w:lang w:val="fr-CA"/>
        </w:rPr>
        <w:t>delicti</w:t>
      </w:r>
      <w:proofErr w:type="spellEnd"/>
      <w:r w:rsidRPr="00794EF8">
        <w:rPr>
          <w:szCs w:val="24"/>
          <w:lang w:val="fr-CA"/>
        </w:rPr>
        <w:t xml:space="preserve"> — selon laquelle la loi applicable est celle du lieu du délit — devrait être abandonnée et remplacée par une </w:t>
      </w:r>
      <w:r w:rsidRPr="00794EF8">
        <w:rPr>
          <w:szCs w:val="24"/>
          <w:lang w:val="fr-CA"/>
        </w:rPr>
        <w:lastRenderedPageBreak/>
        <w:t xml:space="preserve">approche fondée sur le lieu où la réputation a subi la plus grande atteinte.  Je n’ai pas à me prononcer sur ce point en l’espèce car, même selon l’approche examinée dans </w:t>
      </w:r>
      <w:r w:rsidRPr="00794EF8">
        <w:rPr>
          <w:i/>
          <w:szCs w:val="24"/>
          <w:lang w:val="fr-CA"/>
        </w:rPr>
        <w:t xml:space="preserve">Éditions </w:t>
      </w:r>
      <w:proofErr w:type="spellStart"/>
      <w:r w:rsidRPr="00794EF8">
        <w:rPr>
          <w:i/>
          <w:szCs w:val="24"/>
          <w:lang w:val="fr-CA"/>
        </w:rPr>
        <w:t>Écosociété</w:t>
      </w:r>
      <w:proofErr w:type="spellEnd"/>
      <w:r w:rsidRPr="00794EF8">
        <w:rPr>
          <w:szCs w:val="24"/>
          <w:lang w:val="fr-CA"/>
        </w:rPr>
        <w:t>, la loi applicable est celle de l’Ontario.</w:t>
      </w:r>
    </w:p>
    <w:p w:rsidR="009207EA" w:rsidRPr="00794EF8" w:rsidRDefault="009207EA" w:rsidP="009207EA">
      <w:pPr>
        <w:pStyle w:val="ParaNoNdepar-AltN"/>
        <w:rPr>
          <w:szCs w:val="24"/>
          <w:lang w:val="fr-CA"/>
        </w:rPr>
      </w:pPr>
      <w:r w:rsidRPr="00794EF8">
        <w:rPr>
          <w:szCs w:val="24"/>
          <w:lang w:val="fr-CA"/>
        </w:rPr>
        <w:t xml:space="preserve">En fait, la présente affaire s’avère quelque peu particulière, en ce sens que lord Black s’est engagé à ne pas intenter d’action en diffamation dans un autre ressort et qu’il a entrepris sa poursuite en justice uniquement à l’égard de l’atteinte à sa réputation subie en Ontario.  Par conséquent, il faut prendre uniquement en considération le préjudice causé par la diffusion en Ontario.  La preuve établissant la réputation de lord Black en Ontario est substantielle.  Comme l’a conclu le juge saisi de la motion, bien que lord Black ne réside plus habituellement en Ontario, il a vécu la majeure partie de sa vie adulte dans cette province.  Il s’y est établi une réputation d’homme d’affaires.  Il est membre de l’Ordre du Canada, du Temple de la renommée de l’entreprise canadienne, du Temple de la renommée de la presse canadienne, et il a fait l’objet de cinq ouvrages écrits par des auteurs de la région de Toronto.  Sa famille immédiate vit également en Ontario.  Selon l’approche de l’« atteinte la plus substantielle à la réputation » analysée dans l’arrêt </w:t>
      </w:r>
      <w:r w:rsidRPr="00794EF8">
        <w:rPr>
          <w:i/>
          <w:szCs w:val="24"/>
          <w:lang w:val="fr-CA"/>
        </w:rPr>
        <w:t xml:space="preserve">Éditions </w:t>
      </w:r>
      <w:proofErr w:type="spellStart"/>
      <w:r w:rsidRPr="00794EF8">
        <w:rPr>
          <w:i/>
          <w:szCs w:val="24"/>
          <w:lang w:val="fr-CA"/>
        </w:rPr>
        <w:t>Écosociété</w:t>
      </w:r>
      <w:proofErr w:type="spellEnd"/>
      <w:r w:rsidRPr="00794EF8">
        <w:rPr>
          <w:szCs w:val="24"/>
          <w:lang w:val="fr-CA"/>
        </w:rPr>
        <w:t xml:space="preserve">, l’engagement de lord Black et la preuve de sa réputation en Ontario indiquent donc qu’il convient d’appliquer la loi ontarienne aux actions en diffamation.  Par ailleurs, comme le délit de diffamation reproché a été commis en Ontario, la loi ontarienne s’appliquerait également selon la règle de la </w:t>
      </w:r>
      <w:proofErr w:type="spellStart"/>
      <w:r w:rsidRPr="00794EF8">
        <w:rPr>
          <w:i/>
          <w:szCs w:val="24"/>
          <w:lang w:val="fr-CA"/>
        </w:rPr>
        <w:t>lex</w:t>
      </w:r>
      <w:proofErr w:type="spellEnd"/>
      <w:r w:rsidRPr="00794EF8">
        <w:rPr>
          <w:i/>
          <w:szCs w:val="24"/>
          <w:lang w:val="fr-CA"/>
        </w:rPr>
        <w:t xml:space="preserve"> </w:t>
      </w:r>
      <w:proofErr w:type="spellStart"/>
      <w:r w:rsidRPr="00794EF8">
        <w:rPr>
          <w:i/>
          <w:szCs w:val="24"/>
          <w:lang w:val="fr-CA"/>
        </w:rPr>
        <w:t>loci</w:t>
      </w:r>
      <w:proofErr w:type="spellEnd"/>
      <w:r w:rsidRPr="00794EF8">
        <w:rPr>
          <w:i/>
          <w:szCs w:val="24"/>
          <w:lang w:val="fr-CA"/>
        </w:rPr>
        <w:t xml:space="preserve"> </w:t>
      </w:r>
      <w:proofErr w:type="spellStart"/>
      <w:r w:rsidRPr="00794EF8">
        <w:rPr>
          <w:i/>
          <w:szCs w:val="24"/>
          <w:lang w:val="fr-CA"/>
        </w:rPr>
        <w:t>delicti</w:t>
      </w:r>
      <w:proofErr w:type="spellEnd"/>
      <w:r w:rsidRPr="00794EF8">
        <w:rPr>
          <w:szCs w:val="24"/>
          <w:lang w:val="fr-CA"/>
        </w:rPr>
        <w:t>.  Dans les circonstances, le facteur de la loi applicable favorise la tenue du procès en Ontario.</w:t>
      </w:r>
    </w:p>
    <w:p w:rsidR="009207EA" w:rsidRPr="00794EF8" w:rsidRDefault="00B67399" w:rsidP="00B67399">
      <w:pPr>
        <w:pStyle w:val="TitleTitre-AltT"/>
        <w:tabs>
          <w:tab w:val="clear" w:pos="360"/>
          <w:tab w:val="left" w:pos="1170"/>
        </w:tabs>
        <w:ind w:left="1701" w:hanging="1701"/>
        <w:rPr>
          <w:szCs w:val="24"/>
          <w:u w:val="single"/>
          <w:lang w:val="fr-CA"/>
        </w:rPr>
      </w:pPr>
      <w:r w:rsidRPr="00794EF8">
        <w:rPr>
          <w:szCs w:val="24"/>
          <w:lang w:val="fr-CA"/>
        </w:rPr>
        <w:lastRenderedPageBreak/>
        <w:tab/>
      </w:r>
      <w:r w:rsidR="009207EA" w:rsidRPr="00794EF8">
        <w:rPr>
          <w:szCs w:val="24"/>
          <w:lang w:val="fr-CA"/>
        </w:rPr>
        <w:t>(3)</w:t>
      </w:r>
      <w:r w:rsidR="009207EA" w:rsidRPr="00794EF8">
        <w:rPr>
          <w:szCs w:val="24"/>
          <w:lang w:val="fr-CA"/>
        </w:rPr>
        <w:tab/>
      </w:r>
      <w:r w:rsidR="009207EA" w:rsidRPr="00794EF8">
        <w:rPr>
          <w:szCs w:val="24"/>
          <w:u w:val="single"/>
          <w:lang w:val="fr-CA"/>
        </w:rPr>
        <w:t xml:space="preserve">Éviter la multiplicité des recours et les décisions contradictoires </w:t>
      </w:r>
    </w:p>
    <w:p w:rsidR="009207EA" w:rsidRPr="00794EF8" w:rsidRDefault="009207EA" w:rsidP="009207EA">
      <w:pPr>
        <w:pStyle w:val="ParaNoNdepar-AltN"/>
        <w:rPr>
          <w:szCs w:val="24"/>
          <w:lang w:val="fr-CA"/>
        </w:rPr>
      </w:pPr>
      <w:r w:rsidRPr="00794EF8">
        <w:rPr>
          <w:szCs w:val="24"/>
          <w:lang w:val="fr-CA"/>
        </w:rPr>
        <w:t>Les actions civiles intentées</w:t>
      </w:r>
      <w:r w:rsidR="00B67399" w:rsidRPr="00794EF8">
        <w:rPr>
          <w:szCs w:val="24"/>
          <w:lang w:val="fr-CA"/>
        </w:rPr>
        <w:t xml:space="preserve"> au Delaware</w:t>
      </w:r>
      <w:r w:rsidRPr="00794EF8">
        <w:rPr>
          <w:szCs w:val="24"/>
          <w:lang w:val="fr-CA"/>
        </w:rPr>
        <w:t xml:space="preserve"> et </w:t>
      </w:r>
      <w:r w:rsidR="00B67399" w:rsidRPr="00794EF8">
        <w:rPr>
          <w:szCs w:val="24"/>
          <w:lang w:val="fr-CA"/>
        </w:rPr>
        <w:t xml:space="preserve">en Illinois </w:t>
      </w:r>
      <w:r w:rsidRPr="00794EF8">
        <w:rPr>
          <w:szCs w:val="24"/>
          <w:lang w:val="fr-CA"/>
        </w:rPr>
        <w:t>soulèvent des craintes relatives à la multiplicité des recours.  Le juge saisi de la motion a reconnu que ni l’une ni l’autre de ces actions ne concernent une réclamation pour diffamation.  Il a cependant également accepté que le point central des actions en diffamation portera sur la véracité des communiqués censément diffamatoires, ce qui semble également constituer le fond même des actions civiles intentées au Delaware et en Illinois.  Bon nombre des mêmes opérations dont la preuve nécessitera d’intenses débats dans le cadre des actions civiles au Delaware et en Illinois devront probablement être également prouvées dans le cadre des actions en diffamation.  La forme différente que prennent ces actions ne devrait pas l’emporter sur leur fond.  Des jugements contradictoires risquent donc d’être rendus, ce qui favorise le tribunal de l’Illinois comme étant le ressort le plus approprié.</w:t>
      </w:r>
    </w:p>
    <w:p w:rsidR="009207EA" w:rsidRPr="00794EF8" w:rsidRDefault="00777AE5" w:rsidP="00777AE5">
      <w:pPr>
        <w:pStyle w:val="TitleTitre-AltT"/>
        <w:tabs>
          <w:tab w:val="clear" w:pos="360"/>
          <w:tab w:val="left" w:pos="1170"/>
          <w:tab w:val="left" w:pos="1701"/>
        </w:tabs>
        <w:ind w:left="1701" w:hanging="1701"/>
        <w:rPr>
          <w:szCs w:val="24"/>
          <w:u w:val="single"/>
          <w:lang w:val="fr-CA"/>
        </w:rPr>
      </w:pPr>
      <w:r w:rsidRPr="00794EF8">
        <w:rPr>
          <w:szCs w:val="24"/>
          <w:lang w:val="fr-CA"/>
        </w:rPr>
        <w:tab/>
      </w:r>
      <w:r w:rsidR="009207EA" w:rsidRPr="00794EF8">
        <w:rPr>
          <w:szCs w:val="24"/>
          <w:lang w:val="fr-CA"/>
        </w:rPr>
        <w:t>(4)</w:t>
      </w:r>
      <w:r w:rsidR="009207EA" w:rsidRPr="00794EF8">
        <w:rPr>
          <w:szCs w:val="24"/>
          <w:lang w:val="fr-CA"/>
        </w:rPr>
        <w:tab/>
      </w:r>
      <w:r w:rsidR="009207EA" w:rsidRPr="00794EF8">
        <w:rPr>
          <w:szCs w:val="24"/>
          <w:u w:val="single"/>
          <w:lang w:val="fr-CA"/>
        </w:rPr>
        <w:t>L’exécution du jugement</w:t>
      </w:r>
    </w:p>
    <w:p w:rsidR="009207EA" w:rsidRPr="00794EF8" w:rsidRDefault="009207EA" w:rsidP="009207EA">
      <w:pPr>
        <w:pStyle w:val="ParaNoNdepar-AltN"/>
        <w:rPr>
          <w:szCs w:val="24"/>
          <w:lang w:val="fr-CA"/>
        </w:rPr>
      </w:pPr>
      <w:r w:rsidRPr="00794EF8">
        <w:rPr>
          <w:szCs w:val="24"/>
          <w:lang w:val="fr-CA"/>
        </w:rPr>
        <w:t xml:space="preserve">Lord Black semble admettre qu’un jugement ontarien ne serait pas exécutoire aux </w:t>
      </w:r>
      <w:proofErr w:type="spellStart"/>
      <w:r w:rsidRPr="00794EF8">
        <w:rPr>
          <w:szCs w:val="24"/>
          <w:lang w:val="fr-CA"/>
        </w:rPr>
        <w:t>États</w:t>
      </w:r>
      <w:r w:rsidRPr="00794EF8">
        <w:rPr>
          <w:szCs w:val="24"/>
          <w:lang w:val="fr-CA"/>
        </w:rPr>
        <w:noBreakHyphen/>
        <w:t>Unis</w:t>
      </w:r>
      <w:proofErr w:type="spellEnd"/>
      <w:r w:rsidRPr="00794EF8">
        <w:rPr>
          <w:szCs w:val="24"/>
          <w:lang w:val="fr-CA"/>
        </w:rPr>
        <w:t xml:space="preserve">.  Il soutient toutefois que ce facteur ne devrait avoir aucune incidence sur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parce que l’absence, en droit canadien de la diffamation, d’une exigence concernant la malveillance véritable lui confère un avantage juridique légitime.  Comme je l’ai déjà indiqué, il convient de ne pas accorder trop d’importance à l’avantage juridique dans l’analyse relative au </w:t>
      </w:r>
      <w:r w:rsidRPr="00794EF8">
        <w:rPr>
          <w:i/>
          <w:szCs w:val="24"/>
          <w:lang w:val="fr-CA"/>
        </w:rPr>
        <w:t xml:space="preserve">forum </w:t>
      </w:r>
      <w:r w:rsidRPr="00794EF8">
        <w:rPr>
          <w:i/>
          <w:szCs w:val="24"/>
          <w:lang w:val="fr-CA"/>
        </w:rPr>
        <w:lastRenderedPageBreak/>
        <w:t xml:space="preserve">non </w:t>
      </w:r>
      <w:proofErr w:type="spellStart"/>
      <w:r w:rsidRPr="00794EF8">
        <w:rPr>
          <w:i/>
          <w:szCs w:val="24"/>
          <w:lang w:val="fr-CA"/>
        </w:rPr>
        <w:t>conveniens</w:t>
      </w:r>
      <w:proofErr w:type="spellEnd"/>
      <w:r w:rsidRPr="00794EF8">
        <w:rPr>
          <w:szCs w:val="24"/>
          <w:lang w:val="fr-CA"/>
        </w:rPr>
        <w:t>.  Cette prudence est particulièrement de mise dans une affaire comme en l’e</w:t>
      </w:r>
      <w:r w:rsidR="00777AE5" w:rsidRPr="00794EF8">
        <w:rPr>
          <w:szCs w:val="24"/>
          <w:lang w:val="fr-CA"/>
        </w:rPr>
        <w:t>s</w:t>
      </w:r>
      <w:r w:rsidRPr="00794EF8">
        <w:rPr>
          <w:szCs w:val="24"/>
          <w:lang w:val="fr-CA"/>
        </w:rPr>
        <w:t>pèce, où l’exigence d’une malveillance véritable en droit américain reflète une tradition juridique distinctive et profondément enracinée que notre Cour a refusé d’adopter (</w:t>
      </w:r>
      <w:r w:rsidRPr="00794EF8">
        <w:rPr>
          <w:i/>
          <w:szCs w:val="24"/>
          <w:lang w:val="fr-CA"/>
        </w:rPr>
        <w:t>Hill c. Église de scientologie de Toronto</w:t>
      </w:r>
      <w:r w:rsidRPr="00794EF8">
        <w:rPr>
          <w:szCs w:val="24"/>
          <w:lang w:val="fr-CA"/>
        </w:rPr>
        <w:t xml:space="preserve">, [1995] 2 R.C.S. 1130, par. 137), mais que la courtoisie nous commande de respecter à l’étranger.  De plus, même si cet avantage conféré à lord Black était pris en compte, il faudrait l’évaluer en fonction du désavantage juridique correspondant et très important que les appelants subiraient si le procès devait avoir lieu en Ontario.  Par conséquent, il demeure qu’un jugement ontarien ne serait exécutoire que contre l’un des </w:t>
      </w:r>
      <w:r w:rsidR="002D3897">
        <w:rPr>
          <w:szCs w:val="24"/>
          <w:lang w:val="fr-CA"/>
        </w:rPr>
        <w:t>10</w:t>
      </w:r>
      <w:r w:rsidRPr="00794EF8">
        <w:rPr>
          <w:szCs w:val="24"/>
          <w:lang w:val="fr-CA"/>
        </w:rPr>
        <w:t xml:space="preserve"> appelants.  Tout bien pesé, cela indique que l’Illinois peut constituer un ressort plus approprié que l’Ontario pour l’instruction des actions en diffamation.  </w:t>
      </w:r>
    </w:p>
    <w:p w:rsidR="009207EA" w:rsidRPr="00794EF8" w:rsidRDefault="00777AE5" w:rsidP="00777AE5">
      <w:pPr>
        <w:pStyle w:val="TitleTitre-AltT"/>
        <w:tabs>
          <w:tab w:val="clear" w:pos="360"/>
          <w:tab w:val="left" w:pos="1170"/>
        </w:tabs>
        <w:ind w:left="1701" w:hanging="1701"/>
        <w:rPr>
          <w:szCs w:val="24"/>
          <w:u w:val="single"/>
          <w:lang w:val="fr-CA"/>
        </w:rPr>
      </w:pPr>
      <w:r w:rsidRPr="00794EF8">
        <w:rPr>
          <w:szCs w:val="24"/>
          <w:lang w:val="fr-CA"/>
        </w:rPr>
        <w:tab/>
      </w:r>
      <w:r w:rsidR="009207EA" w:rsidRPr="00794EF8">
        <w:rPr>
          <w:szCs w:val="24"/>
          <w:lang w:val="fr-CA"/>
        </w:rPr>
        <w:t>(5)</w:t>
      </w:r>
      <w:r w:rsidR="009207EA" w:rsidRPr="00794EF8">
        <w:rPr>
          <w:szCs w:val="24"/>
          <w:lang w:val="fr-CA"/>
        </w:rPr>
        <w:tab/>
      </w:r>
      <w:r w:rsidR="009207EA" w:rsidRPr="00794EF8">
        <w:rPr>
          <w:szCs w:val="24"/>
          <w:u w:val="single"/>
          <w:lang w:val="fr-CA"/>
        </w:rPr>
        <w:t>L’équité envers les parties</w:t>
      </w:r>
    </w:p>
    <w:p w:rsidR="009207EA" w:rsidRPr="00794EF8" w:rsidRDefault="009207EA" w:rsidP="009207EA">
      <w:pPr>
        <w:pStyle w:val="ParaNoNdepar-AltN"/>
        <w:rPr>
          <w:szCs w:val="24"/>
          <w:lang w:val="fr-CA"/>
        </w:rPr>
      </w:pPr>
      <w:r w:rsidRPr="00794EF8">
        <w:rPr>
          <w:szCs w:val="24"/>
          <w:lang w:val="fr-CA"/>
        </w:rPr>
        <w:t xml:space="preserve">Notre Cour a fait observer dans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xml:space="preserve"> qu’en plus de vouloir garantir l’efficacité du processus judiciaire, la doctrine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vise à assurer l’équité envers les deux parties.  Les tribunaux d’instance inférieure ont convenu que l’équité favorise la tenue du procès en Ontario parce qu’il serait injuste d’empêcher lord Black d’intenter une action dans la communauté au sein de laquelle il a établi sa réputation, alors que l’instruction des actions en Ontario n’entraînerait aucune iniquité envers les appelants parce que </w:t>
      </w:r>
      <w:proofErr w:type="spellStart"/>
      <w:r w:rsidRPr="00794EF8">
        <w:rPr>
          <w:szCs w:val="24"/>
          <w:lang w:val="fr-CA"/>
        </w:rPr>
        <w:t>ceux</w:t>
      </w:r>
      <w:r w:rsidRPr="00794EF8">
        <w:rPr>
          <w:szCs w:val="24"/>
          <w:lang w:val="fr-CA"/>
        </w:rPr>
        <w:noBreakHyphen/>
        <w:t>ci</w:t>
      </w:r>
      <w:proofErr w:type="spellEnd"/>
      <w:r w:rsidRPr="00794EF8">
        <w:rPr>
          <w:szCs w:val="24"/>
          <w:lang w:val="fr-CA"/>
        </w:rPr>
        <w:t xml:space="preserve"> auraient raisonnablement pu prévoir que l’affichage des communiqués contestés sur Internet et le ciblage des médias canadiens porteraient atteinte à la réputation de lord Black en Ontario.  Je suis </w:t>
      </w:r>
      <w:r w:rsidRPr="00794EF8">
        <w:rPr>
          <w:szCs w:val="24"/>
          <w:lang w:val="fr-CA"/>
        </w:rPr>
        <w:lastRenderedPageBreak/>
        <w:t>d’accord, mais je tiens aussi à souligner que la question de l’opportunité d’adopter la notion de stratégie de la cible en droit canadien ne se pose pas dans le présent pourvoi.  Comme je l’ai déjà indiqué, le droit canadien reconnaît depuis longtemps l’importance de permettre à un demandeur d’intenter une action en diffamation dans la localité où il jouit d’une réputation.  Vu l’importance de la réputation dont lord Black bénéficie en Ontario, ce facteur le favorise fortement.</w:t>
      </w:r>
    </w:p>
    <w:p w:rsidR="009207EA" w:rsidRPr="00794EF8" w:rsidRDefault="009207EA" w:rsidP="00777AE5">
      <w:pPr>
        <w:pStyle w:val="TitleTitre-AltT"/>
        <w:tabs>
          <w:tab w:val="clear" w:pos="360"/>
          <w:tab w:val="left" w:pos="540"/>
        </w:tabs>
        <w:ind w:left="540" w:hanging="540"/>
        <w:rPr>
          <w:szCs w:val="24"/>
          <w:lang w:val="fr-CA"/>
        </w:rPr>
      </w:pPr>
      <w:r w:rsidRPr="00794EF8">
        <w:rPr>
          <w:szCs w:val="24"/>
          <w:lang w:val="fr-CA"/>
        </w:rPr>
        <w:t>III.</w:t>
      </w:r>
      <w:r w:rsidRPr="00794EF8">
        <w:rPr>
          <w:szCs w:val="24"/>
          <w:lang w:val="fr-CA"/>
        </w:rPr>
        <w:tab/>
      </w:r>
      <w:r w:rsidRPr="00794EF8">
        <w:rPr>
          <w:szCs w:val="24"/>
          <w:u w:val="single"/>
          <w:lang w:val="fr-CA"/>
        </w:rPr>
        <w:t>Conclusion</w:t>
      </w:r>
    </w:p>
    <w:p w:rsidR="009207EA" w:rsidRPr="00794EF8" w:rsidRDefault="009207EA" w:rsidP="009207EA">
      <w:pPr>
        <w:pStyle w:val="ParaNoNdepar-AltN"/>
        <w:rPr>
          <w:szCs w:val="24"/>
          <w:lang w:val="fr-CA"/>
        </w:rPr>
      </w:pPr>
      <w:r w:rsidRPr="00794EF8">
        <w:rPr>
          <w:szCs w:val="24"/>
          <w:lang w:val="fr-CA"/>
        </w:rPr>
        <w:t xml:space="preserve">Pour conclure, certains des facteurs pertinents dans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favorisent la tenue du procès en Illinois, alors que d’autres facteurs favorisent sa tenue en Ontario.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n’exige pas que ces facteurs convergent tous vers un seul et même ressort ou que l’on procède à un simple décompte numérique de </w:t>
      </w:r>
      <w:proofErr w:type="spellStart"/>
      <w:r w:rsidRPr="00794EF8">
        <w:rPr>
          <w:szCs w:val="24"/>
          <w:lang w:val="fr-CA"/>
        </w:rPr>
        <w:t>ceux</w:t>
      </w:r>
      <w:r w:rsidRPr="00794EF8">
        <w:rPr>
          <w:szCs w:val="24"/>
          <w:lang w:val="fr-CA"/>
        </w:rPr>
        <w:noBreakHyphen/>
        <w:t>ci</w:t>
      </w:r>
      <w:proofErr w:type="spellEnd"/>
      <w:r w:rsidRPr="00794EF8">
        <w:rPr>
          <w:szCs w:val="24"/>
          <w:lang w:val="fr-CA"/>
        </w:rPr>
        <w:t xml:space="preserve">.  Elle exige toutefois qu’un ressort apparaisse comme étant </w:t>
      </w:r>
      <w:r w:rsidRPr="00794EF8">
        <w:rPr>
          <w:i/>
          <w:szCs w:val="24"/>
          <w:lang w:val="fr-CA"/>
        </w:rPr>
        <w:t>nettement</w:t>
      </w:r>
      <w:r w:rsidRPr="00794EF8">
        <w:rPr>
          <w:szCs w:val="24"/>
          <w:lang w:val="fr-CA"/>
        </w:rPr>
        <w:t xml:space="preserve"> plus approprié.  La partie qui soulève la doctrine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a le fardeau d’établir que son ressort est </w:t>
      </w:r>
      <w:r w:rsidRPr="00794EF8">
        <w:rPr>
          <w:i/>
          <w:szCs w:val="24"/>
          <w:lang w:val="fr-CA"/>
        </w:rPr>
        <w:t>nettement</w:t>
      </w:r>
      <w:r w:rsidRPr="00794EF8">
        <w:rPr>
          <w:szCs w:val="24"/>
          <w:lang w:val="fr-CA"/>
        </w:rPr>
        <w:t xml:space="preserve"> plus approprié.  De plus, la décision par un tribunal de ne pas exercer sa compétence et de suspendre une action en application de la doctrine du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est une décision discrétionnaire.  Comme l’a souligné la Cour dans </w:t>
      </w:r>
      <w:r w:rsidRPr="00794EF8">
        <w:rPr>
          <w:i/>
          <w:szCs w:val="24"/>
          <w:lang w:val="fr-CA"/>
        </w:rPr>
        <w:t xml:space="preserve">Club </w:t>
      </w:r>
      <w:proofErr w:type="spellStart"/>
      <w:r w:rsidRPr="00794EF8">
        <w:rPr>
          <w:i/>
          <w:szCs w:val="24"/>
          <w:lang w:val="fr-CA"/>
        </w:rPr>
        <w:t>Resorts</w:t>
      </w:r>
      <w:proofErr w:type="spellEnd"/>
      <w:r w:rsidRPr="00794EF8">
        <w:rPr>
          <w:szCs w:val="24"/>
          <w:lang w:val="fr-CA"/>
        </w:rPr>
        <w:t xml:space="preserve">, « [e]n l’absence d’une erreur de droit ou d’une erreur manifeste et grave dans l’établissement des faits pertinents [. . .], les juridictions supérieures feront preuve de déférence » (par. 112) à l’égard de l’exercice du pouvoir discrétionnaire du juge saisi de la motion dans l’analyse relative au </w:t>
      </w:r>
      <w:r w:rsidRPr="00794EF8">
        <w:rPr>
          <w:i/>
          <w:szCs w:val="24"/>
          <w:lang w:val="fr-CA"/>
        </w:rPr>
        <w:t xml:space="preserve">forum non </w:t>
      </w:r>
      <w:proofErr w:type="spellStart"/>
      <w:r w:rsidRPr="00794EF8">
        <w:rPr>
          <w:i/>
          <w:szCs w:val="24"/>
          <w:lang w:val="fr-CA"/>
        </w:rPr>
        <w:t>conveniens</w:t>
      </w:r>
      <w:proofErr w:type="spellEnd"/>
      <w:r w:rsidRPr="00794EF8">
        <w:rPr>
          <w:szCs w:val="24"/>
          <w:lang w:val="fr-CA"/>
        </w:rPr>
        <w:t xml:space="preserve">.  En l’absence d’une </w:t>
      </w:r>
      <w:r w:rsidRPr="00794EF8">
        <w:rPr>
          <w:szCs w:val="24"/>
          <w:lang w:val="fr-CA"/>
        </w:rPr>
        <w:lastRenderedPageBreak/>
        <w:t>telle erreur, il n’appartient pas à la Cour de s’ingérer dans l’exercice du pouvoir discrétionnaire du juge saisi de la motion.</w:t>
      </w:r>
    </w:p>
    <w:p w:rsidR="009207EA" w:rsidRPr="00794EF8" w:rsidRDefault="009207EA" w:rsidP="009207EA">
      <w:pPr>
        <w:pStyle w:val="ParaNoNdepar-AltN"/>
        <w:rPr>
          <w:szCs w:val="24"/>
          <w:lang w:val="fr-CA"/>
        </w:rPr>
      </w:pPr>
      <w:r w:rsidRPr="00794EF8">
        <w:rPr>
          <w:szCs w:val="24"/>
          <w:lang w:val="fr-CA"/>
        </w:rPr>
        <w:t>Compte tenu de l’effet combiné des faits de l’espèce — et en particulier du poids de l’atteinte que subirait la réputation de lord Black en Ontario —, et en faisant preuve de la déférence qui s’impose à l’égard de la décision du juge saisi de la motion, je conclus qu’un tribunal de l’Illinois n’apparaît pas comme un ressort nettement plus approprié qu’un tribunal de l’Ontario pour l’instruction des actions en diffamation intentées contre les appelants par lord Black.  Je suis donc d’avis de rejeter le pourvoi avec dépens.</w:t>
      </w:r>
    </w:p>
    <w:p w:rsidR="0033393C" w:rsidRPr="00794EF8" w:rsidRDefault="001542BE" w:rsidP="00356FB8">
      <w:pPr>
        <w:pStyle w:val="SCCNormalDoubleSpacing"/>
        <w:spacing w:after="480"/>
      </w:pPr>
      <w:r w:rsidRPr="00794EF8">
        <w:tab/>
      </w:r>
      <w:r w:rsidRPr="00794EF8">
        <w:rPr>
          <w:i/>
        </w:rPr>
        <w:t xml:space="preserve">Pourvoi </w:t>
      </w:r>
      <w:r w:rsidR="007B4960" w:rsidRPr="00794EF8">
        <w:rPr>
          <w:i/>
        </w:rPr>
        <w:t>rejeté avec</w:t>
      </w:r>
      <w:r w:rsidRPr="00794EF8">
        <w:rPr>
          <w:i/>
        </w:rPr>
        <w:t xml:space="preserve"> dépens.</w:t>
      </w:r>
    </w:p>
    <w:p w:rsidR="001542BE" w:rsidRPr="00794EF8" w:rsidRDefault="001542BE" w:rsidP="00356FB8">
      <w:pPr>
        <w:pStyle w:val="SCCLawFirm"/>
        <w:spacing w:after="480"/>
      </w:pPr>
      <w:r w:rsidRPr="00794EF8">
        <w:tab/>
        <w:t xml:space="preserve">Procureurs des appelants </w:t>
      </w:r>
      <w:r w:rsidR="00782207" w:rsidRPr="00794EF8">
        <w:t xml:space="preserve">Richard C. </w:t>
      </w:r>
      <w:proofErr w:type="spellStart"/>
      <w:r w:rsidR="00782207" w:rsidRPr="00794EF8">
        <w:t>Breeden</w:t>
      </w:r>
      <w:proofErr w:type="spellEnd"/>
      <w:r w:rsidR="00782207" w:rsidRPr="00794EF8">
        <w:t xml:space="preserve"> et Richard </w:t>
      </w:r>
      <w:r w:rsidRPr="00794EF8">
        <w:t xml:space="preserve">C. </w:t>
      </w:r>
      <w:proofErr w:type="spellStart"/>
      <w:r w:rsidRPr="00794EF8">
        <w:t>Breeden</w:t>
      </w:r>
      <w:proofErr w:type="spellEnd"/>
      <w:r w:rsidRPr="00794EF8">
        <w:t xml:space="preserve"> &amp; Co.</w:t>
      </w:r>
      <w:r w:rsidR="00863E41" w:rsidRPr="00794EF8">
        <w:t> :</w:t>
      </w:r>
      <w:r w:rsidR="00782207" w:rsidRPr="00794EF8">
        <w:t> </w:t>
      </w:r>
      <w:r w:rsidRPr="00794EF8">
        <w:t xml:space="preserve">Blake, </w:t>
      </w:r>
      <w:proofErr w:type="spellStart"/>
      <w:r w:rsidRPr="00794EF8">
        <w:t>Cassels</w:t>
      </w:r>
      <w:proofErr w:type="spellEnd"/>
      <w:r w:rsidRPr="00794EF8">
        <w:t xml:space="preserve"> &amp; </w:t>
      </w:r>
      <w:proofErr w:type="spellStart"/>
      <w:r w:rsidRPr="00794EF8">
        <w:t>Graydon</w:t>
      </w:r>
      <w:proofErr w:type="spellEnd"/>
      <w:r w:rsidRPr="00794EF8">
        <w:t>, Toronto.</w:t>
      </w:r>
    </w:p>
    <w:p w:rsidR="001542BE" w:rsidRPr="00794EF8" w:rsidRDefault="001542BE" w:rsidP="00356FB8">
      <w:pPr>
        <w:pStyle w:val="SCCLawFirm"/>
        <w:spacing w:after="480"/>
      </w:pPr>
      <w:r w:rsidRPr="00794EF8">
        <w:tab/>
      </w:r>
      <w:r w:rsidR="00356FB8" w:rsidRPr="00794EF8">
        <w:t>Procureurs des appelants Gordon A. Paris, James R. Thompson, Richard D. Burt, Graham W. Savage, Raymond </w:t>
      </w:r>
      <w:r w:rsidRPr="00794EF8">
        <w:t>G.</w:t>
      </w:r>
      <w:r w:rsidR="00777AE5" w:rsidRPr="00794EF8">
        <w:t> </w:t>
      </w:r>
      <w:r w:rsidRPr="00794EF8">
        <w:t xml:space="preserve">H. </w:t>
      </w:r>
      <w:proofErr w:type="spellStart"/>
      <w:r w:rsidRPr="00794EF8">
        <w:t>Seitz</w:t>
      </w:r>
      <w:proofErr w:type="spellEnd"/>
      <w:r w:rsidR="00072DFB" w:rsidRPr="00794EF8">
        <w:t xml:space="preserve">, </w:t>
      </w:r>
      <w:r w:rsidR="0091696F" w:rsidRPr="00794EF8">
        <w:t>Paul </w:t>
      </w:r>
      <w:r w:rsidR="00072DFB" w:rsidRPr="00794EF8">
        <w:t xml:space="preserve">B. </w:t>
      </w:r>
      <w:proofErr w:type="spellStart"/>
      <w:r w:rsidR="00072DFB" w:rsidRPr="00794EF8">
        <w:t>Healy</w:t>
      </w:r>
      <w:proofErr w:type="spellEnd"/>
      <w:r w:rsidRPr="00794EF8">
        <w:t xml:space="preserve">, </w:t>
      </w:r>
      <w:proofErr w:type="spellStart"/>
      <w:r w:rsidRPr="00794EF8">
        <w:t>Shmuel</w:t>
      </w:r>
      <w:proofErr w:type="spellEnd"/>
      <w:r w:rsidRPr="00794EF8">
        <w:t xml:space="preserve"> </w:t>
      </w:r>
      <w:proofErr w:type="spellStart"/>
      <w:r w:rsidRPr="00794EF8">
        <w:t>Meitar</w:t>
      </w:r>
      <w:proofErr w:type="spellEnd"/>
      <w:r w:rsidRPr="00794EF8">
        <w:t xml:space="preserve"> et</w:t>
      </w:r>
      <w:r w:rsidR="00356FB8" w:rsidRPr="00794EF8">
        <w:t xml:space="preserve"> Henry </w:t>
      </w:r>
      <w:r w:rsidRPr="00794EF8">
        <w:t>A. Kissinger</w:t>
      </w:r>
      <w:r w:rsidR="00863E41" w:rsidRPr="00794EF8">
        <w:t> :</w:t>
      </w:r>
      <w:r w:rsidR="00356FB8" w:rsidRPr="00794EF8">
        <w:t> </w:t>
      </w:r>
      <w:r w:rsidRPr="00794EF8">
        <w:t>Bennett Jones, Toronto.</w:t>
      </w:r>
    </w:p>
    <w:p w:rsidR="001542BE" w:rsidRPr="00794EF8" w:rsidRDefault="001542BE" w:rsidP="00356FB8">
      <w:pPr>
        <w:pStyle w:val="SCCLawFirm"/>
        <w:spacing w:after="480"/>
      </w:pPr>
      <w:r w:rsidRPr="00794EF8">
        <w:tab/>
        <w:t>Procureurs de l’intimé</w:t>
      </w:r>
      <w:r w:rsidR="00863E41" w:rsidRPr="00794EF8">
        <w:t> :</w:t>
      </w:r>
      <w:r w:rsidR="00356FB8" w:rsidRPr="00794EF8">
        <w:t> </w:t>
      </w:r>
      <w:proofErr w:type="spellStart"/>
      <w:r w:rsidRPr="00794EF8">
        <w:t>Lerners</w:t>
      </w:r>
      <w:proofErr w:type="spellEnd"/>
      <w:r w:rsidRPr="00794EF8">
        <w:t>, Toronto.</w:t>
      </w:r>
    </w:p>
    <w:p w:rsidR="0043088E" w:rsidRPr="00794EF8" w:rsidRDefault="001542BE" w:rsidP="009207EA">
      <w:pPr>
        <w:pStyle w:val="SCCLawFirm"/>
        <w:rPr>
          <w:b/>
          <w:i w:val="0"/>
        </w:rPr>
      </w:pPr>
      <w:r w:rsidRPr="00794EF8">
        <w:tab/>
      </w:r>
      <w:r w:rsidR="00356FB8" w:rsidRPr="00794EF8">
        <w:t>Procureurs de l’intervenante</w:t>
      </w:r>
      <w:r w:rsidR="00863E41" w:rsidRPr="00794EF8">
        <w:t> :</w:t>
      </w:r>
      <w:r w:rsidR="00356FB8" w:rsidRPr="00794EF8">
        <w:t> </w:t>
      </w:r>
      <w:r w:rsidRPr="00794EF8">
        <w:t>Holmes &amp; King, Vancouver.</w:t>
      </w:r>
    </w:p>
    <w:p w:rsidR="009207EA" w:rsidRPr="00794EF8" w:rsidRDefault="009207EA" w:rsidP="009207EA">
      <w:pPr>
        <w:pStyle w:val="SCCNormalDoubleSpacing"/>
      </w:pPr>
    </w:p>
    <w:sectPr w:rsidR="009207EA" w:rsidRPr="00794EF8" w:rsidSect="00E605BD">
      <w:headerReference w:type="even" r:id="rId10"/>
      <w:headerReference w:type="default" r:id="rId11"/>
      <w:footerReference w:type="even" r:id="rId12"/>
      <w:footerReference w:type="default" r:id="rId13"/>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32" w:rsidRDefault="008D1732">
      <w:r>
        <w:separator/>
      </w:r>
    </w:p>
  </w:endnote>
  <w:endnote w:type="continuationSeparator" w:id="0">
    <w:p w:rsidR="008D1732" w:rsidRDefault="008D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32" w:rsidRDefault="008D1732">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32" w:rsidRDefault="008D173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32" w:rsidRDefault="008D1732">
      <w:r>
        <w:separator/>
      </w:r>
    </w:p>
  </w:footnote>
  <w:footnote w:type="continuationSeparator" w:id="0">
    <w:p w:rsidR="008D1732" w:rsidRDefault="008D1732">
      <w:r>
        <w:continuationSeparator/>
      </w:r>
    </w:p>
  </w:footnote>
  <w:footnote w:id="1">
    <w:p w:rsidR="008D1732" w:rsidRDefault="008D1732">
      <w:pPr>
        <w:pStyle w:val="FootnoteText"/>
      </w:pPr>
      <w:r>
        <w:rPr>
          <w:rStyle w:val="FootnoteReference"/>
        </w:rPr>
        <w:footnoteRef/>
      </w:r>
      <w:r>
        <w:t xml:space="preserve"> </w:t>
      </w:r>
      <w:r w:rsidRPr="008C3C87">
        <w:t>Les juges Binnie et Charron n’ont pas participé au jugement.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32" w:rsidRDefault="008D1732">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043"/>
      <w:docPartObj>
        <w:docPartGallery w:val="Page Numbers (Top of Page)"/>
        <w:docPartUnique/>
      </w:docPartObj>
    </w:sdtPr>
    <w:sdtContent>
      <w:p w:rsidR="008D1732" w:rsidRDefault="008D1732">
        <w:pPr>
          <w:pStyle w:val="Header"/>
          <w:jc w:val="center"/>
        </w:pPr>
        <w:r>
          <w:t xml:space="preserve">- </w:t>
        </w:r>
        <w:fldSimple w:instr=" PAGE   \* MERGEFORMAT ">
          <w:r w:rsidR="00D6794C">
            <w:rPr>
              <w:noProof/>
            </w:rPr>
            <w:t>5</w:t>
          </w:r>
        </w:fldSimple>
        <w:r>
          <w:t xml:space="preserve"> -</w:t>
        </w:r>
      </w:p>
    </w:sdtContent>
  </w:sdt>
  <w:p w:rsidR="008D1732" w:rsidRDefault="008D1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6AF39AB"/>
    <w:multiLevelType w:val="hybridMultilevel"/>
    <w:tmpl w:val="74F6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C3BAB"/>
    <w:multiLevelType w:val="hybridMultilevel"/>
    <w:tmpl w:val="A256571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0049"/>
  </w:hdrShapeDefaults>
  <w:footnotePr>
    <w:numFmt w:val="chicago"/>
    <w:footnote w:id="-1"/>
    <w:footnote w:id="0"/>
  </w:footnotePr>
  <w:endnotePr>
    <w:endnote w:id="-1"/>
    <w:endnote w:id="0"/>
  </w:endnotePr>
  <w:compat/>
  <w:rsids>
    <w:rsidRoot w:val="0031414C"/>
    <w:rsid w:val="00002B24"/>
    <w:rsid w:val="00005945"/>
    <w:rsid w:val="00007667"/>
    <w:rsid w:val="00025198"/>
    <w:rsid w:val="0005161D"/>
    <w:rsid w:val="00055A36"/>
    <w:rsid w:val="000578A3"/>
    <w:rsid w:val="00064563"/>
    <w:rsid w:val="000648CC"/>
    <w:rsid w:val="0006675C"/>
    <w:rsid w:val="00072DFB"/>
    <w:rsid w:val="00075660"/>
    <w:rsid w:val="00094DE0"/>
    <w:rsid w:val="000A5321"/>
    <w:rsid w:val="000A5BF1"/>
    <w:rsid w:val="000B2823"/>
    <w:rsid w:val="000C59B8"/>
    <w:rsid w:val="0010363F"/>
    <w:rsid w:val="00111DE2"/>
    <w:rsid w:val="00115544"/>
    <w:rsid w:val="00115B00"/>
    <w:rsid w:val="00116B38"/>
    <w:rsid w:val="00122831"/>
    <w:rsid w:val="0013109F"/>
    <w:rsid w:val="00135406"/>
    <w:rsid w:val="00135972"/>
    <w:rsid w:val="00140667"/>
    <w:rsid w:val="001426A9"/>
    <w:rsid w:val="00150ACD"/>
    <w:rsid w:val="001542BE"/>
    <w:rsid w:val="00154D7C"/>
    <w:rsid w:val="001570B0"/>
    <w:rsid w:val="00157DC0"/>
    <w:rsid w:val="00172A04"/>
    <w:rsid w:val="00174234"/>
    <w:rsid w:val="00175A97"/>
    <w:rsid w:val="00185394"/>
    <w:rsid w:val="001A20FD"/>
    <w:rsid w:val="001A451D"/>
    <w:rsid w:val="001A5CBE"/>
    <w:rsid w:val="001A7237"/>
    <w:rsid w:val="001B33E0"/>
    <w:rsid w:val="001B3701"/>
    <w:rsid w:val="001B4573"/>
    <w:rsid w:val="001C28A7"/>
    <w:rsid w:val="001C779F"/>
    <w:rsid w:val="001C7F7E"/>
    <w:rsid w:val="001D2AC1"/>
    <w:rsid w:val="001E2415"/>
    <w:rsid w:val="001F1EDF"/>
    <w:rsid w:val="001F7673"/>
    <w:rsid w:val="00205CB3"/>
    <w:rsid w:val="00220FB4"/>
    <w:rsid w:val="00220FC2"/>
    <w:rsid w:val="00224FC0"/>
    <w:rsid w:val="00225EA4"/>
    <w:rsid w:val="00226EAF"/>
    <w:rsid w:val="00231F3A"/>
    <w:rsid w:val="002406EE"/>
    <w:rsid w:val="0025172B"/>
    <w:rsid w:val="002631A2"/>
    <w:rsid w:val="00265538"/>
    <w:rsid w:val="002745CC"/>
    <w:rsid w:val="002D3897"/>
    <w:rsid w:val="002D39A4"/>
    <w:rsid w:val="002E5D0E"/>
    <w:rsid w:val="002E6705"/>
    <w:rsid w:val="002F0D58"/>
    <w:rsid w:val="002F3785"/>
    <w:rsid w:val="002F696C"/>
    <w:rsid w:val="0030329A"/>
    <w:rsid w:val="00307AFD"/>
    <w:rsid w:val="0031086F"/>
    <w:rsid w:val="00310E05"/>
    <w:rsid w:val="0031414C"/>
    <w:rsid w:val="00314E01"/>
    <w:rsid w:val="0032089D"/>
    <w:rsid w:val="0033393C"/>
    <w:rsid w:val="00342F3D"/>
    <w:rsid w:val="0034770C"/>
    <w:rsid w:val="0035259D"/>
    <w:rsid w:val="00356FB8"/>
    <w:rsid w:val="00380FDF"/>
    <w:rsid w:val="003866EC"/>
    <w:rsid w:val="0038769C"/>
    <w:rsid w:val="00394476"/>
    <w:rsid w:val="003A4C70"/>
    <w:rsid w:val="003A4E15"/>
    <w:rsid w:val="003C799C"/>
    <w:rsid w:val="003E1C71"/>
    <w:rsid w:val="003E2E0C"/>
    <w:rsid w:val="003F15B0"/>
    <w:rsid w:val="003F327B"/>
    <w:rsid w:val="004059A7"/>
    <w:rsid w:val="00406166"/>
    <w:rsid w:val="00411300"/>
    <w:rsid w:val="00425EDE"/>
    <w:rsid w:val="00426659"/>
    <w:rsid w:val="0043088E"/>
    <w:rsid w:val="00430E37"/>
    <w:rsid w:val="00436B0F"/>
    <w:rsid w:val="0044272A"/>
    <w:rsid w:val="004439D8"/>
    <w:rsid w:val="00444FFC"/>
    <w:rsid w:val="00465132"/>
    <w:rsid w:val="00480C90"/>
    <w:rsid w:val="0048396F"/>
    <w:rsid w:val="004854A3"/>
    <w:rsid w:val="004905A8"/>
    <w:rsid w:val="00493C18"/>
    <w:rsid w:val="00494CDC"/>
    <w:rsid w:val="004A4BFF"/>
    <w:rsid w:val="004A600C"/>
    <w:rsid w:val="004C478D"/>
    <w:rsid w:val="004E6A2C"/>
    <w:rsid w:val="004F16DB"/>
    <w:rsid w:val="00500849"/>
    <w:rsid w:val="00521AE8"/>
    <w:rsid w:val="00521C6E"/>
    <w:rsid w:val="00527180"/>
    <w:rsid w:val="00536719"/>
    <w:rsid w:val="00542ACB"/>
    <w:rsid w:val="005434B3"/>
    <w:rsid w:val="005564A7"/>
    <w:rsid w:val="00557CE9"/>
    <w:rsid w:val="00564046"/>
    <w:rsid w:val="00572706"/>
    <w:rsid w:val="005E1E5F"/>
    <w:rsid w:val="005E28B1"/>
    <w:rsid w:val="005E4698"/>
    <w:rsid w:val="005F0D33"/>
    <w:rsid w:val="00605FC2"/>
    <w:rsid w:val="006111BC"/>
    <w:rsid w:val="00625C35"/>
    <w:rsid w:val="00634E1B"/>
    <w:rsid w:val="00637263"/>
    <w:rsid w:val="00645057"/>
    <w:rsid w:val="00645C0D"/>
    <w:rsid w:val="00654858"/>
    <w:rsid w:val="006565F4"/>
    <w:rsid w:val="00681AD1"/>
    <w:rsid w:val="00697CCD"/>
    <w:rsid w:val="006A1BCB"/>
    <w:rsid w:val="006A56F1"/>
    <w:rsid w:val="006B1D99"/>
    <w:rsid w:val="006B1FB0"/>
    <w:rsid w:val="006B5FF5"/>
    <w:rsid w:val="006C0BAB"/>
    <w:rsid w:val="006C5661"/>
    <w:rsid w:val="006D4790"/>
    <w:rsid w:val="006E0BB8"/>
    <w:rsid w:val="006E419F"/>
    <w:rsid w:val="00701759"/>
    <w:rsid w:val="00702C6F"/>
    <w:rsid w:val="00711B64"/>
    <w:rsid w:val="0072405A"/>
    <w:rsid w:val="00724B1C"/>
    <w:rsid w:val="00725154"/>
    <w:rsid w:val="00747288"/>
    <w:rsid w:val="00747DD3"/>
    <w:rsid w:val="00752F4E"/>
    <w:rsid w:val="007549C8"/>
    <w:rsid w:val="00757E2C"/>
    <w:rsid w:val="00762D30"/>
    <w:rsid w:val="00763377"/>
    <w:rsid w:val="00766D14"/>
    <w:rsid w:val="00767A0F"/>
    <w:rsid w:val="00773DDD"/>
    <w:rsid w:val="00777AE5"/>
    <w:rsid w:val="00782207"/>
    <w:rsid w:val="007834A8"/>
    <w:rsid w:val="00794EF8"/>
    <w:rsid w:val="007A05F6"/>
    <w:rsid w:val="007A584C"/>
    <w:rsid w:val="007A7BD1"/>
    <w:rsid w:val="007B4960"/>
    <w:rsid w:val="007B6F4A"/>
    <w:rsid w:val="007C5BF5"/>
    <w:rsid w:val="007D089B"/>
    <w:rsid w:val="007D18D7"/>
    <w:rsid w:val="007E1C47"/>
    <w:rsid w:val="007E337A"/>
    <w:rsid w:val="007E5769"/>
    <w:rsid w:val="007E5C70"/>
    <w:rsid w:val="007F2FF5"/>
    <w:rsid w:val="00815382"/>
    <w:rsid w:val="00817190"/>
    <w:rsid w:val="008322BD"/>
    <w:rsid w:val="008379D5"/>
    <w:rsid w:val="00846D94"/>
    <w:rsid w:val="00855307"/>
    <w:rsid w:val="00862CF3"/>
    <w:rsid w:val="00863E41"/>
    <w:rsid w:val="00864CF8"/>
    <w:rsid w:val="0086654F"/>
    <w:rsid w:val="0086766D"/>
    <w:rsid w:val="008747F5"/>
    <w:rsid w:val="00874914"/>
    <w:rsid w:val="00877C00"/>
    <w:rsid w:val="00886E16"/>
    <w:rsid w:val="00892E1A"/>
    <w:rsid w:val="008958F5"/>
    <w:rsid w:val="008A6558"/>
    <w:rsid w:val="008A66B9"/>
    <w:rsid w:val="008A727C"/>
    <w:rsid w:val="008C01DA"/>
    <w:rsid w:val="008C1C5F"/>
    <w:rsid w:val="008D1732"/>
    <w:rsid w:val="008E278D"/>
    <w:rsid w:val="008E4B75"/>
    <w:rsid w:val="008F16D9"/>
    <w:rsid w:val="008F4A9E"/>
    <w:rsid w:val="008F78E9"/>
    <w:rsid w:val="00902462"/>
    <w:rsid w:val="0091696F"/>
    <w:rsid w:val="009205FA"/>
    <w:rsid w:val="009207EA"/>
    <w:rsid w:val="00927D7D"/>
    <w:rsid w:val="009403F3"/>
    <w:rsid w:val="00945861"/>
    <w:rsid w:val="00957F8F"/>
    <w:rsid w:val="00957FA2"/>
    <w:rsid w:val="009628C9"/>
    <w:rsid w:val="00965043"/>
    <w:rsid w:val="00966913"/>
    <w:rsid w:val="00967374"/>
    <w:rsid w:val="0097005B"/>
    <w:rsid w:val="0097543E"/>
    <w:rsid w:val="00983F3F"/>
    <w:rsid w:val="00985C69"/>
    <w:rsid w:val="0099079B"/>
    <w:rsid w:val="009B2F23"/>
    <w:rsid w:val="009B53E2"/>
    <w:rsid w:val="009B57B3"/>
    <w:rsid w:val="009C5335"/>
    <w:rsid w:val="009C7A4B"/>
    <w:rsid w:val="009D1B69"/>
    <w:rsid w:val="009D25EC"/>
    <w:rsid w:val="009D5AEB"/>
    <w:rsid w:val="009E6A1F"/>
    <w:rsid w:val="009F383F"/>
    <w:rsid w:val="009F3CAB"/>
    <w:rsid w:val="009F53A6"/>
    <w:rsid w:val="00A030DA"/>
    <w:rsid w:val="00A05F0E"/>
    <w:rsid w:val="00A100B0"/>
    <w:rsid w:val="00A13720"/>
    <w:rsid w:val="00A20F43"/>
    <w:rsid w:val="00A21107"/>
    <w:rsid w:val="00A21B90"/>
    <w:rsid w:val="00A21C5E"/>
    <w:rsid w:val="00A2386D"/>
    <w:rsid w:val="00A2491D"/>
    <w:rsid w:val="00A24E15"/>
    <w:rsid w:val="00A548CB"/>
    <w:rsid w:val="00A6242E"/>
    <w:rsid w:val="00A643E7"/>
    <w:rsid w:val="00A73C38"/>
    <w:rsid w:val="00A85470"/>
    <w:rsid w:val="00AC1344"/>
    <w:rsid w:val="00AC6322"/>
    <w:rsid w:val="00AC7437"/>
    <w:rsid w:val="00AC7A44"/>
    <w:rsid w:val="00AD5CAD"/>
    <w:rsid w:val="00AD6D15"/>
    <w:rsid w:val="00AE607E"/>
    <w:rsid w:val="00AF03C5"/>
    <w:rsid w:val="00AF4540"/>
    <w:rsid w:val="00B000D8"/>
    <w:rsid w:val="00B00F75"/>
    <w:rsid w:val="00B00FA1"/>
    <w:rsid w:val="00B145B6"/>
    <w:rsid w:val="00B17503"/>
    <w:rsid w:val="00B45C62"/>
    <w:rsid w:val="00B50C81"/>
    <w:rsid w:val="00B557F8"/>
    <w:rsid w:val="00B60BA2"/>
    <w:rsid w:val="00B6484C"/>
    <w:rsid w:val="00B64972"/>
    <w:rsid w:val="00B66DD8"/>
    <w:rsid w:val="00B67399"/>
    <w:rsid w:val="00B8145D"/>
    <w:rsid w:val="00B815FC"/>
    <w:rsid w:val="00B93FBC"/>
    <w:rsid w:val="00B96FC0"/>
    <w:rsid w:val="00BB0727"/>
    <w:rsid w:val="00BC156D"/>
    <w:rsid w:val="00BD6B93"/>
    <w:rsid w:val="00BF04B4"/>
    <w:rsid w:val="00BF5B89"/>
    <w:rsid w:val="00C02092"/>
    <w:rsid w:val="00C057F7"/>
    <w:rsid w:val="00C0663B"/>
    <w:rsid w:val="00C077E3"/>
    <w:rsid w:val="00C151C3"/>
    <w:rsid w:val="00C203CC"/>
    <w:rsid w:val="00C24C8C"/>
    <w:rsid w:val="00C24D91"/>
    <w:rsid w:val="00C52532"/>
    <w:rsid w:val="00C53F14"/>
    <w:rsid w:val="00C55C2E"/>
    <w:rsid w:val="00C56A2E"/>
    <w:rsid w:val="00C57B60"/>
    <w:rsid w:val="00C600CF"/>
    <w:rsid w:val="00C6084F"/>
    <w:rsid w:val="00C62A66"/>
    <w:rsid w:val="00C62A6F"/>
    <w:rsid w:val="00C67CA5"/>
    <w:rsid w:val="00C71458"/>
    <w:rsid w:val="00C71F58"/>
    <w:rsid w:val="00C77613"/>
    <w:rsid w:val="00C828E7"/>
    <w:rsid w:val="00C921DD"/>
    <w:rsid w:val="00C92A44"/>
    <w:rsid w:val="00C9620C"/>
    <w:rsid w:val="00CA4D82"/>
    <w:rsid w:val="00CA6391"/>
    <w:rsid w:val="00CB144C"/>
    <w:rsid w:val="00CD4D7E"/>
    <w:rsid w:val="00CE0890"/>
    <w:rsid w:val="00CE3171"/>
    <w:rsid w:val="00CE4F94"/>
    <w:rsid w:val="00CE570B"/>
    <w:rsid w:val="00CE62AC"/>
    <w:rsid w:val="00CE7865"/>
    <w:rsid w:val="00CF1601"/>
    <w:rsid w:val="00D32086"/>
    <w:rsid w:val="00D37A3F"/>
    <w:rsid w:val="00D445D3"/>
    <w:rsid w:val="00D45FCF"/>
    <w:rsid w:val="00D4667A"/>
    <w:rsid w:val="00D510BB"/>
    <w:rsid w:val="00D5435D"/>
    <w:rsid w:val="00D57249"/>
    <w:rsid w:val="00D6794C"/>
    <w:rsid w:val="00D74F2E"/>
    <w:rsid w:val="00D82781"/>
    <w:rsid w:val="00DA0590"/>
    <w:rsid w:val="00DC0DF5"/>
    <w:rsid w:val="00DC1788"/>
    <w:rsid w:val="00DF0CA8"/>
    <w:rsid w:val="00DF49A7"/>
    <w:rsid w:val="00E01106"/>
    <w:rsid w:val="00E0436D"/>
    <w:rsid w:val="00E07EE2"/>
    <w:rsid w:val="00E24573"/>
    <w:rsid w:val="00E377A1"/>
    <w:rsid w:val="00E45109"/>
    <w:rsid w:val="00E463E0"/>
    <w:rsid w:val="00E54B02"/>
    <w:rsid w:val="00E605BD"/>
    <w:rsid w:val="00E97830"/>
    <w:rsid w:val="00EA03E5"/>
    <w:rsid w:val="00EB30CE"/>
    <w:rsid w:val="00EB494C"/>
    <w:rsid w:val="00EC2A06"/>
    <w:rsid w:val="00EE0FAF"/>
    <w:rsid w:val="00EE66C3"/>
    <w:rsid w:val="00EF7F63"/>
    <w:rsid w:val="00F00EB7"/>
    <w:rsid w:val="00F07471"/>
    <w:rsid w:val="00F15AC1"/>
    <w:rsid w:val="00F2258E"/>
    <w:rsid w:val="00F3101F"/>
    <w:rsid w:val="00F33658"/>
    <w:rsid w:val="00F35931"/>
    <w:rsid w:val="00F36AB6"/>
    <w:rsid w:val="00F409CE"/>
    <w:rsid w:val="00F42A9C"/>
    <w:rsid w:val="00F46C7F"/>
    <w:rsid w:val="00F708F6"/>
    <w:rsid w:val="00F83FC4"/>
    <w:rsid w:val="00F84DF4"/>
    <w:rsid w:val="00F853FB"/>
    <w:rsid w:val="00F85C97"/>
    <w:rsid w:val="00F870B7"/>
    <w:rsid w:val="00FA2FE1"/>
    <w:rsid w:val="00FB005B"/>
    <w:rsid w:val="00FC606D"/>
    <w:rsid w:val="00FD068D"/>
    <w:rsid w:val="00FD101F"/>
    <w:rsid w:val="00FD4F28"/>
    <w:rsid w:val="00FE33E1"/>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uiPriority w:val="99"/>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uiPriority w:val="99"/>
    <w:rsid w:val="00527180"/>
  </w:style>
  <w:style w:type="character" w:customStyle="1" w:styleId="SCCLsocSubfileSeparatorChar">
    <w:name w:val="SCC.Lsoc.SubfileSeparator Char"/>
    <w:basedOn w:val="DefaultParagraphFont"/>
    <w:link w:val="SCCLsocSubfileSeparator"/>
    <w:uiPriority w:val="99"/>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styleId="Hyperlink">
    <w:name w:val="Hyperlink"/>
    <w:basedOn w:val="DefaultParagraphFont"/>
    <w:uiPriority w:val="99"/>
    <w:unhideWhenUsed/>
    <w:rsid w:val="003F15B0"/>
    <w:rPr>
      <w:color w:val="0000FF" w:themeColor="hyperlink"/>
      <w:u w:val="single"/>
    </w:rPr>
  </w:style>
  <w:style w:type="paragraph" w:customStyle="1" w:styleId="ParaNoNdepar-AltN">
    <w:name w:val="Para. No. / Nº de par. - Alt N"/>
    <w:uiPriority w:val="99"/>
    <w:rsid w:val="00A100B0"/>
    <w:pPr>
      <w:numPr>
        <w:numId w:val="1"/>
      </w:numPr>
      <w:tabs>
        <w:tab w:val="clear" w:pos="1152"/>
        <w:tab w:val="left" w:pos="1166"/>
      </w:tabs>
      <w:spacing w:before="480" w:after="480" w:line="480" w:lineRule="auto"/>
      <w:jc w:val="both"/>
    </w:pPr>
    <w:rPr>
      <w:sz w:val="24"/>
      <w:szCs w:val="22"/>
      <w:lang w:eastAsia="en-US"/>
    </w:rPr>
  </w:style>
  <w:style w:type="character" w:styleId="FootnoteReference">
    <w:name w:val="footnote reference"/>
    <w:basedOn w:val="DefaultParagraphFont"/>
    <w:uiPriority w:val="99"/>
    <w:semiHidden/>
    <w:unhideWhenUsed/>
    <w:rsid w:val="00A21C5E"/>
    <w:rPr>
      <w:vertAlign w:val="superscript"/>
    </w:rPr>
  </w:style>
  <w:style w:type="paragraph" w:styleId="FootnoteText">
    <w:name w:val="footnote text"/>
    <w:basedOn w:val="Normal"/>
    <w:link w:val="FootnoteTextChar"/>
    <w:uiPriority w:val="99"/>
    <w:semiHidden/>
    <w:unhideWhenUsed/>
    <w:rsid w:val="00A21C5E"/>
    <w:rPr>
      <w:sz w:val="20"/>
    </w:rPr>
  </w:style>
  <w:style w:type="character" w:customStyle="1" w:styleId="FootnoteTextChar">
    <w:name w:val="Footnote Text Char"/>
    <w:basedOn w:val="DefaultParagraphFont"/>
    <w:link w:val="FootnoteText"/>
    <w:uiPriority w:val="99"/>
    <w:semiHidden/>
    <w:rsid w:val="00A21C5E"/>
    <w:rPr>
      <w:lang w:val="fr-CA"/>
    </w:rPr>
  </w:style>
  <w:style w:type="paragraph" w:customStyle="1" w:styleId="SCCLsocOtherPartyRoleSeparator">
    <w:name w:val="SCC.Lsoc.OtherPartyRoleSeparator"/>
    <w:basedOn w:val="Normal"/>
    <w:next w:val="Normal"/>
    <w:link w:val="SCCLsocOtherPartyRoleSeparatorChar"/>
    <w:uiPriority w:val="99"/>
    <w:rsid w:val="009207EA"/>
    <w:pPr>
      <w:spacing w:after="480"/>
    </w:pPr>
    <w:rPr>
      <w:szCs w:val="22"/>
      <w:lang w:val="en-CA" w:eastAsia="en-US"/>
    </w:rPr>
  </w:style>
  <w:style w:type="character" w:customStyle="1" w:styleId="SCCLsocOtherPartyRoleSeparatorChar">
    <w:name w:val="SCC.Lsoc.OtherPartyRoleSeparator Char"/>
    <w:basedOn w:val="DefaultParagraphFont"/>
    <w:link w:val="SCCLsocOtherPartyRoleSeparator"/>
    <w:uiPriority w:val="99"/>
    <w:locked/>
    <w:rsid w:val="009207EA"/>
    <w:rPr>
      <w:sz w:val="24"/>
      <w:szCs w:val="22"/>
      <w:lang w:eastAsia="en-US"/>
    </w:rPr>
  </w:style>
  <w:style w:type="character" w:customStyle="1" w:styleId="SCCBanSummaryChar">
    <w:name w:val="SCC.BanSummary Char"/>
    <w:basedOn w:val="DefaultParagraphFont"/>
    <w:link w:val="SCCBanSummary"/>
    <w:uiPriority w:val="99"/>
    <w:locked/>
    <w:rsid w:val="009207EA"/>
    <w:rPr>
      <w:b/>
      <w:sz w:val="24"/>
      <w:lang w:val="fr-CA"/>
    </w:rPr>
  </w:style>
  <w:style w:type="table" w:styleId="TableGrid">
    <w:name w:val="Table Grid"/>
    <w:basedOn w:val="TableNormal"/>
    <w:uiPriority w:val="59"/>
    <w:rsid w:val="009207EA"/>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9207EA"/>
    <w:pPr>
      <w:spacing w:after="720"/>
      <w:ind w:left="1166"/>
      <w:contextualSpacing/>
      <w:jc w:val="both"/>
    </w:pPr>
    <w:rPr>
      <w:sz w:val="24"/>
    </w:rPr>
  </w:style>
  <w:style w:type="paragraph" w:customStyle="1" w:styleId="ContinueParaSuitedupar-AltP">
    <w:name w:val="Continue Para. / Suite du par. - Alt P"/>
    <w:next w:val="ParaNoNdepar-AltN"/>
    <w:uiPriority w:val="99"/>
    <w:rsid w:val="009207EA"/>
    <w:pPr>
      <w:spacing w:before="480" w:after="480" w:line="480" w:lineRule="auto"/>
      <w:jc w:val="both"/>
    </w:pPr>
    <w:rPr>
      <w:sz w:val="24"/>
      <w:szCs w:val="22"/>
      <w:lang w:eastAsia="en-US"/>
    </w:rPr>
  </w:style>
  <w:style w:type="paragraph" w:customStyle="1" w:styleId="JudgeJuge">
    <w:name w:val="Judge / Juge"/>
    <w:uiPriority w:val="99"/>
    <w:rsid w:val="009207EA"/>
    <w:pPr>
      <w:tabs>
        <w:tab w:val="left" w:pos="1166"/>
      </w:tabs>
      <w:spacing w:after="480" w:line="480" w:lineRule="auto"/>
    </w:pPr>
    <w:rPr>
      <w:smallCaps/>
      <w:sz w:val="24"/>
    </w:rPr>
  </w:style>
  <w:style w:type="paragraph" w:customStyle="1" w:styleId="TitleTitre-AltT">
    <w:name w:val="Title / Titre - Alt T"/>
    <w:next w:val="ParaNoNdepar-AltN"/>
    <w:uiPriority w:val="99"/>
    <w:rsid w:val="009207EA"/>
    <w:pPr>
      <w:keepNext/>
      <w:tabs>
        <w:tab w:val="left" w:pos="360"/>
      </w:tabs>
      <w:spacing w:after="720"/>
      <w:ind w:left="357" w:hanging="357"/>
      <w:jc w:val="both"/>
    </w:pPr>
    <w:rPr>
      <w:sz w:val="24"/>
      <w:szCs w:val="22"/>
      <w:lang w:eastAsia="en-US"/>
    </w:rPr>
  </w:style>
  <w:style w:type="paragraph" w:styleId="ListParagraph">
    <w:name w:val="List Paragraph"/>
    <w:basedOn w:val="Normal"/>
    <w:uiPriority w:val="99"/>
    <w:qFormat/>
    <w:rsid w:val="009207EA"/>
    <w:pPr>
      <w:ind w:left="720"/>
      <w:contextualSpacing/>
    </w:pPr>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C771-C5BF-4092-A982-87351A23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7771</Words>
  <Characters>40844</Characters>
  <Application>Microsoft Office Word</Application>
  <DocSecurity>0</DocSecurity>
  <Lines>340</Lines>
  <Paragraphs>97</Paragraphs>
  <ScaleCrop>false</ScaleCrop>
  <Company/>
  <LinksUpToDate>false</LinksUpToDate>
  <CharactersWithSpaces>48518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2012-05-30T15:37:00Z</dcterms:created>
  <dcterms:modified xsi:type="dcterms:W3CDTF">2012-11-09T17:59:00Z</dcterms:modified>
</cp:coreProperties>
</file>