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52" w:rsidRPr="003546B3" w:rsidRDefault="00476C52" w:rsidP="00476C52">
      <w:pPr>
        <w:tabs>
          <w:tab w:val="center" w:pos="4680"/>
          <w:tab w:val="right" w:pos="9360"/>
        </w:tabs>
        <w:jc w:val="center"/>
        <w:rPr>
          <w:rFonts w:eastAsiaTheme="minorHAnsi" w:cstheme="minorBidi"/>
          <w:szCs w:val="24"/>
          <w:lang w:eastAsia="en-US"/>
        </w:rPr>
      </w:pPr>
      <w:r w:rsidRPr="003546B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09052673" r:id="rId8"/>
        </w:object>
      </w:r>
    </w:p>
    <w:p w:rsidR="00476C52" w:rsidRPr="003546B3" w:rsidRDefault="00476C52" w:rsidP="00476C52">
      <w:pPr>
        <w:tabs>
          <w:tab w:val="center" w:pos="4680"/>
          <w:tab w:val="right" w:pos="9360"/>
        </w:tabs>
        <w:rPr>
          <w:rFonts w:eastAsiaTheme="minorHAnsi" w:cstheme="minorBidi"/>
          <w:szCs w:val="24"/>
          <w:lang w:eastAsia="en-US"/>
        </w:rPr>
      </w:pPr>
    </w:p>
    <w:p w:rsidR="00476C52" w:rsidRPr="003546B3" w:rsidRDefault="00476C52" w:rsidP="00476C52">
      <w:pPr>
        <w:jc w:val="center"/>
        <w:rPr>
          <w:rFonts w:eastAsiaTheme="minorHAnsi" w:cstheme="minorBidi"/>
          <w:b/>
          <w:szCs w:val="24"/>
          <w:lang w:eastAsia="en-US"/>
        </w:rPr>
      </w:pPr>
      <w:r w:rsidRPr="003546B3">
        <w:rPr>
          <w:rFonts w:eastAsiaTheme="minorHAnsi" w:cstheme="minorBidi"/>
          <w:b/>
          <w:szCs w:val="24"/>
          <w:lang w:eastAsia="en-US"/>
        </w:rPr>
        <w:t>COUR SUPRÊME DU CANADA</w:t>
      </w:r>
    </w:p>
    <w:p w:rsidR="00476C52" w:rsidRPr="003546B3" w:rsidRDefault="00476C52" w:rsidP="00476C52">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76C52" w:rsidRPr="003546B3" w:rsidTr="00BD1516">
        <w:trPr>
          <w:cantSplit/>
        </w:trPr>
        <w:tc>
          <w:tcPr>
            <w:tcW w:w="6768" w:type="dxa"/>
          </w:tcPr>
          <w:p w:rsidR="00476C52" w:rsidRPr="003546B3" w:rsidRDefault="00476C52" w:rsidP="00BD1516">
            <w:pPr>
              <w:rPr>
                <w:lang w:val="en-US"/>
              </w:rPr>
            </w:pPr>
            <w:r w:rsidRPr="003546B3">
              <w:rPr>
                <w:b/>
                <w:smallCaps/>
                <w:lang w:val="en-US"/>
              </w:rPr>
              <w:t>Référence :</w:t>
            </w:r>
            <w:r w:rsidRPr="003546B3">
              <w:rPr>
                <w:lang w:val="en-US"/>
              </w:rPr>
              <w:t xml:space="preserve"> Momentous.ca Corp. </w:t>
            </w:r>
            <w:r w:rsidRPr="003546B3">
              <w:rPr>
                <w:i/>
                <w:lang w:val="en-US"/>
              </w:rPr>
              <w:t>c.</w:t>
            </w:r>
            <w:r w:rsidRPr="003546B3">
              <w:rPr>
                <w:lang w:val="en-US"/>
              </w:rPr>
              <w:t xml:space="preserve"> Canadian American Association of Professional Baseball Ltd., </w:t>
            </w:r>
            <w:r>
              <w:rPr>
                <w:lang w:val="en-US"/>
              </w:rPr>
              <w:t>2012 CSC 9, [2012] 1 R.C.S. 359</w:t>
            </w:r>
          </w:p>
        </w:tc>
        <w:tc>
          <w:tcPr>
            <w:tcW w:w="2808" w:type="dxa"/>
          </w:tcPr>
          <w:p w:rsidR="00476C52" w:rsidRPr="003546B3" w:rsidRDefault="00476C52" w:rsidP="00BD1516">
            <w:r w:rsidRPr="003546B3">
              <w:rPr>
                <w:b/>
                <w:smallCaps/>
              </w:rPr>
              <w:t>Date :</w:t>
            </w:r>
            <w:r w:rsidRPr="003546B3">
              <w:t xml:space="preserve"> 20120315</w:t>
            </w:r>
          </w:p>
          <w:p w:rsidR="00476C52" w:rsidRPr="003546B3" w:rsidRDefault="00476C52" w:rsidP="00BD1516">
            <w:r w:rsidRPr="003546B3">
              <w:rPr>
                <w:b/>
                <w:smallCaps/>
              </w:rPr>
              <w:t>Dossier :</w:t>
            </w:r>
            <w:r w:rsidRPr="003546B3">
              <w:t xml:space="preserve"> 33999</w:t>
            </w:r>
          </w:p>
        </w:tc>
      </w:tr>
    </w:tbl>
    <w:p w:rsidR="00476C52" w:rsidRPr="003546B3" w:rsidRDefault="00476C52" w:rsidP="00476C52">
      <w:pPr>
        <w:rPr>
          <w:rFonts w:eastAsiaTheme="minorHAnsi" w:cstheme="minorBidi"/>
          <w:szCs w:val="24"/>
          <w:lang w:eastAsia="en-US"/>
        </w:rPr>
      </w:pPr>
    </w:p>
    <w:p w:rsidR="00476C52" w:rsidRPr="003546B3" w:rsidRDefault="00476C52" w:rsidP="00476C52">
      <w:pPr>
        <w:rPr>
          <w:rFonts w:eastAsiaTheme="minorHAnsi" w:cstheme="minorBidi"/>
          <w:b/>
          <w:smallCaps/>
          <w:szCs w:val="24"/>
          <w:lang w:eastAsia="en-US"/>
        </w:rPr>
      </w:pPr>
      <w:r w:rsidRPr="003546B3">
        <w:rPr>
          <w:rFonts w:eastAsiaTheme="minorHAnsi" w:cstheme="minorBidi"/>
          <w:b/>
          <w:smallCaps/>
          <w:szCs w:val="24"/>
          <w:lang w:eastAsia="en-US"/>
        </w:rPr>
        <w:t>Entre :</w:t>
      </w:r>
    </w:p>
    <w:p w:rsidR="00476C52" w:rsidRPr="003546B3" w:rsidRDefault="00476C52" w:rsidP="00476C52">
      <w:pPr>
        <w:jc w:val="center"/>
        <w:rPr>
          <w:rFonts w:eastAsiaTheme="minorHAnsi" w:cstheme="minorBidi"/>
          <w:b/>
          <w:szCs w:val="24"/>
          <w:lang w:val="en-US" w:eastAsia="en-US"/>
        </w:rPr>
      </w:pPr>
      <w:r w:rsidRPr="003546B3">
        <w:rPr>
          <w:rFonts w:eastAsiaTheme="minorHAnsi" w:cstheme="minorBidi"/>
          <w:b/>
          <w:szCs w:val="24"/>
          <w:lang w:val="en-US" w:eastAsia="en-US"/>
        </w:rPr>
        <w:t>Momentous.ca Corporation,</w:t>
      </w:r>
    </w:p>
    <w:p w:rsidR="00476C52" w:rsidRPr="003546B3" w:rsidRDefault="00476C52" w:rsidP="00476C52">
      <w:pPr>
        <w:jc w:val="center"/>
        <w:rPr>
          <w:rFonts w:eastAsiaTheme="minorHAnsi" w:cstheme="minorBidi"/>
          <w:b/>
          <w:szCs w:val="24"/>
          <w:lang w:val="en-US" w:eastAsia="en-US"/>
        </w:rPr>
      </w:pPr>
      <w:proofErr w:type="spellStart"/>
      <w:proofErr w:type="gramStart"/>
      <w:r w:rsidRPr="003546B3">
        <w:rPr>
          <w:rFonts w:eastAsiaTheme="minorHAnsi" w:cstheme="minorBidi"/>
          <w:b/>
          <w:szCs w:val="24"/>
          <w:lang w:val="en-US" w:eastAsia="en-US"/>
        </w:rPr>
        <w:t>Rapidz</w:t>
      </w:r>
      <w:proofErr w:type="spellEnd"/>
      <w:r w:rsidRPr="003546B3">
        <w:rPr>
          <w:rFonts w:eastAsiaTheme="minorHAnsi" w:cstheme="minorBidi"/>
          <w:b/>
          <w:szCs w:val="24"/>
          <w:lang w:val="en-US" w:eastAsia="en-US"/>
        </w:rPr>
        <w:t xml:space="preserve"> Sports and Entertainment Inc.,</w:t>
      </w:r>
      <w:proofErr w:type="gramEnd"/>
    </w:p>
    <w:p w:rsidR="00476C52" w:rsidRPr="003546B3" w:rsidRDefault="00476C52" w:rsidP="00476C52">
      <w:pPr>
        <w:jc w:val="center"/>
        <w:rPr>
          <w:rFonts w:eastAsiaTheme="minorHAnsi" w:cstheme="minorBidi"/>
          <w:b/>
          <w:szCs w:val="24"/>
          <w:lang w:eastAsia="en-US"/>
        </w:rPr>
      </w:pPr>
      <w:proofErr w:type="spellStart"/>
      <w:r w:rsidRPr="003546B3">
        <w:rPr>
          <w:rFonts w:eastAsiaTheme="minorHAnsi" w:cstheme="minorBidi"/>
          <w:b/>
          <w:szCs w:val="24"/>
          <w:lang w:eastAsia="en-US"/>
        </w:rPr>
        <w:t>Rapidz</w:t>
      </w:r>
      <w:proofErr w:type="spellEnd"/>
      <w:r w:rsidRPr="003546B3">
        <w:rPr>
          <w:rFonts w:eastAsiaTheme="minorHAnsi" w:cstheme="minorBidi"/>
          <w:b/>
          <w:szCs w:val="24"/>
          <w:lang w:eastAsia="en-US"/>
        </w:rPr>
        <w:t xml:space="preserve"> Baseball Club Inc. et Zip.ca Inc.</w:t>
      </w:r>
    </w:p>
    <w:p w:rsidR="00476C52" w:rsidRPr="003546B3" w:rsidRDefault="00476C52" w:rsidP="00476C52">
      <w:pPr>
        <w:jc w:val="center"/>
        <w:rPr>
          <w:rFonts w:eastAsiaTheme="minorHAnsi" w:cstheme="minorBidi"/>
          <w:szCs w:val="24"/>
          <w:lang w:eastAsia="en-US"/>
        </w:rPr>
      </w:pPr>
      <w:r w:rsidRPr="003546B3">
        <w:rPr>
          <w:rFonts w:eastAsiaTheme="minorHAnsi" w:cstheme="minorBidi"/>
          <w:szCs w:val="24"/>
          <w:lang w:eastAsia="en-US"/>
        </w:rPr>
        <w:t>Appelantes</w:t>
      </w:r>
    </w:p>
    <w:p w:rsidR="00476C52" w:rsidRPr="00476C52" w:rsidRDefault="00476C52" w:rsidP="00476C52">
      <w:pPr>
        <w:jc w:val="center"/>
        <w:rPr>
          <w:rFonts w:eastAsiaTheme="minorHAnsi" w:cstheme="minorBidi"/>
          <w:szCs w:val="24"/>
          <w:lang w:eastAsia="en-US"/>
        </w:rPr>
      </w:pPr>
      <w:proofErr w:type="gramStart"/>
      <w:r w:rsidRPr="00476C52">
        <w:rPr>
          <w:rFonts w:eastAsiaTheme="minorHAnsi" w:cstheme="minorBidi"/>
          <w:szCs w:val="24"/>
          <w:lang w:eastAsia="en-US"/>
        </w:rPr>
        <w:t>et</w:t>
      </w:r>
      <w:proofErr w:type="gramEnd"/>
    </w:p>
    <w:p w:rsidR="00476C52" w:rsidRPr="003546B3" w:rsidRDefault="00476C52" w:rsidP="00476C52">
      <w:pPr>
        <w:jc w:val="center"/>
        <w:rPr>
          <w:rFonts w:eastAsiaTheme="minorHAnsi" w:cstheme="minorBidi"/>
          <w:b/>
          <w:szCs w:val="24"/>
          <w:lang w:val="en-US" w:eastAsia="en-US"/>
        </w:rPr>
      </w:pPr>
      <w:proofErr w:type="gramStart"/>
      <w:r w:rsidRPr="003546B3">
        <w:rPr>
          <w:rFonts w:eastAsiaTheme="minorHAnsi" w:cstheme="minorBidi"/>
          <w:b/>
          <w:szCs w:val="24"/>
          <w:lang w:val="en-US" w:eastAsia="en-US"/>
        </w:rPr>
        <w:t>Canadian American Association of Professional Baseball Ltd.,</w:t>
      </w:r>
      <w:proofErr w:type="gramEnd"/>
    </w:p>
    <w:p w:rsidR="00476C52" w:rsidRPr="003546B3" w:rsidRDefault="00476C52" w:rsidP="00476C52">
      <w:pPr>
        <w:jc w:val="center"/>
        <w:rPr>
          <w:rFonts w:eastAsiaTheme="minorHAnsi" w:cstheme="minorBidi"/>
          <w:b/>
          <w:szCs w:val="24"/>
          <w:lang w:val="en-US" w:eastAsia="en-US"/>
        </w:rPr>
      </w:pPr>
      <w:r w:rsidRPr="003546B3">
        <w:rPr>
          <w:rFonts w:eastAsiaTheme="minorHAnsi" w:cstheme="minorBidi"/>
          <w:b/>
          <w:szCs w:val="24"/>
          <w:lang w:val="en-US" w:eastAsia="en-US"/>
        </w:rPr>
        <w:t xml:space="preserve">Inside the Park LLC, Greg </w:t>
      </w:r>
      <w:proofErr w:type="spellStart"/>
      <w:r w:rsidRPr="003546B3">
        <w:rPr>
          <w:rFonts w:eastAsiaTheme="minorHAnsi" w:cstheme="minorBidi"/>
          <w:b/>
          <w:szCs w:val="24"/>
          <w:lang w:val="en-US" w:eastAsia="en-US"/>
        </w:rPr>
        <w:t>Lockard</w:t>
      </w:r>
      <w:proofErr w:type="spellEnd"/>
      <w:r w:rsidRPr="003546B3">
        <w:rPr>
          <w:rFonts w:eastAsiaTheme="minorHAnsi" w:cstheme="minorBidi"/>
          <w:b/>
          <w:szCs w:val="24"/>
          <w:lang w:val="en-US" w:eastAsia="en-US"/>
        </w:rPr>
        <w:t xml:space="preserve">, Dan </w:t>
      </w:r>
      <w:proofErr w:type="spellStart"/>
      <w:r w:rsidRPr="003546B3">
        <w:rPr>
          <w:rFonts w:eastAsiaTheme="minorHAnsi" w:cstheme="minorBidi"/>
          <w:b/>
          <w:szCs w:val="24"/>
          <w:lang w:val="en-US" w:eastAsia="en-US"/>
        </w:rPr>
        <w:t>Moushon</w:t>
      </w:r>
      <w:proofErr w:type="spellEnd"/>
      <w:r w:rsidRPr="003546B3">
        <w:rPr>
          <w:rFonts w:eastAsiaTheme="minorHAnsi" w:cstheme="minorBidi"/>
          <w:b/>
          <w:szCs w:val="24"/>
          <w:lang w:val="en-US" w:eastAsia="en-US"/>
        </w:rPr>
        <w:t>, Bruce Murdoch,</w:t>
      </w:r>
    </w:p>
    <w:p w:rsidR="00476C52" w:rsidRPr="003546B3" w:rsidRDefault="00476C52" w:rsidP="00476C52">
      <w:pPr>
        <w:jc w:val="center"/>
        <w:rPr>
          <w:rFonts w:eastAsiaTheme="minorHAnsi" w:cstheme="minorBidi"/>
          <w:b/>
          <w:szCs w:val="24"/>
          <w:lang w:eastAsia="en-US"/>
        </w:rPr>
      </w:pPr>
      <w:r w:rsidRPr="003546B3">
        <w:rPr>
          <w:rFonts w:eastAsiaTheme="minorHAnsi" w:cstheme="minorBidi"/>
          <w:b/>
          <w:szCs w:val="24"/>
          <w:lang w:eastAsia="en-US"/>
        </w:rPr>
        <w:t>Ville d’Ottawa et Miles Wolff</w:t>
      </w:r>
    </w:p>
    <w:p w:rsidR="00476C52" w:rsidRPr="003546B3" w:rsidRDefault="00476C52" w:rsidP="00476C52">
      <w:pPr>
        <w:jc w:val="center"/>
        <w:rPr>
          <w:rFonts w:eastAsiaTheme="minorHAnsi" w:cstheme="minorBidi"/>
          <w:szCs w:val="24"/>
          <w:lang w:eastAsia="en-US"/>
        </w:rPr>
      </w:pPr>
      <w:r w:rsidRPr="003546B3">
        <w:rPr>
          <w:rFonts w:eastAsiaTheme="minorHAnsi" w:cstheme="minorBidi"/>
          <w:szCs w:val="24"/>
          <w:lang w:eastAsia="en-US"/>
        </w:rPr>
        <w:t>Intimés</w:t>
      </w:r>
    </w:p>
    <w:p w:rsidR="00476C52" w:rsidRPr="003546B3" w:rsidRDefault="00476C52" w:rsidP="00476C52">
      <w:pPr>
        <w:rPr>
          <w:rFonts w:eastAsiaTheme="minorHAnsi" w:cstheme="minorBidi"/>
          <w:szCs w:val="24"/>
          <w:lang w:eastAsia="en-US"/>
        </w:rPr>
      </w:pPr>
    </w:p>
    <w:p w:rsidR="00476C52" w:rsidRPr="003546B3" w:rsidRDefault="00476C52" w:rsidP="00476C52">
      <w:pPr>
        <w:rPr>
          <w:rFonts w:eastAsiaTheme="minorHAnsi" w:cstheme="minorBidi"/>
          <w:szCs w:val="24"/>
          <w:lang w:eastAsia="en-US"/>
        </w:rPr>
      </w:pPr>
    </w:p>
    <w:p w:rsidR="00476C52" w:rsidRPr="003546B3" w:rsidRDefault="00476C52" w:rsidP="00476C52">
      <w:pPr>
        <w:jc w:val="center"/>
        <w:rPr>
          <w:rFonts w:eastAsiaTheme="minorHAnsi" w:cstheme="minorBidi"/>
          <w:b/>
          <w:smallCaps/>
          <w:szCs w:val="24"/>
          <w:lang w:eastAsia="en-US"/>
        </w:rPr>
      </w:pPr>
      <w:r w:rsidRPr="003546B3">
        <w:rPr>
          <w:rFonts w:eastAsiaTheme="minorHAnsi" w:cstheme="minorBidi"/>
          <w:b/>
          <w:smallCaps/>
          <w:szCs w:val="24"/>
          <w:lang w:eastAsia="en-US"/>
        </w:rPr>
        <w:t>Traduction française officielle</w:t>
      </w:r>
    </w:p>
    <w:p w:rsidR="00476C52" w:rsidRPr="003546B3" w:rsidRDefault="00476C52" w:rsidP="00476C52">
      <w:pPr>
        <w:rPr>
          <w:rFonts w:eastAsiaTheme="minorHAnsi" w:cstheme="minorBidi"/>
          <w:szCs w:val="24"/>
          <w:lang w:eastAsia="en-US"/>
        </w:rPr>
      </w:pPr>
    </w:p>
    <w:p w:rsidR="00476C52" w:rsidRPr="003546B3" w:rsidRDefault="00476C52" w:rsidP="00476C52">
      <w:pPr>
        <w:rPr>
          <w:rFonts w:eastAsiaTheme="minorHAnsi" w:cstheme="minorBidi"/>
          <w:szCs w:val="24"/>
          <w:lang w:eastAsia="en-US"/>
        </w:rPr>
      </w:pPr>
      <w:r w:rsidRPr="003546B3">
        <w:rPr>
          <w:rFonts w:eastAsiaTheme="minorHAnsi" w:cstheme="minorBidi"/>
          <w:b/>
          <w:smallCaps/>
          <w:szCs w:val="24"/>
          <w:lang w:eastAsia="en-US"/>
        </w:rPr>
        <w:t>Coram :</w:t>
      </w:r>
      <w:r w:rsidRPr="003546B3">
        <w:rPr>
          <w:rFonts w:eastAsiaTheme="minorHAnsi" w:cstheme="minorBidi"/>
          <w:szCs w:val="24"/>
          <w:lang w:eastAsia="en-US"/>
        </w:rPr>
        <w:t xml:space="preserve"> La juge en chef </w:t>
      </w:r>
      <w:proofErr w:type="spellStart"/>
      <w:r w:rsidRPr="003546B3">
        <w:rPr>
          <w:rFonts w:eastAsiaTheme="minorHAnsi" w:cstheme="minorBidi"/>
          <w:szCs w:val="24"/>
          <w:lang w:eastAsia="en-US"/>
        </w:rPr>
        <w:t>McLachlin</w:t>
      </w:r>
      <w:proofErr w:type="spellEnd"/>
      <w:r w:rsidRPr="003546B3">
        <w:rPr>
          <w:rFonts w:eastAsiaTheme="minorHAnsi" w:cstheme="minorBidi"/>
          <w:szCs w:val="24"/>
          <w:lang w:eastAsia="en-US"/>
        </w:rPr>
        <w:t xml:space="preserve"> et les juges </w:t>
      </w:r>
      <w:proofErr w:type="spellStart"/>
      <w:r w:rsidRPr="003546B3">
        <w:rPr>
          <w:rFonts w:eastAsiaTheme="minorHAnsi" w:cstheme="minorBidi"/>
          <w:szCs w:val="24"/>
          <w:lang w:eastAsia="en-US"/>
        </w:rPr>
        <w:t>LeBel</w:t>
      </w:r>
      <w:proofErr w:type="spellEnd"/>
      <w:r w:rsidRPr="003546B3">
        <w:rPr>
          <w:rFonts w:eastAsiaTheme="minorHAnsi" w:cstheme="minorBidi"/>
          <w:szCs w:val="24"/>
          <w:lang w:eastAsia="en-US"/>
        </w:rPr>
        <w:t xml:space="preserve">, Fish, </w:t>
      </w:r>
      <w:proofErr w:type="spellStart"/>
      <w:r w:rsidRPr="003546B3">
        <w:rPr>
          <w:rFonts w:eastAsiaTheme="minorHAnsi" w:cstheme="minorBidi"/>
          <w:szCs w:val="24"/>
          <w:lang w:eastAsia="en-US"/>
        </w:rPr>
        <w:t>Rothstein</w:t>
      </w:r>
      <w:proofErr w:type="spellEnd"/>
      <w:r w:rsidRPr="003546B3">
        <w:rPr>
          <w:rFonts w:eastAsiaTheme="minorHAnsi" w:cstheme="minorBidi"/>
          <w:szCs w:val="24"/>
          <w:lang w:eastAsia="en-US"/>
        </w:rPr>
        <w:t xml:space="preserve">, Cromwell, </w:t>
      </w:r>
      <w:proofErr w:type="spellStart"/>
      <w:r w:rsidRPr="003546B3">
        <w:rPr>
          <w:rFonts w:eastAsiaTheme="minorHAnsi" w:cstheme="minorBidi"/>
          <w:szCs w:val="24"/>
          <w:lang w:eastAsia="en-US"/>
        </w:rPr>
        <w:t>Moldaver</w:t>
      </w:r>
      <w:proofErr w:type="spellEnd"/>
      <w:r w:rsidRPr="003546B3">
        <w:rPr>
          <w:rFonts w:eastAsiaTheme="minorHAnsi" w:cstheme="minorBidi"/>
          <w:szCs w:val="24"/>
          <w:lang w:eastAsia="en-US"/>
        </w:rPr>
        <w:t xml:space="preserve"> et </w:t>
      </w:r>
      <w:proofErr w:type="spellStart"/>
      <w:r w:rsidRPr="003546B3">
        <w:rPr>
          <w:rFonts w:eastAsiaTheme="minorHAnsi" w:cstheme="minorBidi"/>
          <w:szCs w:val="24"/>
          <w:lang w:eastAsia="en-US"/>
        </w:rPr>
        <w:t>Karakatsanis</w:t>
      </w:r>
      <w:proofErr w:type="spellEnd"/>
    </w:p>
    <w:p w:rsidR="00476C52" w:rsidRPr="003546B3" w:rsidRDefault="00476C52" w:rsidP="00476C52">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76C52" w:rsidRPr="003546B3" w:rsidTr="00BD1516">
        <w:trPr>
          <w:cantSplit/>
        </w:trPr>
        <w:tc>
          <w:tcPr>
            <w:tcW w:w="3618" w:type="dxa"/>
          </w:tcPr>
          <w:p w:rsidR="00476C52" w:rsidRPr="003546B3" w:rsidRDefault="00476C52" w:rsidP="00BD1516">
            <w:pPr>
              <w:rPr>
                <w:b/>
                <w:smallCaps/>
              </w:rPr>
            </w:pPr>
            <w:r w:rsidRPr="003546B3">
              <w:rPr>
                <w:b/>
                <w:smallCaps/>
              </w:rPr>
              <w:t>Motifs de jugement :</w:t>
            </w:r>
          </w:p>
          <w:p w:rsidR="00476C52" w:rsidRPr="003546B3" w:rsidRDefault="00476C52" w:rsidP="00BD1516">
            <w:r w:rsidRPr="003546B3">
              <w:t>(par. 1 à 12)</w:t>
            </w:r>
          </w:p>
        </w:tc>
        <w:tc>
          <w:tcPr>
            <w:tcW w:w="5958" w:type="dxa"/>
          </w:tcPr>
          <w:p w:rsidR="00476C52" w:rsidRPr="003546B3" w:rsidRDefault="00476C52" w:rsidP="00BD1516">
            <w:r w:rsidRPr="003546B3">
              <w:t xml:space="preserve">La Cour </w:t>
            </w:r>
          </w:p>
        </w:tc>
      </w:tr>
    </w:tbl>
    <w:p w:rsidR="00476C52" w:rsidRPr="003546B3" w:rsidRDefault="00476C52" w:rsidP="00476C52">
      <w:pPr>
        <w:rPr>
          <w:rFonts w:eastAsiaTheme="minorHAnsi" w:cstheme="minorBidi"/>
          <w:szCs w:val="24"/>
          <w:lang w:eastAsia="en-US"/>
        </w:rPr>
      </w:pPr>
    </w:p>
    <w:p w:rsidR="00476C52" w:rsidRPr="003546B3" w:rsidRDefault="00476C52" w:rsidP="00476C52">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476C52" w:rsidRPr="003546B3" w:rsidRDefault="00476C52" w:rsidP="00476C52">
      <w:pPr>
        <w:rPr>
          <w:smallCaps/>
        </w:rPr>
      </w:pPr>
      <w:r w:rsidRPr="003546B3">
        <w:rPr>
          <w:smallCaps/>
        </w:rPr>
        <w:br w:type="page"/>
      </w:r>
    </w:p>
    <w:p w:rsidR="00E37554" w:rsidRPr="00E37554" w:rsidRDefault="00E37554" w:rsidP="009D4A70">
      <w:pPr>
        <w:spacing w:after="720"/>
        <w:jc w:val="both"/>
        <w:rPr>
          <w:lang w:val="en-US"/>
        </w:rPr>
      </w:pPr>
      <w:r w:rsidRPr="00E37554">
        <w:rPr>
          <w:lang w:val="en-US"/>
        </w:rPr>
        <w:lastRenderedPageBreak/>
        <w:t xml:space="preserve">Momentous.ca Corp. </w:t>
      </w:r>
      <w:r w:rsidRPr="00E37554">
        <w:rPr>
          <w:i/>
          <w:lang w:val="en-US"/>
        </w:rPr>
        <w:t>c.</w:t>
      </w:r>
      <w:r w:rsidRPr="00E37554">
        <w:rPr>
          <w:lang w:val="en-US"/>
        </w:rPr>
        <w:t xml:space="preserve"> Canadian American Association of Professional Baseball Ltd.</w:t>
      </w:r>
      <w:r>
        <w:rPr>
          <w:lang w:val="en-US"/>
        </w:rPr>
        <w:t>, 2012 CSC 9, [2012] 1 R.C.S. 359</w:t>
      </w:r>
    </w:p>
    <w:p w:rsidR="008951F8" w:rsidRPr="00741B56" w:rsidRDefault="00844FED">
      <w:pPr>
        <w:pStyle w:val="SCCLsocParty"/>
        <w:rPr>
          <w:lang w:val="en-US"/>
        </w:rPr>
      </w:pPr>
      <w:r w:rsidRPr="00741B56">
        <w:rPr>
          <w:lang w:val="en-US"/>
        </w:rPr>
        <w:t xml:space="preserve">Momentous.ca Corporation, </w:t>
      </w:r>
    </w:p>
    <w:p w:rsidR="00E65CD3" w:rsidRPr="00741B56" w:rsidRDefault="00844FED">
      <w:pPr>
        <w:pStyle w:val="SCCLsocParty"/>
        <w:rPr>
          <w:lang w:val="en-US"/>
        </w:rPr>
      </w:pPr>
      <w:proofErr w:type="spellStart"/>
      <w:proofErr w:type="gramStart"/>
      <w:r w:rsidRPr="00741B56">
        <w:rPr>
          <w:lang w:val="en-US"/>
        </w:rPr>
        <w:t>Rapidz</w:t>
      </w:r>
      <w:proofErr w:type="spellEnd"/>
      <w:r w:rsidR="00E65CD3" w:rsidRPr="00741B56">
        <w:rPr>
          <w:lang w:val="en-US"/>
        </w:rPr>
        <w:t xml:space="preserve"> Sports and Entertainment Inc.</w:t>
      </w:r>
      <w:r w:rsidR="00292B72" w:rsidRPr="00741B56">
        <w:rPr>
          <w:lang w:val="en-US"/>
        </w:rPr>
        <w:t>,</w:t>
      </w:r>
      <w:proofErr w:type="gramEnd"/>
      <w:r w:rsidR="00E65CD3" w:rsidRPr="00741B56">
        <w:rPr>
          <w:lang w:val="en-US"/>
        </w:rPr>
        <w:t xml:space="preserve"> </w:t>
      </w:r>
    </w:p>
    <w:p w:rsidR="008951F8" w:rsidRPr="00741B56" w:rsidRDefault="00844FED" w:rsidP="009D4A70">
      <w:pPr>
        <w:pStyle w:val="SCCLsocParty"/>
        <w:tabs>
          <w:tab w:val="right" w:pos="8280"/>
        </w:tabs>
        <w:spacing w:after="720"/>
        <w:rPr>
          <w:lang w:val="en-US"/>
        </w:rPr>
      </w:pPr>
      <w:proofErr w:type="spellStart"/>
      <w:r w:rsidRPr="00741B56">
        <w:rPr>
          <w:lang w:val="en-US"/>
        </w:rPr>
        <w:t>Rapidz</w:t>
      </w:r>
      <w:proofErr w:type="spellEnd"/>
      <w:r w:rsidRPr="00741B56">
        <w:rPr>
          <w:lang w:val="en-US"/>
        </w:rPr>
        <w:t xml:space="preserve"> Baseball Club Inc.</w:t>
      </w:r>
      <w:r w:rsidR="00292B72" w:rsidRPr="00741B56">
        <w:rPr>
          <w:lang w:val="en-US"/>
        </w:rPr>
        <w:t xml:space="preserve"> </w:t>
      </w:r>
      <w:proofErr w:type="gramStart"/>
      <w:r w:rsidR="00292B72" w:rsidRPr="00741B56">
        <w:rPr>
          <w:lang w:val="en-US"/>
        </w:rPr>
        <w:t>et</w:t>
      </w:r>
      <w:proofErr w:type="gramEnd"/>
      <w:r w:rsidR="00292B72" w:rsidRPr="00741B56">
        <w:rPr>
          <w:lang w:val="en-US"/>
        </w:rPr>
        <w:t xml:space="preserve"> Zip.ca Inc.</w:t>
      </w:r>
      <w:r w:rsidR="009D4A70" w:rsidRPr="00741B56">
        <w:rPr>
          <w:lang w:val="en-US"/>
        </w:rPr>
        <w:tab/>
      </w:r>
      <w:proofErr w:type="spellStart"/>
      <w:r w:rsidRPr="00741B56">
        <w:rPr>
          <w:b w:val="0"/>
          <w:i/>
          <w:lang w:val="en-US"/>
        </w:rPr>
        <w:t>Appelantes</w:t>
      </w:r>
      <w:proofErr w:type="spellEnd"/>
    </w:p>
    <w:p w:rsidR="008951F8" w:rsidRPr="00741B56" w:rsidRDefault="00844FED" w:rsidP="009D4A70">
      <w:pPr>
        <w:pStyle w:val="SCCLsocVersus"/>
        <w:spacing w:after="720"/>
        <w:rPr>
          <w:lang w:val="en-US"/>
        </w:rPr>
      </w:pPr>
      <w:proofErr w:type="gramStart"/>
      <w:r w:rsidRPr="00741B56">
        <w:rPr>
          <w:lang w:val="en-US"/>
        </w:rPr>
        <w:t>c</w:t>
      </w:r>
      <w:proofErr w:type="gramEnd"/>
      <w:r w:rsidR="009D4A70" w:rsidRPr="00741B56">
        <w:rPr>
          <w:lang w:val="en-US"/>
        </w:rPr>
        <w:t>.</w:t>
      </w:r>
      <w:r w:rsidR="00741B56" w:rsidRPr="00741B56">
        <w:rPr>
          <w:i w:val="0"/>
          <w:lang w:val="en-US"/>
        </w:rPr>
        <w:t xml:space="preserve"> </w:t>
      </w:r>
    </w:p>
    <w:p w:rsidR="008951F8" w:rsidRPr="00741B56" w:rsidRDefault="00844FED">
      <w:pPr>
        <w:pStyle w:val="SCCLsocParty"/>
        <w:rPr>
          <w:lang w:val="en-US"/>
        </w:rPr>
      </w:pPr>
      <w:proofErr w:type="gramStart"/>
      <w:r w:rsidRPr="00741B56">
        <w:rPr>
          <w:lang w:val="en-US"/>
        </w:rPr>
        <w:t>Canadian American Association of Professional Baseball Ltd.,</w:t>
      </w:r>
      <w:proofErr w:type="gramEnd"/>
      <w:r w:rsidRPr="00741B56">
        <w:rPr>
          <w:lang w:val="en-US"/>
        </w:rPr>
        <w:t xml:space="preserve"> </w:t>
      </w:r>
    </w:p>
    <w:p w:rsidR="009D4A70" w:rsidRPr="00741B56" w:rsidRDefault="00844FED">
      <w:pPr>
        <w:pStyle w:val="SCCLsocParty"/>
        <w:rPr>
          <w:lang w:val="en-US"/>
        </w:rPr>
      </w:pPr>
      <w:r w:rsidRPr="00741B56">
        <w:rPr>
          <w:lang w:val="en-US"/>
        </w:rPr>
        <w:t xml:space="preserve">Inside the Park LLC, Greg </w:t>
      </w:r>
      <w:proofErr w:type="spellStart"/>
      <w:r w:rsidRPr="00741B56">
        <w:rPr>
          <w:lang w:val="en-US"/>
        </w:rPr>
        <w:t>Lockard</w:t>
      </w:r>
      <w:proofErr w:type="spellEnd"/>
      <w:r w:rsidRPr="00741B56">
        <w:rPr>
          <w:lang w:val="en-US"/>
        </w:rPr>
        <w:t xml:space="preserve">, Dan </w:t>
      </w:r>
      <w:proofErr w:type="spellStart"/>
      <w:r w:rsidRPr="00741B56">
        <w:rPr>
          <w:lang w:val="en-US"/>
        </w:rPr>
        <w:t>Moushon</w:t>
      </w:r>
      <w:proofErr w:type="spellEnd"/>
      <w:r w:rsidR="00E65CD3" w:rsidRPr="00741B56">
        <w:rPr>
          <w:lang w:val="en-US"/>
        </w:rPr>
        <w:t>,</w:t>
      </w:r>
      <w:r w:rsidRPr="00741B56">
        <w:rPr>
          <w:lang w:val="en-US"/>
        </w:rPr>
        <w:t xml:space="preserve"> </w:t>
      </w:r>
    </w:p>
    <w:p w:rsidR="008951F8" w:rsidRPr="00741B56" w:rsidRDefault="00844FED" w:rsidP="009D4A70">
      <w:pPr>
        <w:pStyle w:val="SCCLsocParty"/>
        <w:tabs>
          <w:tab w:val="right" w:pos="8280"/>
        </w:tabs>
        <w:spacing w:after="720"/>
        <w:rPr>
          <w:lang w:val="en-US"/>
        </w:rPr>
      </w:pPr>
      <w:r w:rsidRPr="00741B56">
        <w:rPr>
          <w:lang w:val="en-US"/>
        </w:rPr>
        <w:t xml:space="preserve">Bruce Murdoch, </w:t>
      </w:r>
      <w:r w:rsidR="00E65CD3" w:rsidRPr="00741B56">
        <w:rPr>
          <w:lang w:val="en-US"/>
        </w:rPr>
        <w:t xml:space="preserve">Ville </w:t>
      </w:r>
      <w:proofErr w:type="spellStart"/>
      <w:r w:rsidR="00E65CD3" w:rsidRPr="00741B56">
        <w:rPr>
          <w:lang w:val="en-US"/>
        </w:rPr>
        <w:t>d’</w:t>
      </w:r>
      <w:r w:rsidRPr="00741B56">
        <w:rPr>
          <w:lang w:val="en-US"/>
        </w:rPr>
        <w:t>Ottawa</w:t>
      </w:r>
      <w:proofErr w:type="spellEnd"/>
      <w:r w:rsidR="00E65CD3" w:rsidRPr="00741B56">
        <w:rPr>
          <w:lang w:val="en-US"/>
        </w:rPr>
        <w:t xml:space="preserve"> </w:t>
      </w:r>
      <w:proofErr w:type="gramStart"/>
      <w:r w:rsidR="00E65CD3" w:rsidRPr="00741B56">
        <w:rPr>
          <w:lang w:val="en-US"/>
        </w:rPr>
        <w:t>et</w:t>
      </w:r>
      <w:proofErr w:type="gramEnd"/>
      <w:r w:rsidRPr="00741B56">
        <w:rPr>
          <w:lang w:val="en-US"/>
        </w:rPr>
        <w:t xml:space="preserve"> Miles Wolff</w:t>
      </w:r>
      <w:r w:rsidR="009D4A70" w:rsidRPr="00741B56">
        <w:rPr>
          <w:lang w:val="en-US"/>
        </w:rPr>
        <w:tab/>
      </w:r>
      <w:proofErr w:type="spellStart"/>
      <w:r w:rsidRPr="00741B56">
        <w:rPr>
          <w:b w:val="0"/>
          <w:i/>
          <w:lang w:val="en-US"/>
        </w:rPr>
        <w:t>Intimés</w:t>
      </w:r>
      <w:proofErr w:type="spellEnd"/>
    </w:p>
    <w:p w:rsidR="00426659" w:rsidRPr="00741B56" w:rsidRDefault="0043088E" w:rsidP="009D4A70">
      <w:pPr>
        <w:spacing w:after="720"/>
        <w:jc w:val="both"/>
        <w:rPr>
          <w:b/>
          <w:lang w:val="en-US"/>
        </w:rPr>
      </w:pPr>
      <w:proofErr w:type="spellStart"/>
      <w:proofErr w:type="gramStart"/>
      <w:r w:rsidRPr="00741B56">
        <w:rPr>
          <w:b/>
          <w:lang w:val="en-US"/>
        </w:rPr>
        <w:t>Répertorié</w:t>
      </w:r>
      <w:proofErr w:type="spellEnd"/>
      <w:r w:rsidR="00DE3538" w:rsidRPr="00741B56">
        <w:rPr>
          <w:b/>
          <w:lang w:val="en-US"/>
        </w:rPr>
        <w:t> :</w:t>
      </w:r>
      <w:proofErr w:type="gramEnd"/>
      <w:r w:rsidR="00C67CA5" w:rsidRPr="00741B56">
        <w:rPr>
          <w:b/>
          <w:lang w:val="en-US"/>
        </w:rPr>
        <w:t> </w:t>
      </w:r>
      <w:r w:rsidRPr="00741B56">
        <w:rPr>
          <w:b/>
          <w:lang w:val="en-US"/>
        </w:rPr>
        <w:t>Momentous.ca Cor</w:t>
      </w:r>
      <w:r w:rsidR="00DE3538" w:rsidRPr="00741B56">
        <w:rPr>
          <w:b/>
          <w:lang w:val="en-US"/>
        </w:rPr>
        <w:t>p.</w:t>
      </w:r>
      <w:r w:rsidR="006B0B9E" w:rsidRPr="00741B56">
        <w:rPr>
          <w:b/>
          <w:lang w:val="en-US"/>
        </w:rPr>
        <w:t xml:space="preserve"> </w:t>
      </w:r>
      <w:r w:rsidR="00645057" w:rsidRPr="00741B56">
        <w:rPr>
          <w:b/>
          <w:i/>
          <w:lang w:val="en-US"/>
        </w:rPr>
        <w:t>c</w:t>
      </w:r>
      <w:r w:rsidR="00426659" w:rsidRPr="00741B56">
        <w:rPr>
          <w:b/>
          <w:i/>
          <w:lang w:val="en-US"/>
        </w:rPr>
        <w:t>.</w:t>
      </w:r>
      <w:r w:rsidR="00426659" w:rsidRPr="00741B56">
        <w:rPr>
          <w:b/>
          <w:lang w:val="en-US"/>
        </w:rPr>
        <w:t xml:space="preserve"> </w:t>
      </w:r>
      <w:r w:rsidR="00E65CD3" w:rsidRPr="00741B56">
        <w:rPr>
          <w:b/>
          <w:lang w:val="en-US"/>
        </w:rPr>
        <w:t>Canadian American Association of Professional Baseball Ltd.</w:t>
      </w:r>
    </w:p>
    <w:p w:rsidR="00426659" w:rsidRPr="00741B56" w:rsidRDefault="00C0663B" w:rsidP="009D4A70">
      <w:pPr>
        <w:pStyle w:val="SCCSystemYear"/>
        <w:spacing w:after="720"/>
        <w:jc w:val="both"/>
      </w:pPr>
      <w:r w:rsidRPr="00741B56">
        <w:t>2012</w:t>
      </w:r>
      <w:r w:rsidR="00EE0FAF" w:rsidRPr="00741B56">
        <w:t xml:space="preserve"> </w:t>
      </w:r>
      <w:r w:rsidR="00C71F58" w:rsidRPr="00741B56">
        <w:t>C</w:t>
      </w:r>
      <w:r w:rsidR="00555135" w:rsidRPr="00741B56">
        <w:t>SC 9</w:t>
      </w:r>
    </w:p>
    <w:p w:rsidR="008322BD" w:rsidRPr="00741B56" w:rsidRDefault="009B57B3" w:rsidP="009D4A70">
      <w:pPr>
        <w:spacing w:after="720"/>
        <w:jc w:val="both"/>
      </w:pPr>
      <w:r w:rsidRPr="00741B56">
        <w:t>N</w:t>
      </w:r>
      <w:r w:rsidRPr="00741B56">
        <w:rPr>
          <w:vertAlign w:val="superscript"/>
        </w:rPr>
        <w:t>o</w:t>
      </w:r>
      <w:r w:rsidR="0043088E" w:rsidRPr="00741B56">
        <w:t xml:space="preserve"> du greffe</w:t>
      </w:r>
      <w:r w:rsidR="00DE3538" w:rsidRPr="00741B56">
        <w:t> :</w:t>
      </w:r>
      <w:r w:rsidR="00C67CA5" w:rsidRPr="00741B56">
        <w:t> </w:t>
      </w:r>
      <w:r w:rsidRPr="00741B56">
        <w:t>33999.</w:t>
      </w:r>
    </w:p>
    <w:p w:rsidR="008322BD" w:rsidRPr="00741B56" w:rsidRDefault="00E65CD3" w:rsidP="009D4A70">
      <w:pPr>
        <w:spacing w:after="720"/>
        <w:jc w:val="both"/>
      </w:pPr>
      <w:r w:rsidRPr="00741B56">
        <w:t>2012</w:t>
      </w:r>
      <w:r w:rsidR="00DE3538" w:rsidRPr="00741B56">
        <w:t> :</w:t>
      </w:r>
      <w:r w:rsidRPr="00741B56">
        <w:t> </w:t>
      </w:r>
      <w:r w:rsidR="00C0663B" w:rsidRPr="00741B56">
        <w:t>10</w:t>
      </w:r>
      <w:r w:rsidR="009D4A70" w:rsidRPr="00741B56">
        <w:t> </w:t>
      </w:r>
      <w:r w:rsidR="00C0663B" w:rsidRPr="00741B56">
        <w:t>février</w:t>
      </w:r>
      <w:r w:rsidR="009D4A70" w:rsidRPr="00741B56">
        <w:t>; 2012</w:t>
      </w:r>
      <w:r w:rsidR="00DE3538" w:rsidRPr="00741B56">
        <w:t> :</w:t>
      </w:r>
      <w:r w:rsidR="009D4A70" w:rsidRPr="00741B56">
        <w:t> 15 </w:t>
      </w:r>
      <w:r w:rsidRPr="00741B56">
        <w:t>mars</w:t>
      </w:r>
      <w:r w:rsidR="009B57B3" w:rsidRPr="00741B56">
        <w:t>.</w:t>
      </w:r>
    </w:p>
    <w:p w:rsidR="008322BD" w:rsidRPr="00741B56" w:rsidRDefault="009B57B3" w:rsidP="009D4A70">
      <w:pPr>
        <w:spacing w:after="720"/>
        <w:jc w:val="both"/>
      </w:pPr>
      <w:r w:rsidRPr="00741B56">
        <w:t>Pr</w:t>
      </w:r>
      <w:r w:rsidR="0043088E" w:rsidRPr="00741B56">
        <w:t>é</w:t>
      </w:r>
      <w:r w:rsidRPr="00741B56">
        <w:t>sent</w:t>
      </w:r>
      <w:r w:rsidR="008A6558" w:rsidRPr="00741B56">
        <w:t>s</w:t>
      </w:r>
      <w:r w:rsidR="00DE3538" w:rsidRPr="00741B56">
        <w:t> :</w:t>
      </w:r>
      <w:r w:rsidR="00C67CA5" w:rsidRPr="00741B56">
        <w:t> </w:t>
      </w:r>
      <w:r w:rsidRPr="00741B56">
        <w:t xml:space="preserve">La juge en chef </w:t>
      </w:r>
      <w:proofErr w:type="spellStart"/>
      <w:r w:rsidRPr="00741B56">
        <w:t>McLachlin</w:t>
      </w:r>
      <w:proofErr w:type="spellEnd"/>
      <w:r w:rsidRPr="00741B56">
        <w:t xml:space="preserve"> et les juges </w:t>
      </w:r>
      <w:proofErr w:type="spellStart"/>
      <w:r w:rsidRPr="00741B56">
        <w:t>LeBel</w:t>
      </w:r>
      <w:proofErr w:type="spellEnd"/>
      <w:r w:rsidRPr="00741B56">
        <w:t xml:space="preserve">, Fish, </w:t>
      </w:r>
      <w:proofErr w:type="spellStart"/>
      <w:r w:rsidRPr="00741B56">
        <w:t>Rothstein</w:t>
      </w:r>
      <w:proofErr w:type="spellEnd"/>
      <w:r w:rsidRPr="00741B56">
        <w:t xml:space="preserve">, Cromwell, </w:t>
      </w:r>
      <w:proofErr w:type="spellStart"/>
      <w:r w:rsidRPr="00741B56">
        <w:t>Moldaver</w:t>
      </w:r>
      <w:proofErr w:type="spellEnd"/>
      <w:r w:rsidRPr="00741B56">
        <w:t xml:space="preserve"> et </w:t>
      </w:r>
      <w:proofErr w:type="spellStart"/>
      <w:r w:rsidRPr="00741B56">
        <w:t>Karakatsanis</w:t>
      </w:r>
      <w:proofErr w:type="spellEnd"/>
      <w:r w:rsidRPr="00741B56">
        <w:t>.</w:t>
      </w:r>
    </w:p>
    <w:p w:rsidR="008322BD" w:rsidRPr="00741B56" w:rsidRDefault="00AC7437" w:rsidP="009D4A70">
      <w:pPr>
        <w:pStyle w:val="SCCLowerCourtNameLowercase"/>
        <w:spacing w:after="720" w:line="240" w:lineRule="auto"/>
      </w:pPr>
      <w:r w:rsidRPr="00741B56">
        <w:t>e</w:t>
      </w:r>
      <w:r w:rsidR="00855307" w:rsidRPr="00741B56">
        <w:t>n</w:t>
      </w:r>
      <w:r w:rsidR="00224FC0" w:rsidRPr="00741B56">
        <w:t xml:space="preserve"> </w:t>
      </w:r>
      <w:r w:rsidR="00855307" w:rsidRPr="00741B56">
        <w:t>appel</w:t>
      </w:r>
      <w:r w:rsidR="00224FC0" w:rsidRPr="00741B56">
        <w:t xml:space="preserve"> </w:t>
      </w:r>
      <w:r w:rsidR="00855307" w:rsidRPr="00741B56">
        <w:t>de</w:t>
      </w:r>
      <w:r w:rsidR="0043088E" w:rsidRPr="00741B56">
        <w:t xml:space="preserve"> </w:t>
      </w:r>
      <w:r w:rsidR="00855307" w:rsidRPr="00741B56">
        <w:t>la</w:t>
      </w:r>
      <w:r w:rsidR="00224FC0" w:rsidRPr="00741B56">
        <w:t xml:space="preserve"> </w:t>
      </w:r>
      <w:r w:rsidR="009B57B3" w:rsidRPr="00741B56">
        <w:t>cour d’appel de l’</w:t>
      </w:r>
      <w:proofErr w:type="spellStart"/>
      <w:r w:rsidR="009B57B3" w:rsidRPr="00741B56">
        <w:t>ontario</w:t>
      </w:r>
      <w:proofErr w:type="spellEnd"/>
    </w:p>
    <w:p w:rsidR="008322BD" w:rsidRPr="00741B56" w:rsidRDefault="009B57B3" w:rsidP="00DE3538">
      <w:pPr>
        <w:pStyle w:val="SCCNormalDoubleSpacing"/>
        <w:spacing w:after="480"/>
      </w:pPr>
      <w:r w:rsidRPr="00741B56">
        <w:tab/>
      </w:r>
      <w:r w:rsidR="00983885" w:rsidRPr="00741B56">
        <w:rPr>
          <w:i/>
        </w:rPr>
        <w:t xml:space="preserve">Droit international privé </w:t>
      </w:r>
      <w:r w:rsidR="00D01368" w:rsidRPr="00741B56">
        <w:rPr>
          <w:i/>
        </w:rPr>
        <w:t xml:space="preserve">— </w:t>
      </w:r>
      <w:r w:rsidR="00501ABA" w:rsidRPr="00741B56">
        <w:rPr>
          <w:i/>
        </w:rPr>
        <w:t>Compétence des tribunaux de l’</w:t>
      </w:r>
      <w:r w:rsidR="00983885" w:rsidRPr="00741B56">
        <w:rPr>
          <w:i/>
        </w:rPr>
        <w:t xml:space="preserve">Ontario </w:t>
      </w:r>
      <w:r w:rsidR="00D01368" w:rsidRPr="00741B56">
        <w:rPr>
          <w:i/>
        </w:rPr>
        <w:t xml:space="preserve">— </w:t>
      </w:r>
      <w:r w:rsidR="00983885" w:rsidRPr="00741B56">
        <w:rPr>
          <w:i/>
        </w:rPr>
        <w:t xml:space="preserve">Clauses d’élection de for </w:t>
      </w:r>
      <w:r w:rsidR="00D01368" w:rsidRPr="00741B56">
        <w:rPr>
          <w:i/>
        </w:rPr>
        <w:t xml:space="preserve">— </w:t>
      </w:r>
      <w:r w:rsidR="00AE0A2A" w:rsidRPr="00741B56">
        <w:rPr>
          <w:i/>
        </w:rPr>
        <w:t>M</w:t>
      </w:r>
      <w:r w:rsidR="00385145" w:rsidRPr="00741B56">
        <w:rPr>
          <w:i/>
        </w:rPr>
        <w:t xml:space="preserve">otion </w:t>
      </w:r>
      <w:r w:rsidR="00AE0A2A" w:rsidRPr="00741B56">
        <w:rPr>
          <w:i/>
        </w:rPr>
        <w:t xml:space="preserve">présentée </w:t>
      </w:r>
      <w:r w:rsidR="00385145" w:rsidRPr="00741B56">
        <w:rPr>
          <w:i/>
        </w:rPr>
        <w:t>après le dépôt d’une défense</w:t>
      </w:r>
      <w:r w:rsidR="00E1373D" w:rsidRPr="00741B56">
        <w:rPr>
          <w:i/>
        </w:rPr>
        <w:t xml:space="preserve"> en vue </w:t>
      </w:r>
      <w:r w:rsidR="00E1373D" w:rsidRPr="00741B56">
        <w:rPr>
          <w:i/>
        </w:rPr>
        <w:lastRenderedPageBreak/>
        <w:t>d’obtenir le rejet de l’action</w:t>
      </w:r>
      <w:r w:rsidR="00367A13" w:rsidRPr="00741B56">
        <w:rPr>
          <w:i/>
        </w:rPr>
        <w:t>,</w:t>
      </w:r>
      <w:r w:rsidR="00AE0A2A" w:rsidRPr="00741B56">
        <w:rPr>
          <w:i/>
        </w:rPr>
        <w:t xml:space="preserve"> au motif que les tribunaux ontariens n’avaient pas compétence du fait des clauses d’élection de for </w:t>
      </w:r>
      <w:r w:rsidR="00D01368" w:rsidRPr="00741B56">
        <w:rPr>
          <w:i/>
        </w:rPr>
        <w:t xml:space="preserve">— </w:t>
      </w:r>
      <w:r w:rsidR="004300C9" w:rsidRPr="00741B56">
        <w:rPr>
          <w:i/>
        </w:rPr>
        <w:t>L</w:t>
      </w:r>
      <w:r w:rsidR="00AE0A2A" w:rsidRPr="00741B56">
        <w:rPr>
          <w:i/>
        </w:rPr>
        <w:t xml:space="preserve">e rejet de l’action </w:t>
      </w:r>
      <w:proofErr w:type="spellStart"/>
      <w:r w:rsidR="004300C9" w:rsidRPr="00741B56">
        <w:rPr>
          <w:i/>
        </w:rPr>
        <w:t>pouvait</w:t>
      </w:r>
      <w:r w:rsidR="00DE3538" w:rsidRPr="00741B56">
        <w:rPr>
          <w:i/>
        </w:rPr>
        <w:noBreakHyphen/>
      </w:r>
      <w:r w:rsidR="004300C9" w:rsidRPr="00741B56">
        <w:rPr>
          <w:i/>
        </w:rPr>
        <w:t>il</w:t>
      </w:r>
      <w:proofErr w:type="spellEnd"/>
      <w:r w:rsidR="004300C9" w:rsidRPr="00741B56">
        <w:rPr>
          <w:i/>
        </w:rPr>
        <w:t xml:space="preserve"> être demandé </w:t>
      </w:r>
      <w:r w:rsidR="00AE0A2A" w:rsidRPr="00741B56">
        <w:rPr>
          <w:i/>
        </w:rPr>
        <w:t xml:space="preserve">malgré la remise d’une défense? </w:t>
      </w:r>
      <w:r w:rsidR="00D01368" w:rsidRPr="00741B56">
        <w:rPr>
          <w:i/>
        </w:rPr>
        <w:t xml:space="preserve">— </w:t>
      </w:r>
      <w:r w:rsidR="00AE0A2A" w:rsidRPr="00741B56">
        <w:rPr>
          <w:i/>
          <w:lang w:val="fr-FR"/>
        </w:rPr>
        <w:t xml:space="preserve">Règles de procédure civile, R.R.O. 1990, </w:t>
      </w:r>
      <w:proofErr w:type="spellStart"/>
      <w:r w:rsidR="00AE0A2A" w:rsidRPr="00741B56">
        <w:rPr>
          <w:i/>
          <w:lang w:val="fr-FR"/>
        </w:rPr>
        <w:t>Règl</w:t>
      </w:r>
      <w:proofErr w:type="spellEnd"/>
      <w:r w:rsidR="00AE0A2A" w:rsidRPr="00741B56">
        <w:rPr>
          <w:i/>
          <w:lang w:val="fr-FR"/>
        </w:rPr>
        <w:t>.</w:t>
      </w:r>
      <w:r w:rsidR="00DE3538" w:rsidRPr="00741B56">
        <w:rPr>
          <w:i/>
          <w:lang w:val="fr-FR"/>
        </w:rPr>
        <w:t> </w:t>
      </w:r>
      <w:r w:rsidR="00AE0A2A" w:rsidRPr="00741B56">
        <w:rPr>
          <w:i/>
          <w:lang w:val="fr-FR"/>
        </w:rPr>
        <w:t xml:space="preserve">194, </w:t>
      </w:r>
      <w:r w:rsidR="00414A99" w:rsidRPr="00741B56">
        <w:rPr>
          <w:i/>
          <w:lang w:val="fr-FR"/>
        </w:rPr>
        <w:t>règle </w:t>
      </w:r>
      <w:r w:rsidR="00983885" w:rsidRPr="00741B56">
        <w:rPr>
          <w:i/>
        </w:rPr>
        <w:t>21.01(3)a).</w:t>
      </w:r>
      <w:r w:rsidR="00983885" w:rsidRPr="00741B56">
        <w:t xml:space="preserve"> </w:t>
      </w:r>
    </w:p>
    <w:p w:rsidR="008322BD" w:rsidRPr="00741B56" w:rsidRDefault="009B57B3" w:rsidP="00DE3538">
      <w:pPr>
        <w:pStyle w:val="SCCNormalDoubleSpacing"/>
        <w:spacing w:after="480"/>
      </w:pPr>
      <w:r w:rsidRPr="00741B56">
        <w:tab/>
      </w:r>
      <w:r w:rsidR="0043088E" w:rsidRPr="00741B56">
        <w:rPr>
          <w:i/>
        </w:rPr>
        <w:t>Arrêt</w:t>
      </w:r>
      <w:r w:rsidR="00DE3538" w:rsidRPr="00741B56">
        <w:t> :</w:t>
      </w:r>
      <w:r w:rsidRPr="00741B56">
        <w:t xml:space="preserve"> </w:t>
      </w:r>
      <w:r w:rsidR="0043088E" w:rsidRPr="00741B56">
        <w:t>Le pourvoi est</w:t>
      </w:r>
      <w:r w:rsidR="00985309" w:rsidRPr="00741B56">
        <w:t xml:space="preserve"> rejeté.</w:t>
      </w:r>
    </w:p>
    <w:p w:rsidR="006C5661" w:rsidRPr="00741B56" w:rsidRDefault="009B57B3" w:rsidP="00DE3538">
      <w:pPr>
        <w:pStyle w:val="SCCNormalDoubleSpacing"/>
        <w:spacing w:after="480"/>
        <w:rPr>
          <w:lang w:val="fr-FR"/>
        </w:rPr>
      </w:pPr>
      <w:r w:rsidRPr="00741B56">
        <w:tab/>
      </w:r>
      <w:r w:rsidR="00985309" w:rsidRPr="00741B56">
        <w:rPr>
          <w:lang w:val="fr-FR"/>
        </w:rPr>
        <w:t>À moins qu’</w:t>
      </w:r>
      <w:r w:rsidR="004300C9" w:rsidRPr="00741B56">
        <w:rPr>
          <w:lang w:val="fr-FR"/>
        </w:rPr>
        <w:t>un « motif sérieux </w:t>
      </w:r>
      <w:r w:rsidR="00985309" w:rsidRPr="00741B56">
        <w:rPr>
          <w:lang w:val="fr-FR"/>
        </w:rPr>
        <w:t>»</w:t>
      </w:r>
      <w:r w:rsidR="003F2DED" w:rsidRPr="00741B56">
        <w:rPr>
          <w:lang w:val="fr-FR"/>
        </w:rPr>
        <w:t xml:space="preserve"> ne</w:t>
      </w:r>
      <w:r w:rsidR="00985309" w:rsidRPr="00741B56">
        <w:rPr>
          <w:lang w:val="fr-FR"/>
        </w:rPr>
        <w:t xml:space="preserve"> justifie </w:t>
      </w:r>
      <w:r w:rsidR="004300C9" w:rsidRPr="00741B56">
        <w:rPr>
          <w:lang w:val="fr-FR"/>
        </w:rPr>
        <w:t xml:space="preserve">d’écarter le </w:t>
      </w:r>
      <w:r w:rsidR="00985309" w:rsidRPr="00741B56">
        <w:rPr>
          <w:lang w:val="fr-FR"/>
        </w:rPr>
        <w:t xml:space="preserve">for dont ont convenu les parties comme lieu de règlement de leurs différends, </w:t>
      </w:r>
      <w:r w:rsidR="00DB61B2" w:rsidRPr="00741B56">
        <w:rPr>
          <w:lang w:val="fr-FR"/>
        </w:rPr>
        <w:t>la meilleure façon de faire régner l’ordre et l’équité consiste à obliger les parties à respecter leurs engagements</w:t>
      </w:r>
      <w:r w:rsidR="00985309" w:rsidRPr="00741B56">
        <w:rPr>
          <w:lang w:val="fr-FR"/>
        </w:rPr>
        <w:t xml:space="preserve">.  </w:t>
      </w:r>
      <w:r w:rsidR="00DB61B2" w:rsidRPr="00741B56">
        <w:rPr>
          <w:lang w:val="fr-FR"/>
        </w:rPr>
        <w:t>En l’espèce,</w:t>
      </w:r>
      <w:r w:rsidR="00985309" w:rsidRPr="00741B56">
        <w:rPr>
          <w:lang w:val="fr-FR"/>
        </w:rPr>
        <w:t xml:space="preserve"> </w:t>
      </w:r>
      <w:r w:rsidR="00DB61B2" w:rsidRPr="00741B56">
        <w:rPr>
          <w:lang w:val="fr-FR"/>
        </w:rPr>
        <w:t xml:space="preserve">la juge </w:t>
      </w:r>
      <w:r w:rsidR="003F2DED" w:rsidRPr="00741B56">
        <w:rPr>
          <w:lang w:val="fr-FR"/>
        </w:rPr>
        <w:t>saisie de la motion</w:t>
      </w:r>
      <w:r w:rsidR="00DB61B2" w:rsidRPr="00741B56">
        <w:rPr>
          <w:lang w:val="fr-FR"/>
        </w:rPr>
        <w:t xml:space="preserve"> n’a pas commis d’erreur en exerçant son pouvoir discrétionnaire pour rejeter l’action en vertu de l’</w:t>
      </w:r>
      <w:r w:rsidR="00DE3538" w:rsidRPr="00741B56">
        <w:rPr>
          <w:lang w:val="fr-FR"/>
        </w:rPr>
        <w:t>al. </w:t>
      </w:r>
      <w:r w:rsidR="00985309" w:rsidRPr="00741B56">
        <w:rPr>
          <w:lang w:val="fr-FR"/>
        </w:rPr>
        <w:t xml:space="preserve">21.01(3)a) </w:t>
      </w:r>
      <w:r w:rsidR="001D7070" w:rsidRPr="00741B56">
        <w:rPr>
          <w:lang w:val="fr-FR"/>
        </w:rPr>
        <w:t xml:space="preserve">des </w:t>
      </w:r>
      <w:r w:rsidR="00985309" w:rsidRPr="00741B56">
        <w:rPr>
          <w:i/>
          <w:lang w:val="fr-FR"/>
        </w:rPr>
        <w:t>R</w:t>
      </w:r>
      <w:r w:rsidR="001D7070" w:rsidRPr="00741B56">
        <w:rPr>
          <w:i/>
          <w:lang w:val="fr-FR"/>
        </w:rPr>
        <w:t>èg</w:t>
      </w:r>
      <w:r w:rsidR="00985309" w:rsidRPr="00741B56">
        <w:rPr>
          <w:i/>
          <w:lang w:val="fr-FR"/>
        </w:rPr>
        <w:t xml:space="preserve">les </w:t>
      </w:r>
      <w:r w:rsidR="001D7070" w:rsidRPr="00741B56">
        <w:rPr>
          <w:i/>
          <w:lang w:val="fr-FR"/>
        </w:rPr>
        <w:t xml:space="preserve">de procédure civile </w:t>
      </w:r>
      <w:r w:rsidR="001D7070" w:rsidRPr="00741B56">
        <w:rPr>
          <w:lang w:val="fr-FR"/>
        </w:rPr>
        <w:t>de l’Ontario</w:t>
      </w:r>
      <w:r w:rsidR="00985309" w:rsidRPr="00741B56">
        <w:rPr>
          <w:lang w:val="fr-FR"/>
        </w:rPr>
        <w:t xml:space="preserve">, </w:t>
      </w:r>
      <w:r w:rsidR="00975C68" w:rsidRPr="00741B56">
        <w:rPr>
          <w:lang w:val="fr-FR"/>
        </w:rPr>
        <w:t>compte tenu de la clause d’élection de for étranger</w:t>
      </w:r>
      <w:r w:rsidR="00985309" w:rsidRPr="00741B56">
        <w:rPr>
          <w:lang w:val="fr-FR"/>
        </w:rPr>
        <w:t>.</w:t>
      </w:r>
      <w:r w:rsidR="003F2DED" w:rsidRPr="00741B56">
        <w:rPr>
          <w:lang w:val="fr-FR"/>
        </w:rPr>
        <w:t xml:space="preserve"> </w:t>
      </w:r>
      <w:r w:rsidR="00985309" w:rsidRPr="00741B56">
        <w:rPr>
          <w:lang w:val="fr-FR"/>
        </w:rPr>
        <w:t xml:space="preserve"> </w:t>
      </w:r>
      <w:r w:rsidR="001D7070" w:rsidRPr="00741B56">
        <w:rPr>
          <w:lang w:val="fr-FR"/>
        </w:rPr>
        <w:t xml:space="preserve">Bien que la </w:t>
      </w:r>
      <w:r w:rsidR="00985309" w:rsidRPr="00741B56">
        <w:rPr>
          <w:lang w:val="fr-FR"/>
        </w:rPr>
        <w:t>motion</w:t>
      </w:r>
      <w:r w:rsidR="001D7070" w:rsidRPr="00741B56">
        <w:rPr>
          <w:lang w:val="fr-FR"/>
        </w:rPr>
        <w:t xml:space="preserve"> doive être présentée avec diligence</w:t>
      </w:r>
      <w:r w:rsidR="00985309" w:rsidRPr="00741B56">
        <w:rPr>
          <w:lang w:val="fr-FR"/>
        </w:rPr>
        <w:t xml:space="preserve">, </w:t>
      </w:r>
      <w:r w:rsidR="00211607" w:rsidRPr="00741B56">
        <w:rPr>
          <w:lang w:val="fr-FR"/>
        </w:rPr>
        <w:t>la règle</w:t>
      </w:r>
      <w:r w:rsidR="00DE3538" w:rsidRPr="00741B56">
        <w:rPr>
          <w:lang w:val="fr-FR"/>
        </w:rPr>
        <w:t> </w:t>
      </w:r>
      <w:r w:rsidR="00985309" w:rsidRPr="00741B56">
        <w:rPr>
          <w:lang w:val="fr-FR"/>
        </w:rPr>
        <w:t xml:space="preserve">21.01(3)a) </w:t>
      </w:r>
      <w:r w:rsidR="005B5375" w:rsidRPr="00741B56">
        <w:rPr>
          <w:lang w:val="fr-FR"/>
        </w:rPr>
        <w:t>n’exige aucunement qu’elle le soit avant la remise d’une défense</w:t>
      </w:r>
      <w:r w:rsidR="00985309" w:rsidRPr="00741B56">
        <w:rPr>
          <w:lang w:val="fr-FR"/>
        </w:rPr>
        <w:t xml:space="preserve">. </w:t>
      </w:r>
    </w:p>
    <w:p w:rsidR="007E1C47" w:rsidRPr="00741B56" w:rsidRDefault="0043088E" w:rsidP="00DE3538">
      <w:pPr>
        <w:pStyle w:val="SCCNormalDoubleSpacing"/>
        <w:keepNext/>
        <w:keepLines/>
        <w:spacing w:after="720" w:line="240" w:lineRule="auto"/>
        <w:rPr>
          <w:b/>
        </w:rPr>
      </w:pPr>
      <w:r w:rsidRPr="00741B56">
        <w:rPr>
          <w:b/>
        </w:rPr>
        <w:t>Jurisprudence</w:t>
      </w:r>
    </w:p>
    <w:p w:rsidR="002E6705" w:rsidRPr="00741B56" w:rsidRDefault="002E6705" w:rsidP="00DE3538">
      <w:pPr>
        <w:pStyle w:val="SCCNormalDoubleSpacing"/>
        <w:keepNext/>
        <w:keepLines/>
        <w:spacing w:after="480"/>
        <w:rPr>
          <w:b/>
        </w:rPr>
      </w:pPr>
      <w:r w:rsidRPr="00741B56">
        <w:tab/>
      </w:r>
      <w:r w:rsidR="0043088E" w:rsidRPr="00741B56">
        <w:rPr>
          <w:b/>
        </w:rPr>
        <w:t>Arrêt mentionné</w:t>
      </w:r>
      <w:r w:rsidR="00DE3538" w:rsidRPr="00741B56">
        <w:rPr>
          <w:b/>
        </w:rPr>
        <w:t> :</w:t>
      </w:r>
      <w:r w:rsidR="00172A04" w:rsidRPr="00741B56">
        <w:t xml:space="preserve"> </w:t>
      </w:r>
      <w:r w:rsidR="00B10C49" w:rsidRPr="00741B56">
        <w:rPr>
          <w:i/>
        </w:rPr>
        <w:t xml:space="preserve">Z.I. Pompey Industrie </w:t>
      </w:r>
      <w:r w:rsidR="00634047" w:rsidRPr="00741B56">
        <w:rPr>
          <w:i/>
        </w:rPr>
        <w:t>c</w:t>
      </w:r>
      <w:r w:rsidR="00B10C49" w:rsidRPr="00741B56">
        <w:rPr>
          <w:i/>
        </w:rPr>
        <w:t xml:space="preserve">. </w:t>
      </w:r>
      <w:proofErr w:type="spellStart"/>
      <w:r w:rsidR="00B10C49" w:rsidRPr="00741B56">
        <w:rPr>
          <w:i/>
        </w:rPr>
        <w:t>ECU</w:t>
      </w:r>
      <w:r w:rsidR="00DE3538" w:rsidRPr="00741B56">
        <w:rPr>
          <w:i/>
        </w:rPr>
        <w:noBreakHyphen/>
      </w:r>
      <w:r w:rsidR="00B10C49" w:rsidRPr="00741B56">
        <w:rPr>
          <w:i/>
        </w:rPr>
        <w:t>Line</w:t>
      </w:r>
      <w:proofErr w:type="spellEnd"/>
      <w:r w:rsidR="00B10C49" w:rsidRPr="00741B56">
        <w:rPr>
          <w:i/>
        </w:rPr>
        <w:t xml:space="preserve"> N.V.</w:t>
      </w:r>
      <w:r w:rsidR="00B10C49" w:rsidRPr="00741B56">
        <w:t xml:space="preserve">, 2003 </w:t>
      </w:r>
      <w:r w:rsidR="00634047" w:rsidRPr="00741B56">
        <w:t>C</w:t>
      </w:r>
      <w:r w:rsidR="00B10C49" w:rsidRPr="00741B56">
        <w:t xml:space="preserve">SC 27, [2003] 1 </w:t>
      </w:r>
      <w:r w:rsidR="00634047" w:rsidRPr="00741B56">
        <w:t>R.C.</w:t>
      </w:r>
      <w:r w:rsidR="00B10C49" w:rsidRPr="00741B56">
        <w:t>S. 450.</w:t>
      </w:r>
    </w:p>
    <w:p w:rsidR="00231F3A" w:rsidRPr="00741B56" w:rsidRDefault="0043088E" w:rsidP="00DE3538">
      <w:pPr>
        <w:pStyle w:val="SCCNormalDoubleSpacing"/>
        <w:keepNext/>
        <w:spacing w:after="720" w:line="240" w:lineRule="auto"/>
        <w:rPr>
          <w:b/>
        </w:rPr>
      </w:pPr>
      <w:r w:rsidRPr="00741B56">
        <w:rPr>
          <w:b/>
        </w:rPr>
        <w:t>Lois</w:t>
      </w:r>
      <w:r w:rsidR="002E6705" w:rsidRPr="00741B56">
        <w:rPr>
          <w:b/>
        </w:rPr>
        <w:t xml:space="preserve"> </w:t>
      </w:r>
      <w:r w:rsidR="008A6558" w:rsidRPr="00741B56">
        <w:rPr>
          <w:b/>
        </w:rPr>
        <w:t>et</w:t>
      </w:r>
      <w:r w:rsidR="002E6705" w:rsidRPr="00741B56">
        <w:rPr>
          <w:b/>
        </w:rPr>
        <w:t xml:space="preserve"> </w:t>
      </w:r>
      <w:r w:rsidRPr="00741B56">
        <w:rPr>
          <w:b/>
        </w:rPr>
        <w:t>rè</w:t>
      </w:r>
      <w:r w:rsidR="002E6705" w:rsidRPr="00741B56">
        <w:rPr>
          <w:b/>
        </w:rPr>
        <w:t>gl</w:t>
      </w:r>
      <w:r w:rsidRPr="00741B56">
        <w:rPr>
          <w:b/>
        </w:rPr>
        <w:t>ements</w:t>
      </w:r>
      <w:r w:rsidR="002E6705" w:rsidRPr="00741B56">
        <w:rPr>
          <w:b/>
        </w:rPr>
        <w:t xml:space="preserve"> </w:t>
      </w:r>
      <w:r w:rsidRPr="00741B56">
        <w:rPr>
          <w:b/>
        </w:rPr>
        <w:t>c</w:t>
      </w:r>
      <w:r w:rsidR="002E6705" w:rsidRPr="00741B56">
        <w:rPr>
          <w:b/>
        </w:rPr>
        <w:t>it</w:t>
      </w:r>
      <w:r w:rsidRPr="00741B56">
        <w:rPr>
          <w:b/>
        </w:rPr>
        <w:t>és</w:t>
      </w:r>
    </w:p>
    <w:p w:rsidR="00B10C49" w:rsidRPr="00741B56" w:rsidRDefault="00634047" w:rsidP="00DE3538">
      <w:pPr>
        <w:pStyle w:val="SCCNormalDoubleSpacing"/>
        <w:spacing w:after="720" w:line="240" w:lineRule="auto"/>
        <w:ind w:left="547" w:hanging="547"/>
      </w:pPr>
      <w:r w:rsidRPr="00741B56">
        <w:rPr>
          <w:i/>
        </w:rPr>
        <w:t>Règles de procédure civile</w:t>
      </w:r>
      <w:r w:rsidR="00DE3538" w:rsidRPr="00741B56">
        <w:t xml:space="preserve">, R.R.O. 1990, </w:t>
      </w:r>
      <w:proofErr w:type="spellStart"/>
      <w:r w:rsidR="00DE3538" w:rsidRPr="00741B56">
        <w:t>Règl</w:t>
      </w:r>
      <w:proofErr w:type="spellEnd"/>
      <w:r w:rsidR="00DE3538" w:rsidRPr="00741B56">
        <w:t>. </w:t>
      </w:r>
      <w:r w:rsidRPr="00741B56">
        <w:t>194, règles</w:t>
      </w:r>
      <w:r w:rsidR="00DE3538" w:rsidRPr="00741B56">
        <w:t> </w:t>
      </w:r>
      <w:r w:rsidR="00B10C49" w:rsidRPr="00741B56">
        <w:t>17.06, 21.01.</w:t>
      </w:r>
    </w:p>
    <w:p w:rsidR="00D5435D" w:rsidRPr="00741B56" w:rsidRDefault="009B57B3" w:rsidP="00DE3538">
      <w:pPr>
        <w:pStyle w:val="SCCNormalDoubleSpacing"/>
        <w:spacing w:after="480"/>
      </w:pPr>
      <w:r w:rsidRPr="00741B56">
        <w:lastRenderedPageBreak/>
        <w:tab/>
        <w:t>P</w:t>
      </w:r>
      <w:r w:rsidR="0043088E" w:rsidRPr="00741B56">
        <w:t>OURVOI contre un arrêt de la</w:t>
      </w:r>
      <w:r w:rsidRPr="00741B56">
        <w:t xml:space="preserve"> Cour d’appel de l’Ontario</w:t>
      </w:r>
      <w:r w:rsidR="00B10C49" w:rsidRPr="00741B56">
        <w:t xml:space="preserve"> (les juges </w:t>
      </w:r>
      <w:proofErr w:type="spellStart"/>
      <w:r w:rsidR="00B10C49" w:rsidRPr="00741B56">
        <w:t>Laskin</w:t>
      </w:r>
      <w:proofErr w:type="spellEnd"/>
      <w:r w:rsidR="00B10C49" w:rsidRPr="00741B56">
        <w:t xml:space="preserve">, </w:t>
      </w:r>
      <w:proofErr w:type="spellStart"/>
      <w:r w:rsidR="00B10C49" w:rsidRPr="00741B56">
        <w:t>Gillese</w:t>
      </w:r>
      <w:proofErr w:type="spellEnd"/>
      <w:r w:rsidR="00B10C49" w:rsidRPr="00741B56">
        <w:t xml:space="preserve"> et </w:t>
      </w:r>
      <w:proofErr w:type="spellStart"/>
      <w:r w:rsidR="00B10C49" w:rsidRPr="00741B56">
        <w:t>Juriansz</w:t>
      </w:r>
      <w:proofErr w:type="spellEnd"/>
      <w:r w:rsidR="00B10C49" w:rsidRPr="00741B56">
        <w:t xml:space="preserve">), 2010 ONCA 722, 103 O.R. (3d) 467, 325 D.L.R. (4th) 685, 270 O.A.C. 36, [2010] O.J. </w:t>
      </w:r>
      <w:r w:rsidR="00DE3538" w:rsidRPr="00741B56">
        <w:t>No. </w:t>
      </w:r>
      <w:r w:rsidR="00B10C49" w:rsidRPr="00741B56">
        <w:t xml:space="preserve">4595 (QL), 2010 </w:t>
      </w:r>
      <w:proofErr w:type="spellStart"/>
      <w:r w:rsidR="00B10C49" w:rsidRPr="00741B56">
        <w:t>CarswellOnt</w:t>
      </w:r>
      <w:proofErr w:type="spellEnd"/>
      <w:r w:rsidR="00B10C49" w:rsidRPr="00741B56">
        <w:t xml:space="preserve"> 8322, qui a confirmé une décision de la juge </w:t>
      </w:r>
      <w:proofErr w:type="spellStart"/>
      <w:r w:rsidR="00B10C49" w:rsidRPr="00741B56">
        <w:t>Ratushny</w:t>
      </w:r>
      <w:proofErr w:type="spellEnd"/>
      <w:r w:rsidR="00B10C49" w:rsidRPr="00741B56">
        <w:t xml:space="preserve">, 2009 </w:t>
      </w:r>
      <w:proofErr w:type="spellStart"/>
      <w:r w:rsidR="00B10C49" w:rsidRPr="00741B56">
        <w:t>CanLII</w:t>
      </w:r>
      <w:proofErr w:type="spellEnd"/>
      <w:r w:rsidR="00B10C49" w:rsidRPr="00741B56">
        <w:t xml:space="preserve"> 65823, [2009] O.J. </w:t>
      </w:r>
      <w:r w:rsidR="00DE3538" w:rsidRPr="00741B56">
        <w:t>No. </w:t>
      </w:r>
      <w:r w:rsidR="00B10C49" w:rsidRPr="00741B56">
        <w:t xml:space="preserve">5016 (QL), 2009 </w:t>
      </w:r>
      <w:proofErr w:type="spellStart"/>
      <w:r w:rsidR="00B10C49" w:rsidRPr="00741B56">
        <w:t>CarswellOnt</w:t>
      </w:r>
      <w:proofErr w:type="spellEnd"/>
      <w:r w:rsidR="00B10C49" w:rsidRPr="00741B56">
        <w:t xml:space="preserve"> 7353</w:t>
      </w:r>
      <w:r w:rsidR="00EE4130" w:rsidRPr="00741B56">
        <w:t>, avec motifs additionnels, 2010 ONSC 97 (CanLII), [2010] O.J. No.</w:t>
      </w:r>
      <w:r w:rsidR="0071639B" w:rsidRPr="00741B56">
        <w:t> </w:t>
      </w:r>
      <w:r w:rsidR="00EE4130" w:rsidRPr="00741B56">
        <w:t xml:space="preserve">9 (QL), 2010 </w:t>
      </w:r>
      <w:proofErr w:type="spellStart"/>
      <w:r w:rsidR="00EE4130" w:rsidRPr="00741B56">
        <w:t>CarswellOnt</w:t>
      </w:r>
      <w:proofErr w:type="spellEnd"/>
      <w:r w:rsidR="00EE4130" w:rsidRPr="00741B56">
        <w:t xml:space="preserve"> 4</w:t>
      </w:r>
      <w:r w:rsidR="00B10C49" w:rsidRPr="00741B56">
        <w:t xml:space="preserve">.  Pourvoi </w:t>
      </w:r>
      <w:r w:rsidR="00587F57" w:rsidRPr="00741B56">
        <w:t>rejeté</w:t>
      </w:r>
      <w:r w:rsidR="00B10C49" w:rsidRPr="00741B56">
        <w:t>.</w:t>
      </w:r>
    </w:p>
    <w:p w:rsidR="008951F8" w:rsidRPr="00741B56" w:rsidRDefault="00844FED" w:rsidP="00DE3538">
      <w:pPr>
        <w:pStyle w:val="SCCNormalDoubleSpacing"/>
        <w:spacing w:after="480"/>
      </w:pPr>
      <w:r w:rsidRPr="00741B56">
        <w:rPr>
          <w:i/>
        </w:rPr>
        <w:tab/>
      </w:r>
      <w:r w:rsidR="00DE3538" w:rsidRPr="00741B56">
        <w:rPr>
          <w:i/>
        </w:rPr>
        <w:t>Susan </w:t>
      </w:r>
      <w:r w:rsidR="00B10C49" w:rsidRPr="00741B56">
        <w:rPr>
          <w:i/>
        </w:rPr>
        <w:t>M. Brown</w:t>
      </w:r>
      <w:r w:rsidR="00B10C49" w:rsidRPr="00741B56">
        <w:t>,</w:t>
      </w:r>
      <w:r w:rsidR="00B10C49" w:rsidRPr="00741B56">
        <w:rPr>
          <w:i/>
        </w:rPr>
        <w:t xml:space="preserve"> </w:t>
      </w:r>
      <w:r w:rsidR="00DE3538" w:rsidRPr="00741B56">
        <w:rPr>
          <w:i/>
        </w:rPr>
        <w:t>K. </w:t>
      </w:r>
      <w:r w:rsidR="00B10C49" w:rsidRPr="00741B56">
        <w:rPr>
          <w:i/>
        </w:rPr>
        <w:t>Scott McLean</w:t>
      </w:r>
      <w:r w:rsidR="00B10C49" w:rsidRPr="00741B56">
        <w:t xml:space="preserve"> et </w:t>
      </w:r>
      <w:r w:rsidR="00DE3538" w:rsidRPr="00741B56">
        <w:rPr>
          <w:i/>
        </w:rPr>
        <w:t>James </w:t>
      </w:r>
      <w:r w:rsidR="00B10C49" w:rsidRPr="00741B56">
        <w:rPr>
          <w:i/>
        </w:rPr>
        <w:t>M. Wishart</w:t>
      </w:r>
      <w:r w:rsidR="00B10C49" w:rsidRPr="00741B56">
        <w:t xml:space="preserve">, pour les </w:t>
      </w:r>
      <w:r w:rsidRPr="00741B56">
        <w:t>appelante</w:t>
      </w:r>
      <w:r w:rsidR="00B10C49" w:rsidRPr="00741B56">
        <w:t>s</w:t>
      </w:r>
      <w:r w:rsidRPr="00741B56">
        <w:t>.</w:t>
      </w:r>
    </w:p>
    <w:p w:rsidR="008951F8" w:rsidRPr="00741B56" w:rsidRDefault="00844FED" w:rsidP="00DE3538">
      <w:pPr>
        <w:pStyle w:val="SCCNormalDoubleSpacing"/>
        <w:spacing w:after="480"/>
      </w:pPr>
      <w:r w:rsidRPr="00741B56">
        <w:rPr>
          <w:i/>
        </w:rPr>
        <w:tab/>
      </w:r>
      <w:proofErr w:type="spellStart"/>
      <w:r w:rsidR="00B10C49" w:rsidRPr="00741B56">
        <w:rPr>
          <w:i/>
        </w:rPr>
        <w:t>Pasquale</w:t>
      </w:r>
      <w:proofErr w:type="spellEnd"/>
      <w:r w:rsidR="00B10C49" w:rsidRPr="00741B56">
        <w:rPr>
          <w:i/>
        </w:rPr>
        <w:t xml:space="preserve"> Santini</w:t>
      </w:r>
      <w:r w:rsidR="00B10C49" w:rsidRPr="00741B56">
        <w:t xml:space="preserve"> et </w:t>
      </w:r>
      <w:r w:rsidR="00B10C49" w:rsidRPr="00741B56">
        <w:rPr>
          <w:i/>
        </w:rPr>
        <w:t>Sama</w:t>
      </w:r>
      <w:r w:rsidR="00DE3538" w:rsidRPr="00741B56">
        <w:rPr>
          <w:i/>
        </w:rPr>
        <w:t>ntha </w:t>
      </w:r>
      <w:r w:rsidR="00B10C49" w:rsidRPr="00741B56">
        <w:rPr>
          <w:i/>
        </w:rPr>
        <w:t xml:space="preserve">A. </w:t>
      </w:r>
      <w:proofErr w:type="spellStart"/>
      <w:r w:rsidR="00B10C49" w:rsidRPr="00741B56">
        <w:rPr>
          <w:i/>
        </w:rPr>
        <w:t>Iturregui</w:t>
      </w:r>
      <w:proofErr w:type="spellEnd"/>
      <w:r w:rsidRPr="00741B56">
        <w:t>, pour l</w:t>
      </w:r>
      <w:r w:rsidR="00B10C49" w:rsidRPr="00741B56">
        <w:t xml:space="preserve">es </w:t>
      </w:r>
      <w:r w:rsidRPr="00741B56">
        <w:t>intimé</w:t>
      </w:r>
      <w:r w:rsidR="00B10C49" w:rsidRPr="00741B56">
        <w:t>s Canadian American Association of Professional Baseball Ltd. et autres.</w:t>
      </w:r>
    </w:p>
    <w:p w:rsidR="008951F8" w:rsidRPr="00741B56" w:rsidRDefault="00844FED" w:rsidP="00DE3538">
      <w:pPr>
        <w:pStyle w:val="SCCNormalDoubleSpacing"/>
        <w:spacing w:after="480"/>
      </w:pPr>
      <w:r w:rsidRPr="00741B56">
        <w:rPr>
          <w:i/>
        </w:rPr>
        <w:tab/>
        <w:t>Beno</w:t>
      </w:r>
      <w:r w:rsidR="00B10C49" w:rsidRPr="00741B56">
        <w:rPr>
          <w:i/>
        </w:rPr>
        <w:t>i</w:t>
      </w:r>
      <w:r w:rsidRPr="00741B56">
        <w:rPr>
          <w:i/>
        </w:rPr>
        <w:t>t Duchesne</w:t>
      </w:r>
      <w:r w:rsidRPr="00741B56">
        <w:t xml:space="preserve"> et </w:t>
      </w:r>
      <w:r w:rsidR="00DE3538" w:rsidRPr="00741B56">
        <w:rPr>
          <w:i/>
        </w:rPr>
        <w:t>Lauren </w:t>
      </w:r>
      <w:r w:rsidR="00B10C49" w:rsidRPr="00741B56">
        <w:rPr>
          <w:i/>
        </w:rPr>
        <w:t xml:space="preserve">J. </w:t>
      </w:r>
      <w:r w:rsidRPr="00741B56">
        <w:rPr>
          <w:i/>
        </w:rPr>
        <w:t>Wihak</w:t>
      </w:r>
      <w:r w:rsidRPr="00741B56">
        <w:t>, pour l</w:t>
      </w:r>
      <w:r w:rsidR="00B10C49" w:rsidRPr="00741B56">
        <w:t>’</w:t>
      </w:r>
      <w:r w:rsidRPr="00741B56">
        <w:t>intimée</w:t>
      </w:r>
      <w:r w:rsidR="00B10C49" w:rsidRPr="00741B56">
        <w:t xml:space="preserve"> la Ville d’Ottawa</w:t>
      </w:r>
      <w:r w:rsidRPr="00741B56">
        <w:t>.</w:t>
      </w:r>
    </w:p>
    <w:p w:rsidR="008951F8" w:rsidRPr="00741B56" w:rsidRDefault="00844FED" w:rsidP="00DE3538">
      <w:pPr>
        <w:pStyle w:val="SCCNormalDoubleSpacing"/>
        <w:spacing w:after="480"/>
      </w:pPr>
      <w:r w:rsidRPr="00741B56">
        <w:rPr>
          <w:i/>
        </w:rPr>
        <w:tab/>
      </w:r>
      <w:proofErr w:type="spellStart"/>
      <w:r w:rsidRPr="00741B56">
        <w:rPr>
          <w:i/>
        </w:rPr>
        <w:t>Eric</w:t>
      </w:r>
      <w:proofErr w:type="spellEnd"/>
      <w:r w:rsidR="00DE3538" w:rsidRPr="00741B56">
        <w:rPr>
          <w:i/>
        </w:rPr>
        <w:t> </w:t>
      </w:r>
      <w:r w:rsidRPr="00741B56">
        <w:rPr>
          <w:i/>
        </w:rPr>
        <w:t xml:space="preserve">M. </w:t>
      </w:r>
      <w:proofErr w:type="spellStart"/>
      <w:r w:rsidRPr="00741B56">
        <w:rPr>
          <w:i/>
        </w:rPr>
        <w:t>Appotive</w:t>
      </w:r>
      <w:proofErr w:type="spellEnd"/>
      <w:r w:rsidRPr="00741B56">
        <w:t xml:space="preserve"> et </w:t>
      </w:r>
      <w:r w:rsidRPr="00741B56">
        <w:rPr>
          <w:i/>
        </w:rPr>
        <w:t>Allison</w:t>
      </w:r>
      <w:r w:rsidR="00DE3538" w:rsidRPr="00741B56">
        <w:rPr>
          <w:i/>
        </w:rPr>
        <w:t> A. </w:t>
      </w:r>
      <w:r w:rsidRPr="00741B56">
        <w:rPr>
          <w:i/>
        </w:rPr>
        <w:t>Russell</w:t>
      </w:r>
      <w:r w:rsidR="00B10C49" w:rsidRPr="00741B56">
        <w:t>, pour l’</w:t>
      </w:r>
      <w:r w:rsidRPr="00741B56">
        <w:t>intimé</w:t>
      </w:r>
      <w:r w:rsidR="00B10C49" w:rsidRPr="00741B56">
        <w:t xml:space="preserve"> Miles Wolff</w:t>
      </w:r>
      <w:r w:rsidRPr="00741B56">
        <w:t>.</w:t>
      </w:r>
    </w:p>
    <w:p w:rsidR="00964B40" w:rsidRPr="00741B56" w:rsidRDefault="00964B40" w:rsidP="00964B40">
      <w:pPr>
        <w:pStyle w:val="JudgeJuge"/>
        <w:spacing w:before="240"/>
        <w:rPr>
          <w:lang w:val="fr-CA"/>
        </w:rPr>
      </w:pPr>
      <w:r w:rsidRPr="00741B56">
        <w:rPr>
          <w:lang w:val="fr-FR"/>
        </w:rPr>
        <w:tab/>
      </w:r>
      <w:r w:rsidR="003B7F37" w:rsidRPr="00741B56">
        <w:rPr>
          <w:smallCaps w:val="0"/>
          <w:lang w:val="fr-FR"/>
        </w:rPr>
        <w:t>Version française du jugement rendu par</w:t>
      </w:r>
      <w:r w:rsidRPr="00741B56">
        <w:rPr>
          <w:lang w:val="fr-CA"/>
        </w:rPr>
        <w:t xml:space="preserve"> </w:t>
      </w:r>
    </w:p>
    <w:p w:rsidR="00964B40" w:rsidRPr="00741B56" w:rsidRDefault="003B7F37" w:rsidP="00964B40">
      <w:pPr>
        <w:pStyle w:val="ParaNoNdepar-AltN"/>
        <w:rPr>
          <w:lang w:val="fr-FR"/>
        </w:rPr>
      </w:pPr>
      <w:r w:rsidRPr="00741B56">
        <w:rPr>
          <w:smallCaps/>
          <w:lang w:val="fr-FR"/>
        </w:rPr>
        <w:t>La Cour</w:t>
      </w:r>
      <w:r w:rsidRPr="00741B56">
        <w:rPr>
          <w:lang w:val="fr-CA"/>
        </w:rPr>
        <w:t xml:space="preserve"> — </w:t>
      </w:r>
      <w:r w:rsidR="00964B40" w:rsidRPr="00741B56">
        <w:rPr>
          <w:lang w:val="fr-FR"/>
        </w:rPr>
        <w:t xml:space="preserve">Peu de temps après avoir déposé une défense, les intimés Canadian American Association of Professional Baseball Ltd., Inside </w:t>
      </w:r>
      <w:r w:rsidR="00774233" w:rsidRPr="00741B56">
        <w:rPr>
          <w:lang w:val="fr-FR"/>
        </w:rPr>
        <w:t>t</w:t>
      </w:r>
      <w:r w:rsidR="00964B40" w:rsidRPr="00741B56">
        <w:rPr>
          <w:lang w:val="fr-FR"/>
        </w:rPr>
        <w:t xml:space="preserve">he Park LLC, Greg </w:t>
      </w:r>
      <w:proofErr w:type="spellStart"/>
      <w:r w:rsidR="00964B40" w:rsidRPr="00741B56">
        <w:rPr>
          <w:lang w:val="fr-FR"/>
        </w:rPr>
        <w:t>Lo</w:t>
      </w:r>
      <w:r w:rsidR="004406AE" w:rsidRPr="00741B56">
        <w:rPr>
          <w:lang w:val="fr-FR"/>
        </w:rPr>
        <w:t>ckard</w:t>
      </w:r>
      <w:proofErr w:type="spellEnd"/>
      <w:r w:rsidR="004406AE" w:rsidRPr="00741B56">
        <w:rPr>
          <w:lang w:val="fr-FR"/>
        </w:rPr>
        <w:t xml:space="preserve">, Dan </w:t>
      </w:r>
      <w:proofErr w:type="spellStart"/>
      <w:r w:rsidR="004406AE" w:rsidRPr="00741B56">
        <w:rPr>
          <w:lang w:val="fr-FR"/>
        </w:rPr>
        <w:t>Moushon</w:t>
      </w:r>
      <w:proofErr w:type="spellEnd"/>
      <w:r w:rsidR="004406AE" w:rsidRPr="00741B56">
        <w:rPr>
          <w:lang w:val="fr-FR"/>
        </w:rPr>
        <w:t xml:space="preserve"> et Bruce Mur</w:t>
      </w:r>
      <w:r w:rsidR="00964B40" w:rsidRPr="00741B56">
        <w:rPr>
          <w:lang w:val="fr-FR"/>
        </w:rPr>
        <w:t xml:space="preserve">doch (les « intimés </w:t>
      </w:r>
      <w:proofErr w:type="spellStart"/>
      <w:r w:rsidR="00964B40" w:rsidRPr="00741B56">
        <w:rPr>
          <w:lang w:val="fr-FR"/>
        </w:rPr>
        <w:t>Can</w:t>
      </w:r>
      <w:r w:rsidR="00964B40" w:rsidRPr="00741B56">
        <w:rPr>
          <w:lang w:val="fr-FR"/>
        </w:rPr>
        <w:noBreakHyphen/>
        <w:t>Am</w:t>
      </w:r>
      <w:proofErr w:type="spellEnd"/>
      <w:r w:rsidR="00964B40" w:rsidRPr="00741B56">
        <w:rPr>
          <w:lang w:val="fr-FR"/>
        </w:rPr>
        <w:t xml:space="preserve"> ») ont présenté, en vertu de l’al. 21.01(3)a) des </w:t>
      </w:r>
      <w:r w:rsidR="00964B40" w:rsidRPr="00741B56">
        <w:rPr>
          <w:i/>
          <w:lang w:val="fr-FR"/>
        </w:rPr>
        <w:t xml:space="preserve">Règles de procédure civile </w:t>
      </w:r>
      <w:r w:rsidR="00964B40" w:rsidRPr="00741B56">
        <w:rPr>
          <w:lang w:val="fr-FR"/>
        </w:rPr>
        <w:t xml:space="preserve">de l’Ontario, R.R.O. 1990, </w:t>
      </w:r>
      <w:proofErr w:type="spellStart"/>
      <w:r w:rsidR="00964B40" w:rsidRPr="00741B56">
        <w:rPr>
          <w:lang w:val="fr-FR"/>
        </w:rPr>
        <w:t>Règl</w:t>
      </w:r>
      <w:proofErr w:type="spellEnd"/>
      <w:r w:rsidR="00964B40" w:rsidRPr="00741B56">
        <w:rPr>
          <w:lang w:val="fr-FR"/>
        </w:rPr>
        <w:t xml:space="preserve">. 194, une motion en vue d’obtenir le rejet de l’action, au motif que </w:t>
      </w:r>
      <w:r w:rsidR="00964B40" w:rsidRPr="00741B56">
        <w:rPr>
          <w:lang w:val="fr-FR"/>
        </w:rPr>
        <w:lastRenderedPageBreak/>
        <w:t>les tribunaux ontariens n’avaient pas compétence étant donné que les appelant</w:t>
      </w:r>
      <w:r w:rsidR="00C400AC">
        <w:rPr>
          <w:lang w:val="fr-FR"/>
        </w:rPr>
        <w:t>e</w:t>
      </w:r>
      <w:r w:rsidR="00964B40" w:rsidRPr="00741B56">
        <w:rPr>
          <w:lang w:val="fr-FR"/>
        </w:rPr>
        <w:t xml:space="preserve">s avaient signé des accords précisant que leurs différends seraient soumis à l’arbitrage en Caroline du Nord ou aux tribunaux de cet État.  La juge saisie de la motion a rejeté l’action à l’égard de tous les intimés sur le fondement de ces clauses d’arbitrage et d’élection de for (2009 </w:t>
      </w:r>
      <w:proofErr w:type="spellStart"/>
      <w:r w:rsidR="00964B40" w:rsidRPr="00741B56">
        <w:rPr>
          <w:lang w:val="fr-FR"/>
        </w:rPr>
        <w:t>CanLII</w:t>
      </w:r>
      <w:proofErr w:type="spellEnd"/>
      <w:r w:rsidR="00964B40" w:rsidRPr="00741B56">
        <w:rPr>
          <w:lang w:val="fr-FR"/>
        </w:rPr>
        <w:t xml:space="preserve">, 65823 (C.S.J. Ont.)).  La Cour d’appel de l’Ontario a confirmé cette décision (2010 ONCA 722, 103 O.R. (3d) 467). </w:t>
      </w:r>
    </w:p>
    <w:p w:rsidR="00964B40" w:rsidRPr="00741B56" w:rsidRDefault="00964B40" w:rsidP="00964B40">
      <w:pPr>
        <w:pStyle w:val="ParaNoNdepar-AltN"/>
        <w:rPr>
          <w:lang w:val="fr-FR"/>
        </w:rPr>
      </w:pPr>
      <w:r w:rsidRPr="00741B56">
        <w:rPr>
          <w:lang w:val="fr-FR"/>
        </w:rPr>
        <w:t xml:space="preserve">Les parties au présent pourvoi n’ont pas contesté la conclusion de la Cour d’appel de l’Ontario selon laquelle certains intimés avaient acquiescé à la compétence des tribunaux ontariens, bien que la juge saisie de la motion ait conclu à l’absence d’acquiescement.  </w:t>
      </w:r>
      <w:r w:rsidRPr="00741B56">
        <w:rPr>
          <w:lang w:val="fr-CA"/>
        </w:rPr>
        <w:t xml:space="preserve">En conséquence, nous ne commenterons pas ce point.  </w:t>
      </w:r>
      <w:r w:rsidRPr="00741B56">
        <w:rPr>
          <w:lang w:val="fr-FR"/>
        </w:rPr>
        <w:t xml:space="preserve">En outre, les appelantes ne prétendent pas que le différend échappe à la portée des clauses d’arbitrage ou d’élection de for qu’elles avaient acceptées. </w:t>
      </w:r>
    </w:p>
    <w:p w:rsidR="00964B40" w:rsidRPr="00741B56" w:rsidRDefault="00964B40" w:rsidP="00964B40">
      <w:pPr>
        <w:pStyle w:val="ParaNoNdepar-AltN"/>
        <w:rPr>
          <w:lang w:val="fr-FR"/>
        </w:rPr>
      </w:pPr>
      <w:r w:rsidRPr="00741B56">
        <w:rPr>
          <w:lang w:val="fr-FR"/>
        </w:rPr>
        <w:t>Il s’agit donc en l’espèc</w:t>
      </w:r>
      <w:r w:rsidR="00F40730" w:rsidRPr="00741B56">
        <w:rPr>
          <w:lang w:val="fr-FR"/>
        </w:rPr>
        <w:t>e de décider si les intimés Can-</w:t>
      </w:r>
      <w:r w:rsidRPr="00741B56">
        <w:rPr>
          <w:lang w:val="fr-FR"/>
        </w:rPr>
        <w:t>Am pouvaient, malgré la remise d’une défense, demander le rejet de l’action par voie de motion fondée sur l’al. 21.01(3)a), compte tenu des clauses d’arbitrage et d’élection de for contenues dans leurs accords.  Selon les appelantes, la partie qui remet une défense sur le fond ne peut invoquer une clause d’élection de for, même si cette défense demande explicitement l’application de la clause.  Nous ne sommes pas de cet avis.</w:t>
      </w:r>
    </w:p>
    <w:p w:rsidR="00964B40" w:rsidRPr="00741B56" w:rsidRDefault="00964B40" w:rsidP="00964B40">
      <w:pPr>
        <w:pStyle w:val="ParaNoNdepar-AltN"/>
        <w:rPr>
          <w:lang w:val="fr-FR"/>
        </w:rPr>
      </w:pPr>
      <w:r w:rsidRPr="00741B56">
        <w:rPr>
          <w:lang w:val="fr-FR"/>
        </w:rPr>
        <w:t xml:space="preserve">Les </w:t>
      </w:r>
      <w:r w:rsidRPr="00741B56">
        <w:rPr>
          <w:i/>
          <w:lang w:val="fr-FR"/>
        </w:rPr>
        <w:t xml:space="preserve">Règles de procédure civile </w:t>
      </w:r>
      <w:r w:rsidRPr="00741B56">
        <w:rPr>
          <w:lang w:val="fr-FR"/>
        </w:rPr>
        <w:t>de l’Ontario comportent deux mécanismes permettant à une partie de contester soit la compétence d’un tribunal ontarien de connaître de l’action</w:t>
      </w:r>
      <w:r w:rsidR="00F40730" w:rsidRPr="00741B56">
        <w:rPr>
          <w:lang w:val="fr-FR"/>
        </w:rPr>
        <w:t>,</w:t>
      </w:r>
      <w:r w:rsidRPr="00741B56">
        <w:rPr>
          <w:lang w:val="fr-FR"/>
        </w:rPr>
        <w:t xml:space="preserve"> soit l’opportunité qu’il s’en saisisse. </w:t>
      </w:r>
    </w:p>
    <w:p w:rsidR="00964B40" w:rsidRPr="00741B56" w:rsidRDefault="00964B40" w:rsidP="00964B40">
      <w:pPr>
        <w:pStyle w:val="ParaNoNdepar-AltN"/>
        <w:rPr>
          <w:lang w:val="fr-CA"/>
        </w:rPr>
      </w:pPr>
      <w:r w:rsidRPr="00741B56">
        <w:rPr>
          <w:lang w:val="fr-FR"/>
        </w:rPr>
        <w:lastRenderedPageBreak/>
        <w:t xml:space="preserve">Suivant la règle 17.06, la partie qui a reçu signification d’un acte introductif d’instance en dehors de l’Ontario peut demander par voie de motion une ordonnance d’annulation de la signification ou de sursis d’instance, au motif que les </w:t>
      </w:r>
      <w:r w:rsidRPr="00741B56">
        <w:rPr>
          <w:i/>
          <w:lang w:val="fr-FR"/>
        </w:rPr>
        <w:t>Règles</w:t>
      </w:r>
      <w:r w:rsidRPr="00741B56">
        <w:rPr>
          <w:lang w:val="fr-FR"/>
        </w:rPr>
        <w:t xml:space="preserve"> n’autorisent pas la signification ou que l’Ontario ne constitue pas un lieu propice à l’audition de l’instance.  Toujours suivant cette règle, la motion doit être déposée avant que la partie remette une défense, un avis de l’intention de présenter une défense ou un avis de comparution.  </w:t>
      </w:r>
    </w:p>
    <w:p w:rsidR="00964B40" w:rsidRPr="00741B56" w:rsidRDefault="00194186" w:rsidP="00964B40">
      <w:pPr>
        <w:pStyle w:val="ParaNoNdepar-AltN"/>
        <w:rPr>
          <w:lang w:val="fr-FR"/>
        </w:rPr>
      </w:pPr>
      <w:r w:rsidRPr="00741B56">
        <w:rPr>
          <w:lang w:val="fr-FR"/>
        </w:rPr>
        <w:t>Les intimés Can-</w:t>
      </w:r>
      <w:r w:rsidR="00964B40" w:rsidRPr="00741B56">
        <w:rPr>
          <w:lang w:val="fr-FR"/>
        </w:rPr>
        <w:t>Am n’ont pas invoqué la règle 17.06.  Ils n’ont pas plaidé l’absence de lien réel et substantiel entre le litige et l’Ontario ou encore l’existence d’un ressort plus propice.</w:t>
      </w:r>
    </w:p>
    <w:p w:rsidR="00964B40" w:rsidRPr="00741B56" w:rsidRDefault="00964B40" w:rsidP="00964B40">
      <w:pPr>
        <w:pStyle w:val="ParaNoNdepar-AltN"/>
        <w:rPr>
          <w:lang w:val="fr-FR"/>
        </w:rPr>
      </w:pPr>
      <w:r w:rsidRPr="00741B56">
        <w:rPr>
          <w:lang w:val="fr-FR"/>
        </w:rPr>
        <w:t xml:space="preserve">L’alinéa 21.01(3)a) permet à un défendeur de demander le sursis ou le rejet de l’action au motif que le tribunal n’a « pas compétence pour connaître de l’objet de l’action ».  Par conséquent, lorsqu’une autre juridiction — un comité d’arbitrage, un tribunal administratif ou une autre cour </w:t>
      </w:r>
      <w:r w:rsidRPr="00741B56">
        <w:rPr>
          <w:rFonts w:cs="Times New Roman"/>
          <w:lang w:val="fr-FR"/>
        </w:rPr>
        <w:t>―</w:t>
      </w:r>
      <w:r w:rsidRPr="00741B56">
        <w:rPr>
          <w:lang w:val="fr-FR"/>
        </w:rPr>
        <w:t xml:space="preserve"> a compétence exclusive pour connaître de l’action, la Cour supérieure de justice n’assumera pas sa compétence du fait de l’existence d’un accord ou d’un texte de loi à cet effet. </w:t>
      </w:r>
    </w:p>
    <w:p w:rsidR="00964B40" w:rsidRPr="00741B56" w:rsidRDefault="00964B40" w:rsidP="00964B40">
      <w:pPr>
        <w:pStyle w:val="ParaNoNdepar-AltN"/>
        <w:rPr>
          <w:lang w:val="fr-FR"/>
        </w:rPr>
      </w:pPr>
      <w:r w:rsidRPr="00741B56">
        <w:rPr>
          <w:lang w:val="fr-FR"/>
        </w:rPr>
        <w:t xml:space="preserve">Nous sommes d’accord avec le juge </w:t>
      </w:r>
      <w:proofErr w:type="spellStart"/>
      <w:r w:rsidRPr="00741B56">
        <w:rPr>
          <w:lang w:val="fr-FR"/>
        </w:rPr>
        <w:t>Laskin</w:t>
      </w:r>
      <w:proofErr w:type="spellEnd"/>
      <w:r w:rsidRPr="00741B56">
        <w:rPr>
          <w:lang w:val="fr-FR"/>
        </w:rPr>
        <w:t xml:space="preserve"> de la Cour d’appel pour dire que les intimés C</w:t>
      </w:r>
      <w:r w:rsidR="001D20A0" w:rsidRPr="00741B56">
        <w:rPr>
          <w:lang w:val="fr-FR"/>
        </w:rPr>
        <w:t>an-</w:t>
      </w:r>
      <w:r w:rsidRPr="00741B56">
        <w:rPr>
          <w:lang w:val="fr-FR"/>
        </w:rPr>
        <w:t xml:space="preserve">Am avaient le droit de présenter, en vertu de l’al. 21.01(3)a), une motion demandant au tribunal de rejeter l’action parce que les parties avaient convenu de soumettre leurs différends à l’arbitrage ou aux tribunaux dans un autre ressort.  Bien que la motion doive être présentée avec diligence, nous partageons l’avis du </w:t>
      </w:r>
      <w:r w:rsidRPr="00741B56">
        <w:rPr>
          <w:lang w:val="fr-FR"/>
        </w:rPr>
        <w:lastRenderedPageBreak/>
        <w:t xml:space="preserve">juge </w:t>
      </w:r>
      <w:proofErr w:type="spellStart"/>
      <w:r w:rsidRPr="00741B56" w:rsidDel="00EF048B">
        <w:rPr>
          <w:lang w:val="fr-FR"/>
        </w:rPr>
        <w:t>Laskin</w:t>
      </w:r>
      <w:proofErr w:type="spellEnd"/>
      <w:r w:rsidRPr="00741B56">
        <w:rPr>
          <w:lang w:val="fr-FR"/>
        </w:rPr>
        <w:t xml:space="preserve"> selon lequel l’al. </w:t>
      </w:r>
      <w:r w:rsidRPr="00741B56" w:rsidDel="00EF048B">
        <w:rPr>
          <w:lang w:val="fr-FR"/>
        </w:rPr>
        <w:t>21.01</w:t>
      </w:r>
      <w:r w:rsidRPr="00741B56">
        <w:rPr>
          <w:lang w:val="fr-FR"/>
        </w:rPr>
        <w:t xml:space="preserve">(3)a) n’exige aucunement qu’elle le soit avant la remise d’une défense.  Dans le cadre établi par les </w:t>
      </w:r>
      <w:r w:rsidRPr="00741B56">
        <w:rPr>
          <w:i/>
          <w:lang w:val="fr-FR"/>
        </w:rPr>
        <w:t>Règles de procédure civile</w:t>
      </w:r>
      <w:r w:rsidRPr="00741B56">
        <w:rPr>
          <w:lang w:val="fr-FR"/>
        </w:rPr>
        <w:t xml:space="preserve"> de l’Ontario, une défense qui invoque explicitement une clause d’élection de for étranger ne vaut pas consentement à la compétence des tribunaux ontariens, ce qui empêcherait l’examen au fond de la question de savoir s’il y a lieu de donner effet à la clause. </w:t>
      </w:r>
    </w:p>
    <w:p w:rsidR="00964B40" w:rsidRPr="00741B56" w:rsidRDefault="00964B40" w:rsidP="00964B40">
      <w:pPr>
        <w:pStyle w:val="ParaNoNdepar-AltN"/>
        <w:rPr>
          <w:lang w:val="fr-FR"/>
        </w:rPr>
      </w:pPr>
      <w:r w:rsidRPr="00741B56">
        <w:rPr>
          <w:lang w:val="fr-FR"/>
        </w:rPr>
        <w:t xml:space="preserve">Dans l’arrêt </w:t>
      </w:r>
      <w:r w:rsidRPr="00741B56">
        <w:rPr>
          <w:i/>
          <w:lang w:val="fr-FR"/>
        </w:rPr>
        <w:t xml:space="preserve">Z.I. Pompey Industrie c. </w:t>
      </w:r>
      <w:proofErr w:type="spellStart"/>
      <w:r w:rsidRPr="00741B56">
        <w:rPr>
          <w:i/>
          <w:lang w:val="fr-FR"/>
        </w:rPr>
        <w:t>ECU</w:t>
      </w:r>
      <w:r w:rsidRPr="00741B56">
        <w:rPr>
          <w:i/>
          <w:lang w:val="fr-FR"/>
        </w:rPr>
        <w:noBreakHyphen/>
        <w:t>Line</w:t>
      </w:r>
      <w:proofErr w:type="spellEnd"/>
      <w:r w:rsidRPr="00741B56">
        <w:rPr>
          <w:i/>
          <w:lang w:val="fr-FR"/>
        </w:rPr>
        <w:t xml:space="preserve"> N.V.</w:t>
      </w:r>
      <w:r w:rsidRPr="00741B56">
        <w:rPr>
          <w:lang w:val="fr-FR"/>
        </w:rPr>
        <w:t>, 2003 CSC 27, [2003] 1 R.C.S. 450, notre Cour a confirmé que, en l’absence d’un texte de loi particulier, le critère applicable pour déterminer s’il y a lieu de donner effet à une clause d’élection de for est de nature discrétionnaire.  Selon ce critère, la meilleure façon de faire régner l’ordre et l’équité consiste à obliger les parties à respecter leurs engagements, sauf dans le cas où des « motifs sérieux » justifient l’exercice par le tribunal national de sa compétence.</w:t>
      </w:r>
    </w:p>
    <w:p w:rsidR="00964B40" w:rsidRPr="00741B56" w:rsidRDefault="00964B40" w:rsidP="00964B40">
      <w:pPr>
        <w:pStyle w:val="ParaNoNdepar-AltN"/>
        <w:rPr>
          <w:lang w:val="fr-FR"/>
        </w:rPr>
      </w:pPr>
      <w:r w:rsidRPr="00741B56">
        <w:rPr>
          <w:lang w:val="fr-FR"/>
        </w:rPr>
        <w:t>Les appelant</w:t>
      </w:r>
      <w:r w:rsidR="00C43842">
        <w:rPr>
          <w:lang w:val="fr-FR"/>
        </w:rPr>
        <w:t>e</w:t>
      </w:r>
      <w:r w:rsidRPr="00741B56">
        <w:rPr>
          <w:lang w:val="fr-FR"/>
        </w:rPr>
        <w:t>s n’ont pas soutenu qu’il existait quelque raison, à part la remise d’une défense, permettant à la Cour de conclure qu’un « motif sérieux » justifiait de substituer l’Ontario au for dont ont convenu les parties comme lieu de règlement de leurs différends.  À l’instar de la Cour d’appel, nous estimons que la juge de première instance n’a pas commis d’erreur en exerçant son pouvoir discrétionnaire pour rejeter l’action en vertu de l’al. 21.01(3)a).</w:t>
      </w:r>
    </w:p>
    <w:p w:rsidR="00964B40" w:rsidRPr="00741B56" w:rsidRDefault="00964B40" w:rsidP="00964B40">
      <w:pPr>
        <w:pStyle w:val="ParaNoNdepar-AltN"/>
        <w:rPr>
          <w:lang w:val="fr-FR"/>
        </w:rPr>
      </w:pPr>
      <w:r w:rsidRPr="00741B56">
        <w:rPr>
          <w:lang w:val="fr-FR"/>
        </w:rPr>
        <w:lastRenderedPageBreak/>
        <w:t xml:space="preserve">En ce qui concerne la seconde question en litige </w:t>
      </w:r>
      <w:r w:rsidRPr="00741B56">
        <w:rPr>
          <w:rFonts w:cs="Times New Roman"/>
          <w:lang w:val="fr-FR"/>
        </w:rPr>
        <w:t>—</w:t>
      </w:r>
      <w:r w:rsidRPr="00741B56">
        <w:rPr>
          <w:lang w:val="fr-FR"/>
        </w:rPr>
        <w:t xml:space="preserve"> celle de savoir s’il est possible de rejeter les actions visant les intimés </w:t>
      </w:r>
      <w:r w:rsidR="00C66527" w:rsidRPr="00741B56">
        <w:rPr>
          <w:lang w:val="fr-FR"/>
        </w:rPr>
        <w:t xml:space="preserve">la </w:t>
      </w:r>
      <w:r w:rsidR="00BC0D07" w:rsidRPr="00741B56">
        <w:rPr>
          <w:lang w:val="fr-FR"/>
        </w:rPr>
        <w:t>V</w:t>
      </w:r>
      <w:r w:rsidRPr="00741B56">
        <w:rPr>
          <w:lang w:val="fr-FR"/>
        </w:rPr>
        <w:t xml:space="preserve">ille d’Ottawa et Miles Wolff </w:t>
      </w:r>
      <w:r w:rsidRPr="00741B56">
        <w:rPr>
          <w:rFonts w:cs="Times New Roman"/>
          <w:lang w:val="fr-FR"/>
        </w:rPr>
        <w:t>—</w:t>
      </w:r>
      <w:r w:rsidRPr="00741B56">
        <w:rPr>
          <w:lang w:val="fr-FR"/>
        </w:rPr>
        <w:t xml:space="preserve"> nous souscrivons aux motifs du juge </w:t>
      </w:r>
      <w:proofErr w:type="spellStart"/>
      <w:r w:rsidRPr="00741B56">
        <w:rPr>
          <w:lang w:val="fr-FR"/>
        </w:rPr>
        <w:t>Laskin</w:t>
      </w:r>
      <w:proofErr w:type="spellEnd"/>
      <w:r w:rsidRPr="00741B56">
        <w:rPr>
          <w:lang w:val="fr-FR"/>
        </w:rPr>
        <w:t xml:space="preserve"> à cet égard. </w:t>
      </w:r>
    </w:p>
    <w:p w:rsidR="00964B40" w:rsidRPr="00741B56" w:rsidRDefault="00964B40" w:rsidP="00964B40">
      <w:pPr>
        <w:pStyle w:val="ParaNoNdepar-AltN"/>
        <w:rPr>
          <w:lang w:val="fr-FR"/>
        </w:rPr>
      </w:pPr>
      <w:r w:rsidRPr="00741B56">
        <w:rPr>
          <w:lang w:val="fr-FR"/>
        </w:rPr>
        <w:t>En conséquence, nous sommes d’avis de rejeter le pourvoi avec dépens.</w:t>
      </w:r>
    </w:p>
    <w:p w:rsidR="0033393C" w:rsidRPr="00741B56" w:rsidRDefault="00B10C49" w:rsidP="00DE3538">
      <w:pPr>
        <w:pStyle w:val="SCCNormalDoubleSpacing"/>
        <w:spacing w:after="480"/>
      </w:pPr>
      <w:r w:rsidRPr="00741B56">
        <w:tab/>
      </w:r>
      <w:r w:rsidRPr="00741B56">
        <w:rPr>
          <w:i/>
        </w:rPr>
        <w:t xml:space="preserve">Pourvoi </w:t>
      </w:r>
      <w:r w:rsidR="00587F57" w:rsidRPr="00741B56">
        <w:rPr>
          <w:i/>
        </w:rPr>
        <w:t>rejeté</w:t>
      </w:r>
      <w:r w:rsidR="00D01368" w:rsidRPr="00741B56">
        <w:rPr>
          <w:i/>
        </w:rPr>
        <w:t xml:space="preserve"> avec dépens</w:t>
      </w:r>
      <w:r w:rsidRPr="00741B56">
        <w:rPr>
          <w:i/>
        </w:rPr>
        <w:t>.</w:t>
      </w:r>
    </w:p>
    <w:p w:rsidR="00B10C49" w:rsidRPr="00741B56" w:rsidRDefault="00B10C49" w:rsidP="00DE3538">
      <w:pPr>
        <w:pStyle w:val="SCCLawFirm"/>
        <w:spacing w:after="480"/>
      </w:pPr>
      <w:r w:rsidRPr="00741B56">
        <w:tab/>
        <w:t>Procureurs des appelantes</w:t>
      </w:r>
      <w:r w:rsidR="00DE3538" w:rsidRPr="00741B56">
        <w:t> : </w:t>
      </w:r>
      <w:r w:rsidRPr="00741B56">
        <w:t xml:space="preserve">Fraser Milner </w:t>
      </w:r>
      <w:proofErr w:type="spellStart"/>
      <w:r w:rsidRPr="00741B56">
        <w:t>Casgrain</w:t>
      </w:r>
      <w:proofErr w:type="spellEnd"/>
      <w:r w:rsidRPr="00741B56">
        <w:t>, Ottawa.</w:t>
      </w:r>
    </w:p>
    <w:p w:rsidR="00B10C49" w:rsidRPr="00741B56" w:rsidRDefault="00B10C49" w:rsidP="00DE3538">
      <w:pPr>
        <w:pStyle w:val="SCCLawFirm"/>
        <w:spacing w:after="480"/>
      </w:pPr>
      <w:r w:rsidRPr="00741B56">
        <w:tab/>
        <w:t>Procureurs des intimés Canadian American Association of Professional Baseball Ltd. et autres</w:t>
      </w:r>
      <w:r w:rsidR="00DE3538" w:rsidRPr="00741B56">
        <w:t> : </w:t>
      </w:r>
      <w:r w:rsidRPr="00741B56">
        <w:t>Kelly Santini, Ottawa.</w:t>
      </w:r>
    </w:p>
    <w:p w:rsidR="00B10C49" w:rsidRPr="00741B56" w:rsidRDefault="00B10C49" w:rsidP="00DE3538">
      <w:pPr>
        <w:pStyle w:val="SCCLawFirm"/>
        <w:spacing w:after="480"/>
      </w:pPr>
      <w:r w:rsidRPr="00741B56">
        <w:tab/>
        <w:t>Procureurs de l’intimée la Ville d’Ottawa</w:t>
      </w:r>
      <w:r w:rsidR="00DE3538" w:rsidRPr="00741B56">
        <w:t> : </w:t>
      </w:r>
      <w:r w:rsidRPr="00741B56">
        <w:t>Heenan Blaikie, Ottawa.</w:t>
      </w:r>
    </w:p>
    <w:p w:rsidR="008322BD" w:rsidRPr="00741B56" w:rsidRDefault="00B10C49" w:rsidP="007F7684">
      <w:pPr>
        <w:pStyle w:val="SCCLawFirm"/>
      </w:pPr>
      <w:r w:rsidRPr="00741B56">
        <w:tab/>
        <w:t>Procureurs de l’intimé Miles Wolff</w:t>
      </w:r>
      <w:r w:rsidR="00DE3538" w:rsidRPr="00741B56">
        <w:t> : </w:t>
      </w:r>
      <w:r w:rsidRPr="00741B56">
        <w:t xml:space="preserve">Hamilton, </w:t>
      </w:r>
      <w:proofErr w:type="spellStart"/>
      <w:r w:rsidRPr="00741B56">
        <w:t>Appotive</w:t>
      </w:r>
      <w:proofErr w:type="spellEnd"/>
      <w:r w:rsidRPr="00741B56">
        <w:t>, Ottawa.</w:t>
      </w:r>
    </w:p>
    <w:sectPr w:rsidR="008322BD" w:rsidRPr="00741B56" w:rsidSect="00741B56">
      <w:headerReference w:type="even" r:id="rId9"/>
      <w:headerReference w:type="default" r:id="rId10"/>
      <w:footerReference w:type="even" r:id="rId11"/>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F57" w:rsidRDefault="00587F57">
      <w:r>
        <w:separator/>
      </w:r>
    </w:p>
  </w:endnote>
  <w:endnote w:type="continuationSeparator" w:id="0">
    <w:p w:rsidR="00587F57" w:rsidRDefault="00587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57" w:rsidRDefault="00587F57">
    <w:pPr>
      <w:tabs>
        <w:tab w:val="left" w:pos="-1440"/>
        <w:tab w:val="left" w:pos="-720"/>
        <w:tab w:val="left" w:pos="0"/>
        <w:tab w:val="left" w:pos="1152"/>
        <w:tab w:val="left" w:pos="1570"/>
        <w:tab w:val="left" w:pos="1843"/>
        <w:tab w:val="left" w:pos="2261"/>
        <w:tab w:val="left" w:pos="64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F57" w:rsidRDefault="00587F57">
      <w:r>
        <w:separator/>
      </w:r>
    </w:p>
  </w:footnote>
  <w:footnote w:type="continuationSeparator" w:id="0">
    <w:p w:rsidR="00587F57" w:rsidRDefault="00587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57" w:rsidRDefault="00587F57">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57" w:rsidRDefault="00587F57">
    <w:pPr>
      <w:pStyle w:val="Header"/>
      <w:jc w:val="center"/>
    </w:pPr>
    <w:r>
      <w:t xml:space="preserve">- </w:t>
    </w:r>
    <w:sdt>
      <w:sdtPr>
        <w:id w:val="4489881"/>
        <w:docPartObj>
          <w:docPartGallery w:val="Page Numbers (Top of Page)"/>
          <w:docPartUnique/>
        </w:docPartObj>
      </w:sdtPr>
      <w:sdtContent>
        <w:fldSimple w:instr=" PAGE   \* MERGEFORMAT ">
          <w:r w:rsidR="00476C52">
            <w:rPr>
              <w:noProof/>
            </w:rPr>
            <w:t>2</w:t>
          </w:r>
        </w:fldSimple>
        <w:r>
          <w:t xml:space="preserve"> -</w:t>
        </w:r>
      </w:sdtContent>
    </w:sdt>
  </w:p>
  <w:p w:rsidR="00587F57" w:rsidRDefault="00587F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endnote w:id="-1"/>
    <w:endnote w:id="0"/>
  </w:endnotePr>
  <w:compat/>
  <w:rsids>
    <w:rsidRoot w:val="0031414C"/>
    <w:rsid w:val="00014323"/>
    <w:rsid w:val="00025198"/>
    <w:rsid w:val="000423AE"/>
    <w:rsid w:val="00055A36"/>
    <w:rsid w:val="000578A3"/>
    <w:rsid w:val="00064563"/>
    <w:rsid w:val="000648CC"/>
    <w:rsid w:val="00070C55"/>
    <w:rsid w:val="00094DE0"/>
    <w:rsid w:val="000A5321"/>
    <w:rsid w:val="000C59B8"/>
    <w:rsid w:val="00111DE2"/>
    <w:rsid w:val="0011384A"/>
    <w:rsid w:val="00116B38"/>
    <w:rsid w:val="0013109F"/>
    <w:rsid w:val="00135406"/>
    <w:rsid w:val="00135972"/>
    <w:rsid w:val="00140667"/>
    <w:rsid w:val="001426A9"/>
    <w:rsid w:val="001517C7"/>
    <w:rsid w:val="00154D7C"/>
    <w:rsid w:val="001570B0"/>
    <w:rsid w:val="00172A04"/>
    <w:rsid w:val="00175A97"/>
    <w:rsid w:val="00185394"/>
    <w:rsid w:val="00194186"/>
    <w:rsid w:val="001A451D"/>
    <w:rsid w:val="001B33E0"/>
    <w:rsid w:val="001B4573"/>
    <w:rsid w:val="001C779F"/>
    <w:rsid w:val="001D20A0"/>
    <w:rsid w:val="001D2AC1"/>
    <w:rsid w:val="001D7070"/>
    <w:rsid w:val="001F7673"/>
    <w:rsid w:val="00211607"/>
    <w:rsid w:val="00220FC2"/>
    <w:rsid w:val="00224FC0"/>
    <w:rsid w:val="00225EA4"/>
    <w:rsid w:val="00226EAF"/>
    <w:rsid w:val="00230FF8"/>
    <w:rsid w:val="00231F3A"/>
    <w:rsid w:val="002406EE"/>
    <w:rsid w:val="002745CC"/>
    <w:rsid w:val="00292B72"/>
    <w:rsid w:val="002A0304"/>
    <w:rsid w:val="002D39A4"/>
    <w:rsid w:val="002E6705"/>
    <w:rsid w:val="002F696C"/>
    <w:rsid w:val="0030329A"/>
    <w:rsid w:val="003042BF"/>
    <w:rsid w:val="00307AFD"/>
    <w:rsid w:val="0031086F"/>
    <w:rsid w:val="00310E05"/>
    <w:rsid w:val="0031414C"/>
    <w:rsid w:val="00314E01"/>
    <w:rsid w:val="0032089D"/>
    <w:rsid w:val="0033393C"/>
    <w:rsid w:val="0034770C"/>
    <w:rsid w:val="0035259D"/>
    <w:rsid w:val="00367A13"/>
    <w:rsid w:val="00385145"/>
    <w:rsid w:val="003866EC"/>
    <w:rsid w:val="0039180D"/>
    <w:rsid w:val="00394476"/>
    <w:rsid w:val="003A4C70"/>
    <w:rsid w:val="003A4E15"/>
    <w:rsid w:val="003B7F37"/>
    <w:rsid w:val="003C799C"/>
    <w:rsid w:val="003E1C71"/>
    <w:rsid w:val="003F2DED"/>
    <w:rsid w:val="003F327B"/>
    <w:rsid w:val="004059A7"/>
    <w:rsid w:val="00406166"/>
    <w:rsid w:val="00411300"/>
    <w:rsid w:val="00414A99"/>
    <w:rsid w:val="00426659"/>
    <w:rsid w:val="004300C9"/>
    <w:rsid w:val="0043088E"/>
    <w:rsid w:val="004406AE"/>
    <w:rsid w:val="004439D8"/>
    <w:rsid w:val="004544E4"/>
    <w:rsid w:val="00455C8B"/>
    <w:rsid w:val="00465132"/>
    <w:rsid w:val="00476C52"/>
    <w:rsid w:val="00480C90"/>
    <w:rsid w:val="0048396F"/>
    <w:rsid w:val="00493C18"/>
    <w:rsid w:val="00494CDC"/>
    <w:rsid w:val="004A600C"/>
    <w:rsid w:val="004C478D"/>
    <w:rsid w:val="004E6A2C"/>
    <w:rsid w:val="00501ABA"/>
    <w:rsid w:val="00521AE8"/>
    <w:rsid w:val="00527180"/>
    <w:rsid w:val="00536719"/>
    <w:rsid w:val="00555135"/>
    <w:rsid w:val="005564A7"/>
    <w:rsid w:val="0056696C"/>
    <w:rsid w:val="00582B1B"/>
    <w:rsid w:val="00583371"/>
    <w:rsid w:val="00587F57"/>
    <w:rsid w:val="005A74E6"/>
    <w:rsid w:val="005B5375"/>
    <w:rsid w:val="005D301E"/>
    <w:rsid w:val="005E4698"/>
    <w:rsid w:val="005E63BB"/>
    <w:rsid w:val="00606336"/>
    <w:rsid w:val="00625C35"/>
    <w:rsid w:val="00634047"/>
    <w:rsid w:val="00634E1B"/>
    <w:rsid w:val="00645057"/>
    <w:rsid w:val="00654858"/>
    <w:rsid w:val="006565F4"/>
    <w:rsid w:val="00681AD1"/>
    <w:rsid w:val="006A56F1"/>
    <w:rsid w:val="006B0B9E"/>
    <w:rsid w:val="006B5FF5"/>
    <w:rsid w:val="006C5661"/>
    <w:rsid w:val="006D4790"/>
    <w:rsid w:val="00701759"/>
    <w:rsid w:val="00702C6F"/>
    <w:rsid w:val="0071639B"/>
    <w:rsid w:val="00741B56"/>
    <w:rsid w:val="00747288"/>
    <w:rsid w:val="00747DD3"/>
    <w:rsid w:val="00752F4E"/>
    <w:rsid w:val="007549C8"/>
    <w:rsid w:val="00762D30"/>
    <w:rsid w:val="00763377"/>
    <w:rsid w:val="00766D14"/>
    <w:rsid w:val="00767A0F"/>
    <w:rsid w:val="00774117"/>
    <w:rsid w:val="00774233"/>
    <w:rsid w:val="007761BB"/>
    <w:rsid w:val="007834A8"/>
    <w:rsid w:val="007A05F6"/>
    <w:rsid w:val="007B6F4A"/>
    <w:rsid w:val="007E1C47"/>
    <w:rsid w:val="007E337A"/>
    <w:rsid w:val="007E5C70"/>
    <w:rsid w:val="007F2FF5"/>
    <w:rsid w:val="007F7684"/>
    <w:rsid w:val="00817190"/>
    <w:rsid w:val="008322BD"/>
    <w:rsid w:val="00844FED"/>
    <w:rsid w:val="00855307"/>
    <w:rsid w:val="00862CF3"/>
    <w:rsid w:val="00864CF8"/>
    <w:rsid w:val="00874914"/>
    <w:rsid w:val="00892E1A"/>
    <w:rsid w:val="008951F8"/>
    <w:rsid w:val="008958F5"/>
    <w:rsid w:val="008A4A27"/>
    <w:rsid w:val="008A6558"/>
    <w:rsid w:val="008A727C"/>
    <w:rsid w:val="008C01DA"/>
    <w:rsid w:val="008E6851"/>
    <w:rsid w:val="008F16D9"/>
    <w:rsid w:val="008F78E9"/>
    <w:rsid w:val="00902462"/>
    <w:rsid w:val="009403F3"/>
    <w:rsid w:val="00957FA2"/>
    <w:rsid w:val="00964B40"/>
    <w:rsid w:val="00966913"/>
    <w:rsid w:val="00967374"/>
    <w:rsid w:val="0097543E"/>
    <w:rsid w:val="00975C68"/>
    <w:rsid w:val="00983885"/>
    <w:rsid w:val="00983F3F"/>
    <w:rsid w:val="00985309"/>
    <w:rsid w:val="00985C69"/>
    <w:rsid w:val="0099079B"/>
    <w:rsid w:val="009B2F23"/>
    <w:rsid w:val="009B53E2"/>
    <w:rsid w:val="009B57B3"/>
    <w:rsid w:val="009D4A70"/>
    <w:rsid w:val="009D5AEB"/>
    <w:rsid w:val="009E4D36"/>
    <w:rsid w:val="009F383F"/>
    <w:rsid w:val="00A05F0E"/>
    <w:rsid w:val="00A21107"/>
    <w:rsid w:val="00A21B90"/>
    <w:rsid w:val="00A24E15"/>
    <w:rsid w:val="00A548CB"/>
    <w:rsid w:val="00A6242E"/>
    <w:rsid w:val="00A643E7"/>
    <w:rsid w:val="00A73C38"/>
    <w:rsid w:val="00AC6322"/>
    <w:rsid w:val="00AC7437"/>
    <w:rsid w:val="00AC7A44"/>
    <w:rsid w:val="00AD3792"/>
    <w:rsid w:val="00AE0A2A"/>
    <w:rsid w:val="00AF03C5"/>
    <w:rsid w:val="00B000D8"/>
    <w:rsid w:val="00B00F75"/>
    <w:rsid w:val="00B10C49"/>
    <w:rsid w:val="00B145B6"/>
    <w:rsid w:val="00B50C81"/>
    <w:rsid w:val="00B557F8"/>
    <w:rsid w:val="00B64972"/>
    <w:rsid w:val="00B66DD8"/>
    <w:rsid w:val="00B8145D"/>
    <w:rsid w:val="00B815FC"/>
    <w:rsid w:val="00B93FBC"/>
    <w:rsid w:val="00BA7761"/>
    <w:rsid w:val="00BC0D07"/>
    <w:rsid w:val="00BD25A0"/>
    <w:rsid w:val="00C02092"/>
    <w:rsid w:val="00C057F7"/>
    <w:rsid w:val="00C0663B"/>
    <w:rsid w:val="00C24C8C"/>
    <w:rsid w:val="00C24D91"/>
    <w:rsid w:val="00C400AC"/>
    <w:rsid w:val="00C43842"/>
    <w:rsid w:val="00C52532"/>
    <w:rsid w:val="00C53F14"/>
    <w:rsid w:val="00C55C2E"/>
    <w:rsid w:val="00C600CF"/>
    <w:rsid w:val="00C6084F"/>
    <w:rsid w:val="00C62A66"/>
    <w:rsid w:val="00C62A6F"/>
    <w:rsid w:val="00C66527"/>
    <w:rsid w:val="00C67CA5"/>
    <w:rsid w:val="00C71458"/>
    <w:rsid w:val="00C71F58"/>
    <w:rsid w:val="00C77613"/>
    <w:rsid w:val="00C828E7"/>
    <w:rsid w:val="00C921DD"/>
    <w:rsid w:val="00CA4D82"/>
    <w:rsid w:val="00CA6391"/>
    <w:rsid w:val="00CE3171"/>
    <w:rsid w:val="00CF1420"/>
    <w:rsid w:val="00CF1601"/>
    <w:rsid w:val="00D01368"/>
    <w:rsid w:val="00D312B2"/>
    <w:rsid w:val="00D32086"/>
    <w:rsid w:val="00D37A3F"/>
    <w:rsid w:val="00D45FCF"/>
    <w:rsid w:val="00D4667A"/>
    <w:rsid w:val="00D510BB"/>
    <w:rsid w:val="00D5435D"/>
    <w:rsid w:val="00D67422"/>
    <w:rsid w:val="00D74F2E"/>
    <w:rsid w:val="00DA0590"/>
    <w:rsid w:val="00DB61B2"/>
    <w:rsid w:val="00DC1788"/>
    <w:rsid w:val="00DE3538"/>
    <w:rsid w:val="00DF0CA8"/>
    <w:rsid w:val="00DF49A7"/>
    <w:rsid w:val="00E01106"/>
    <w:rsid w:val="00E07EE2"/>
    <w:rsid w:val="00E1373D"/>
    <w:rsid w:val="00E24573"/>
    <w:rsid w:val="00E37554"/>
    <w:rsid w:val="00E377A1"/>
    <w:rsid w:val="00E45109"/>
    <w:rsid w:val="00E54B02"/>
    <w:rsid w:val="00E65CD3"/>
    <w:rsid w:val="00E97830"/>
    <w:rsid w:val="00EA03E5"/>
    <w:rsid w:val="00EE0FAF"/>
    <w:rsid w:val="00EE4130"/>
    <w:rsid w:val="00F00EB7"/>
    <w:rsid w:val="00F20286"/>
    <w:rsid w:val="00F20D4F"/>
    <w:rsid w:val="00F21941"/>
    <w:rsid w:val="00F2258E"/>
    <w:rsid w:val="00F33658"/>
    <w:rsid w:val="00F36AB6"/>
    <w:rsid w:val="00F40730"/>
    <w:rsid w:val="00F409CE"/>
    <w:rsid w:val="00F84DF4"/>
    <w:rsid w:val="00F853FB"/>
    <w:rsid w:val="00F85C97"/>
    <w:rsid w:val="00FA2FE1"/>
    <w:rsid w:val="00FC606D"/>
    <w:rsid w:val="00FD068D"/>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table" w:styleId="TableGrid">
    <w:name w:val="Table Grid"/>
    <w:basedOn w:val="TableNormal"/>
    <w:uiPriority w:val="59"/>
    <w:rsid w:val="00964B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uiPriority w:val="3"/>
    <w:rsid w:val="00964B40"/>
    <w:pPr>
      <w:tabs>
        <w:tab w:val="left" w:pos="1166"/>
      </w:tabs>
      <w:spacing w:after="480" w:line="480" w:lineRule="auto"/>
    </w:pPr>
    <w:rPr>
      <w:smallCaps/>
      <w:sz w:val="24"/>
    </w:rPr>
  </w:style>
  <w:style w:type="paragraph" w:customStyle="1" w:styleId="ParaNoNdepar-AltN">
    <w:name w:val="Para. No. / Nº de par. - Alt N"/>
    <w:qFormat/>
    <w:rsid w:val="00964B40"/>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1482</Words>
  <Characters>7814</Characters>
  <Application>Microsoft Office Word</Application>
  <DocSecurity>0</DocSecurity>
  <Lines>65</Lines>
  <Paragraphs>18</Paragraphs>
  <ScaleCrop>false</ScaleCrop>
  <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2012-04-04T17:55:00Z</dcterms:created>
  <dcterms:modified xsi:type="dcterms:W3CDTF">2012-09-13T18:43:00Z</dcterms:modified>
</cp:coreProperties>
</file>