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A0" w:rsidRPr="00A62789" w:rsidRDefault="004E21A0" w:rsidP="004E21A0">
      <w:pPr>
        <w:tabs>
          <w:tab w:val="center" w:pos="4680"/>
          <w:tab w:val="right" w:pos="9360"/>
        </w:tabs>
        <w:jc w:val="center"/>
        <w:rPr>
          <w:rFonts w:eastAsiaTheme="minorHAnsi" w:cstheme="minorBidi"/>
          <w:szCs w:val="24"/>
          <w:lang w:eastAsia="en-US"/>
        </w:rPr>
      </w:pPr>
      <w:r w:rsidRPr="00A6278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80609600" r:id="rId8"/>
        </w:object>
      </w:r>
    </w:p>
    <w:p w:rsidR="004E21A0" w:rsidRPr="00A62789" w:rsidRDefault="004E21A0" w:rsidP="004E21A0">
      <w:pPr>
        <w:tabs>
          <w:tab w:val="center" w:pos="4680"/>
          <w:tab w:val="right" w:pos="9360"/>
        </w:tabs>
        <w:rPr>
          <w:rFonts w:eastAsiaTheme="minorHAnsi" w:cstheme="minorBidi"/>
          <w:szCs w:val="24"/>
          <w:lang w:eastAsia="en-US"/>
        </w:rPr>
      </w:pPr>
    </w:p>
    <w:p w:rsidR="004E21A0" w:rsidRPr="00A62789" w:rsidRDefault="004E21A0" w:rsidP="004E21A0">
      <w:pPr>
        <w:jc w:val="center"/>
        <w:rPr>
          <w:rFonts w:eastAsiaTheme="minorHAnsi" w:cstheme="minorBidi"/>
          <w:b/>
          <w:szCs w:val="24"/>
          <w:lang w:eastAsia="en-US"/>
        </w:rPr>
      </w:pPr>
      <w:r w:rsidRPr="00A62789">
        <w:rPr>
          <w:rFonts w:eastAsiaTheme="minorHAnsi" w:cstheme="minorBidi"/>
          <w:b/>
          <w:szCs w:val="24"/>
          <w:lang w:eastAsia="en-US"/>
        </w:rPr>
        <w:t>COUR SUPRÊME DU CANADA</w:t>
      </w:r>
    </w:p>
    <w:p w:rsidR="004E21A0" w:rsidRPr="00A62789" w:rsidRDefault="004E21A0" w:rsidP="004E21A0">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E21A0" w:rsidRPr="00A62789" w:rsidTr="00FE433E">
        <w:trPr>
          <w:cantSplit/>
        </w:trPr>
        <w:tc>
          <w:tcPr>
            <w:tcW w:w="6768" w:type="dxa"/>
          </w:tcPr>
          <w:p w:rsidR="004E21A0" w:rsidRPr="00A62789" w:rsidRDefault="004E21A0" w:rsidP="00FE433E">
            <w:r w:rsidRPr="00A62789">
              <w:rPr>
                <w:b/>
                <w:smallCaps/>
              </w:rPr>
              <w:t>Référence :</w:t>
            </w:r>
            <w:r w:rsidRPr="00A62789">
              <w:t xml:space="preserve"> R. </w:t>
            </w:r>
            <w:r w:rsidRPr="00A62789">
              <w:rPr>
                <w:i/>
              </w:rPr>
              <w:t>c.</w:t>
            </w:r>
            <w:r w:rsidRPr="00A62789">
              <w:t xml:space="preserve"> E.M.W., 2011 CSC 31</w:t>
            </w:r>
            <w:r>
              <w:rPr>
                <w:rStyle w:val="SCCRespondentForRunningHeadChar"/>
                <w:szCs w:val="24"/>
              </w:rPr>
              <w:t>, [2011] 2 R.C.S. 542</w:t>
            </w:r>
          </w:p>
        </w:tc>
        <w:tc>
          <w:tcPr>
            <w:tcW w:w="2808" w:type="dxa"/>
          </w:tcPr>
          <w:p w:rsidR="004E21A0" w:rsidRPr="00A62789" w:rsidRDefault="004E21A0" w:rsidP="00FE433E">
            <w:r w:rsidRPr="00A62789">
              <w:rPr>
                <w:b/>
                <w:smallCaps/>
              </w:rPr>
              <w:t>Date :</w:t>
            </w:r>
            <w:r w:rsidRPr="00A62789">
              <w:t xml:space="preserve"> 20110617</w:t>
            </w:r>
          </w:p>
          <w:p w:rsidR="004E21A0" w:rsidRPr="00A62789" w:rsidRDefault="004E21A0" w:rsidP="00FE433E">
            <w:r w:rsidRPr="00A62789">
              <w:rPr>
                <w:b/>
                <w:smallCaps/>
              </w:rPr>
              <w:t>Dossier :</w:t>
            </w:r>
            <w:r w:rsidRPr="00A62789">
              <w:t xml:space="preserve"> 33930</w:t>
            </w:r>
          </w:p>
        </w:tc>
      </w:tr>
    </w:tbl>
    <w:p w:rsidR="004E21A0" w:rsidRPr="00A62789" w:rsidRDefault="004E21A0" w:rsidP="004E21A0">
      <w:pPr>
        <w:rPr>
          <w:rFonts w:eastAsiaTheme="minorHAnsi" w:cstheme="minorBidi"/>
          <w:szCs w:val="24"/>
          <w:lang w:eastAsia="en-US"/>
        </w:rPr>
      </w:pPr>
    </w:p>
    <w:p w:rsidR="004E21A0" w:rsidRPr="00A62789" w:rsidRDefault="004E21A0" w:rsidP="004E21A0">
      <w:pPr>
        <w:rPr>
          <w:rFonts w:eastAsiaTheme="minorHAnsi" w:cstheme="minorBidi"/>
          <w:b/>
          <w:smallCaps/>
          <w:szCs w:val="24"/>
          <w:lang w:eastAsia="en-US"/>
        </w:rPr>
      </w:pPr>
      <w:r w:rsidRPr="00A62789">
        <w:rPr>
          <w:rFonts w:eastAsiaTheme="minorHAnsi" w:cstheme="minorBidi"/>
          <w:b/>
          <w:smallCaps/>
          <w:szCs w:val="24"/>
          <w:lang w:eastAsia="en-US"/>
        </w:rPr>
        <w:t>Entre :</w:t>
      </w:r>
    </w:p>
    <w:p w:rsidR="004E21A0" w:rsidRPr="00A62789" w:rsidRDefault="004E21A0" w:rsidP="004E21A0">
      <w:pPr>
        <w:jc w:val="center"/>
        <w:rPr>
          <w:rFonts w:eastAsiaTheme="minorHAnsi" w:cstheme="minorBidi"/>
          <w:b/>
          <w:szCs w:val="24"/>
          <w:lang w:eastAsia="en-US"/>
        </w:rPr>
      </w:pPr>
      <w:r w:rsidRPr="00A62789">
        <w:rPr>
          <w:rFonts w:eastAsiaTheme="minorHAnsi" w:cstheme="minorBidi"/>
          <w:b/>
          <w:szCs w:val="24"/>
          <w:lang w:eastAsia="en-US"/>
        </w:rPr>
        <w:t>Sa Majesté la Reine</w:t>
      </w:r>
    </w:p>
    <w:p w:rsidR="004E21A0" w:rsidRPr="00A62789" w:rsidRDefault="004E21A0" w:rsidP="004E21A0">
      <w:pPr>
        <w:jc w:val="center"/>
        <w:rPr>
          <w:rFonts w:eastAsiaTheme="minorHAnsi" w:cstheme="minorBidi"/>
          <w:szCs w:val="24"/>
          <w:lang w:eastAsia="en-US"/>
        </w:rPr>
      </w:pPr>
      <w:r w:rsidRPr="00A62789">
        <w:rPr>
          <w:rFonts w:eastAsiaTheme="minorHAnsi" w:cstheme="minorBidi"/>
          <w:szCs w:val="24"/>
          <w:lang w:eastAsia="en-US"/>
        </w:rPr>
        <w:t>Appelante</w:t>
      </w:r>
    </w:p>
    <w:p w:rsidR="004E21A0" w:rsidRPr="00A62789" w:rsidRDefault="004E21A0" w:rsidP="004E21A0">
      <w:pPr>
        <w:jc w:val="center"/>
        <w:rPr>
          <w:rFonts w:eastAsiaTheme="minorHAnsi" w:cstheme="minorBidi"/>
          <w:szCs w:val="24"/>
          <w:lang w:eastAsia="en-US"/>
        </w:rPr>
      </w:pPr>
      <w:proofErr w:type="gramStart"/>
      <w:r w:rsidRPr="00A62789">
        <w:rPr>
          <w:rFonts w:eastAsiaTheme="minorHAnsi" w:cstheme="minorBidi"/>
          <w:szCs w:val="24"/>
          <w:lang w:eastAsia="en-US"/>
        </w:rPr>
        <w:t>et</w:t>
      </w:r>
      <w:proofErr w:type="gramEnd"/>
    </w:p>
    <w:p w:rsidR="004E21A0" w:rsidRPr="00A62789" w:rsidRDefault="004E21A0" w:rsidP="004E21A0">
      <w:pPr>
        <w:jc w:val="center"/>
        <w:rPr>
          <w:rFonts w:eastAsiaTheme="minorHAnsi" w:cstheme="minorBidi"/>
          <w:b/>
          <w:szCs w:val="24"/>
          <w:lang w:eastAsia="en-US"/>
        </w:rPr>
      </w:pPr>
      <w:r w:rsidRPr="00A62789">
        <w:rPr>
          <w:rFonts w:eastAsiaTheme="minorHAnsi" w:cstheme="minorBidi"/>
          <w:b/>
          <w:szCs w:val="24"/>
          <w:lang w:eastAsia="en-US"/>
        </w:rPr>
        <w:t>E.M.W.</w:t>
      </w:r>
    </w:p>
    <w:p w:rsidR="004E21A0" w:rsidRPr="00A62789" w:rsidRDefault="004E21A0" w:rsidP="004E21A0">
      <w:pPr>
        <w:jc w:val="center"/>
        <w:rPr>
          <w:rFonts w:eastAsiaTheme="minorHAnsi" w:cstheme="minorBidi"/>
          <w:szCs w:val="24"/>
          <w:lang w:eastAsia="en-US"/>
        </w:rPr>
      </w:pPr>
      <w:r w:rsidRPr="00A62789">
        <w:rPr>
          <w:rFonts w:eastAsiaTheme="minorHAnsi" w:cstheme="minorBidi"/>
          <w:szCs w:val="24"/>
          <w:lang w:eastAsia="en-US"/>
        </w:rPr>
        <w:t>Intimé</w:t>
      </w:r>
    </w:p>
    <w:p w:rsidR="004E21A0" w:rsidRPr="00A62789" w:rsidRDefault="004E21A0" w:rsidP="004E21A0">
      <w:pPr>
        <w:rPr>
          <w:rFonts w:eastAsiaTheme="minorHAnsi" w:cstheme="minorBidi"/>
          <w:szCs w:val="24"/>
          <w:lang w:eastAsia="en-US"/>
        </w:rPr>
      </w:pPr>
    </w:p>
    <w:p w:rsidR="004E21A0" w:rsidRPr="00A62789" w:rsidRDefault="004E21A0" w:rsidP="004E21A0">
      <w:pPr>
        <w:rPr>
          <w:rFonts w:eastAsiaTheme="minorHAnsi" w:cstheme="minorBidi"/>
          <w:szCs w:val="24"/>
          <w:lang w:eastAsia="en-US"/>
        </w:rPr>
      </w:pPr>
    </w:p>
    <w:p w:rsidR="004E21A0" w:rsidRPr="00A62789" w:rsidRDefault="004E21A0" w:rsidP="004E21A0">
      <w:pPr>
        <w:jc w:val="center"/>
        <w:rPr>
          <w:rFonts w:eastAsiaTheme="minorHAnsi" w:cstheme="minorBidi"/>
          <w:b/>
          <w:smallCaps/>
          <w:szCs w:val="24"/>
          <w:lang w:eastAsia="en-US"/>
        </w:rPr>
      </w:pPr>
      <w:r w:rsidRPr="00A62789">
        <w:rPr>
          <w:rFonts w:eastAsiaTheme="minorHAnsi" w:cstheme="minorBidi"/>
          <w:b/>
          <w:smallCaps/>
          <w:szCs w:val="24"/>
          <w:lang w:eastAsia="en-US"/>
        </w:rPr>
        <w:t>Traduction française officielle</w:t>
      </w:r>
    </w:p>
    <w:p w:rsidR="004E21A0" w:rsidRPr="00A62789" w:rsidRDefault="004E21A0" w:rsidP="004E21A0">
      <w:pPr>
        <w:rPr>
          <w:rFonts w:eastAsiaTheme="minorHAnsi" w:cstheme="minorBidi"/>
          <w:szCs w:val="24"/>
          <w:lang w:eastAsia="en-US"/>
        </w:rPr>
      </w:pPr>
    </w:p>
    <w:p w:rsidR="004E21A0" w:rsidRPr="00A62789" w:rsidRDefault="004E21A0" w:rsidP="004E21A0">
      <w:pPr>
        <w:rPr>
          <w:rFonts w:eastAsiaTheme="minorHAnsi" w:cstheme="minorBidi"/>
          <w:szCs w:val="24"/>
          <w:lang w:eastAsia="en-US"/>
        </w:rPr>
      </w:pPr>
      <w:r w:rsidRPr="00A62789">
        <w:rPr>
          <w:rFonts w:eastAsiaTheme="minorHAnsi" w:cstheme="minorBidi"/>
          <w:b/>
          <w:smallCaps/>
          <w:szCs w:val="24"/>
          <w:lang w:eastAsia="en-US"/>
        </w:rPr>
        <w:t>Coram :</w:t>
      </w:r>
      <w:r w:rsidRPr="00A62789">
        <w:rPr>
          <w:rFonts w:eastAsiaTheme="minorHAnsi" w:cstheme="minorBidi"/>
          <w:szCs w:val="24"/>
          <w:lang w:eastAsia="en-US"/>
        </w:rPr>
        <w:t xml:space="preserve"> La juge en chef </w:t>
      </w:r>
      <w:proofErr w:type="spellStart"/>
      <w:r w:rsidRPr="00A62789">
        <w:rPr>
          <w:rFonts w:eastAsiaTheme="minorHAnsi" w:cstheme="minorBidi"/>
          <w:szCs w:val="24"/>
          <w:lang w:eastAsia="en-US"/>
        </w:rPr>
        <w:t>McLachlin</w:t>
      </w:r>
      <w:proofErr w:type="spellEnd"/>
      <w:r w:rsidRPr="00A62789">
        <w:rPr>
          <w:rFonts w:eastAsiaTheme="minorHAnsi" w:cstheme="minorBidi"/>
          <w:szCs w:val="24"/>
          <w:lang w:eastAsia="en-US"/>
        </w:rPr>
        <w:t xml:space="preserve"> et les juges </w:t>
      </w:r>
      <w:proofErr w:type="spellStart"/>
      <w:r w:rsidRPr="00A62789">
        <w:rPr>
          <w:rFonts w:eastAsiaTheme="minorHAnsi" w:cstheme="minorBidi"/>
          <w:szCs w:val="24"/>
          <w:lang w:eastAsia="en-US"/>
        </w:rPr>
        <w:t>Binnie</w:t>
      </w:r>
      <w:proofErr w:type="spellEnd"/>
      <w:r w:rsidRPr="00A62789">
        <w:rPr>
          <w:rFonts w:eastAsiaTheme="minorHAnsi" w:cstheme="minorBidi"/>
          <w:szCs w:val="24"/>
          <w:lang w:eastAsia="en-US"/>
        </w:rPr>
        <w:t>, Deschamps, Fish, Abella, Charron et Cromwell</w:t>
      </w:r>
    </w:p>
    <w:p w:rsidR="004E21A0" w:rsidRPr="00A62789" w:rsidRDefault="004E21A0" w:rsidP="004E21A0">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E21A0" w:rsidRPr="00A62789" w:rsidTr="00FE433E">
        <w:trPr>
          <w:cantSplit/>
        </w:trPr>
        <w:tc>
          <w:tcPr>
            <w:tcW w:w="3618" w:type="dxa"/>
          </w:tcPr>
          <w:p w:rsidR="004E21A0" w:rsidRPr="00A62789" w:rsidRDefault="004E21A0" w:rsidP="00FE433E">
            <w:pPr>
              <w:rPr>
                <w:b/>
                <w:smallCaps/>
              </w:rPr>
            </w:pPr>
            <w:r w:rsidRPr="00A62789">
              <w:rPr>
                <w:b/>
                <w:smallCaps/>
              </w:rPr>
              <w:t>Motifs de jugement :</w:t>
            </w:r>
          </w:p>
          <w:p w:rsidR="004E21A0" w:rsidRPr="00A62789" w:rsidRDefault="004E21A0" w:rsidP="00FE433E">
            <w:r w:rsidRPr="00A62789">
              <w:t>(par. 1 à 11)</w:t>
            </w:r>
          </w:p>
          <w:p w:rsidR="004E21A0" w:rsidRPr="00A62789" w:rsidRDefault="004E21A0" w:rsidP="00FE433E"/>
          <w:p w:rsidR="004E21A0" w:rsidRPr="00A62789" w:rsidRDefault="004E21A0" w:rsidP="00FE433E">
            <w:pPr>
              <w:rPr>
                <w:b/>
                <w:smallCaps/>
              </w:rPr>
            </w:pPr>
            <w:r w:rsidRPr="00A62789">
              <w:rPr>
                <w:b/>
                <w:smallCaps/>
              </w:rPr>
              <w:t>Motifs dissidents :</w:t>
            </w:r>
          </w:p>
          <w:p w:rsidR="004E21A0" w:rsidRPr="00A62789" w:rsidRDefault="004E21A0" w:rsidP="00FE433E">
            <w:r w:rsidRPr="00A62789">
              <w:t>(par. 12 à 13)</w:t>
            </w:r>
          </w:p>
        </w:tc>
        <w:tc>
          <w:tcPr>
            <w:tcW w:w="5958" w:type="dxa"/>
          </w:tcPr>
          <w:p w:rsidR="004E21A0" w:rsidRPr="00A62789" w:rsidRDefault="004E21A0" w:rsidP="00FE433E">
            <w:r w:rsidRPr="00A62789">
              <w:t xml:space="preserve">La juge en chef </w:t>
            </w:r>
            <w:proofErr w:type="spellStart"/>
            <w:r w:rsidRPr="00A62789">
              <w:t>McLachlin</w:t>
            </w:r>
            <w:proofErr w:type="spellEnd"/>
            <w:r w:rsidRPr="00A62789">
              <w:t xml:space="preserve"> (avec l’accord des juges </w:t>
            </w:r>
            <w:proofErr w:type="spellStart"/>
            <w:r w:rsidRPr="00A62789">
              <w:t>Binnie</w:t>
            </w:r>
            <w:proofErr w:type="spellEnd"/>
            <w:r w:rsidRPr="00A62789">
              <w:t>, Deschamps, Abella, Charron et Cromwell)</w:t>
            </w:r>
          </w:p>
          <w:p w:rsidR="004E21A0" w:rsidRPr="00A62789" w:rsidRDefault="004E21A0" w:rsidP="00FE433E"/>
          <w:p w:rsidR="004E21A0" w:rsidRPr="00A62789" w:rsidRDefault="004E21A0" w:rsidP="00FE433E">
            <w:r w:rsidRPr="00A62789">
              <w:t>Le juge Fish</w:t>
            </w:r>
          </w:p>
        </w:tc>
      </w:tr>
    </w:tbl>
    <w:p w:rsidR="004E21A0" w:rsidRPr="00A62789" w:rsidRDefault="004E21A0" w:rsidP="004E21A0">
      <w:pPr>
        <w:rPr>
          <w:rFonts w:eastAsiaTheme="minorHAnsi" w:cstheme="minorBidi"/>
          <w:szCs w:val="24"/>
          <w:lang w:eastAsia="en-US"/>
        </w:rPr>
      </w:pPr>
    </w:p>
    <w:p w:rsidR="004E21A0" w:rsidRPr="00A62789" w:rsidRDefault="00564B39" w:rsidP="004E21A0">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E21A0" w:rsidRPr="00A62789" w:rsidRDefault="004E21A0" w:rsidP="004E21A0">
      <w:pPr>
        <w:rPr>
          <w:rStyle w:val="SCCAppellantForRunningHeadChar"/>
        </w:rPr>
      </w:pPr>
      <w:r w:rsidRPr="00A62789">
        <w:rPr>
          <w:rStyle w:val="SCCAppellantForRunningHeadChar"/>
        </w:rPr>
        <w:br w:type="page"/>
      </w:r>
    </w:p>
    <w:p w:rsidR="008322BD" w:rsidRPr="00214E04" w:rsidRDefault="006C18C2" w:rsidP="00F91BBB">
      <w:pPr>
        <w:spacing w:after="720"/>
        <w:jc w:val="both"/>
      </w:pPr>
      <w:r w:rsidRPr="006C18C2">
        <w:rPr>
          <w:rStyle w:val="SCCAppellantForIndexChar"/>
          <w:b w:val="0"/>
        </w:rPr>
        <w:lastRenderedPageBreak/>
        <w:t>R.</w:t>
      </w:r>
      <w:r w:rsidRPr="006C18C2">
        <w:t xml:space="preserve"> </w:t>
      </w:r>
      <w:r w:rsidRPr="006C18C2">
        <w:rPr>
          <w:i/>
        </w:rPr>
        <w:t>c.</w:t>
      </w:r>
      <w:r w:rsidRPr="006C18C2">
        <w:t xml:space="preserve"> </w:t>
      </w:r>
      <w:r w:rsidRPr="006C18C2">
        <w:rPr>
          <w:rStyle w:val="SCCRespondentForIndexChar"/>
          <w:b w:val="0"/>
        </w:rPr>
        <w:t>E.M.W.</w:t>
      </w:r>
      <w:r>
        <w:rPr>
          <w:rStyle w:val="SCCRespondentForRunningHeadChar"/>
        </w:rPr>
        <w:t xml:space="preserve">, </w:t>
      </w:r>
      <w:r>
        <w:rPr>
          <w:rStyle w:val="SCCRespondentForRunningHeadChar"/>
          <w:szCs w:val="24"/>
        </w:rPr>
        <w:t>2011 CSC 31, [2011] 2 R.C.S. 542</w:t>
      </w:r>
    </w:p>
    <w:p w:rsidR="001F6E11" w:rsidRDefault="00D27AF8" w:rsidP="00F91BBB">
      <w:pPr>
        <w:pStyle w:val="SCCLsocParty"/>
        <w:tabs>
          <w:tab w:val="right" w:pos="8280"/>
        </w:tabs>
        <w:spacing w:after="720"/>
        <w:rPr>
          <w:b w:val="0"/>
          <w:i/>
        </w:rPr>
      </w:pPr>
      <w:r w:rsidRPr="00214E04">
        <w:t>Sa Majesté la Reine</w:t>
      </w:r>
      <w:r w:rsidR="00F91BBB">
        <w:tab/>
      </w:r>
      <w:r w:rsidRPr="00F91BBB">
        <w:rPr>
          <w:b w:val="0"/>
          <w:i/>
        </w:rPr>
        <w:t>Appelante</w:t>
      </w:r>
    </w:p>
    <w:p w:rsidR="001F6E11" w:rsidRPr="00214E04" w:rsidRDefault="00D27AF8" w:rsidP="00F91BBB">
      <w:pPr>
        <w:pStyle w:val="SCCLsocVersus"/>
        <w:spacing w:after="720"/>
      </w:pPr>
      <w:proofErr w:type="gramStart"/>
      <w:r w:rsidRPr="00214E04">
        <w:t>c</w:t>
      </w:r>
      <w:proofErr w:type="gramEnd"/>
      <w:r w:rsidRPr="00214E04">
        <w:t>.</w:t>
      </w:r>
    </w:p>
    <w:p w:rsidR="001F6E11" w:rsidRPr="00F91BBB" w:rsidRDefault="00D27AF8" w:rsidP="00F91BBB">
      <w:pPr>
        <w:pStyle w:val="SCCLsocParty"/>
        <w:tabs>
          <w:tab w:val="right" w:pos="8280"/>
        </w:tabs>
        <w:spacing w:after="720"/>
        <w:rPr>
          <w:b w:val="0"/>
          <w:i/>
        </w:rPr>
      </w:pPr>
      <w:r w:rsidRPr="00214E04">
        <w:t>E.M.W.</w:t>
      </w:r>
      <w:r w:rsidR="00F91BBB">
        <w:tab/>
      </w:r>
      <w:r w:rsidRPr="00F91BBB">
        <w:rPr>
          <w:b w:val="0"/>
          <w:i/>
        </w:rPr>
        <w:t>Intimé</w:t>
      </w:r>
    </w:p>
    <w:p w:rsidR="00426659" w:rsidRPr="00214E04" w:rsidRDefault="0043088E" w:rsidP="00F91BBB">
      <w:pPr>
        <w:spacing w:after="720"/>
        <w:jc w:val="both"/>
        <w:rPr>
          <w:b/>
        </w:rPr>
      </w:pPr>
      <w:r w:rsidRPr="00214E04">
        <w:rPr>
          <w:b/>
        </w:rPr>
        <w:t>Répertorié</w:t>
      </w:r>
      <w:r w:rsidR="00F91BBB">
        <w:rPr>
          <w:b/>
        </w:rPr>
        <w:t> :</w:t>
      </w:r>
      <w:r w:rsidR="00C67CA5" w:rsidRPr="00214E04">
        <w:rPr>
          <w:b/>
        </w:rPr>
        <w:t> </w:t>
      </w:r>
      <w:r w:rsidRPr="00214E04">
        <w:rPr>
          <w:rStyle w:val="SCCAppellantForIndexChar"/>
        </w:rPr>
        <w:t>R.</w:t>
      </w:r>
      <w:r w:rsidR="00426659" w:rsidRPr="00214E04">
        <w:rPr>
          <w:b/>
        </w:rPr>
        <w:t xml:space="preserve"> </w:t>
      </w:r>
      <w:r w:rsidR="00645057" w:rsidRPr="00214E04">
        <w:rPr>
          <w:b/>
          <w:i/>
        </w:rPr>
        <w:t>c</w:t>
      </w:r>
      <w:r w:rsidR="00426659" w:rsidRPr="00214E04">
        <w:rPr>
          <w:b/>
          <w:i/>
        </w:rPr>
        <w:t>.</w:t>
      </w:r>
      <w:r w:rsidR="00426659" w:rsidRPr="00214E04">
        <w:rPr>
          <w:b/>
        </w:rPr>
        <w:t xml:space="preserve"> </w:t>
      </w:r>
      <w:r w:rsidRPr="00214E04">
        <w:rPr>
          <w:rStyle w:val="SCCRespondentForIndexChar"/>
        </w:rPr>
        <w:t>E.M.W.</w:t>
      </w:r>
    </w:p>
    <w:p w:rsidR="00426659" w:rsidRPr="00214E04" w:rsidRDefault="00C0663B" w:rsidP="00F91BBB">
      <w:pPr>
        <w:pStyle w:val="SCCSystemYear"/>
        <w:spacing w:after="720"/>
        <w:jc w:val="both"/>
      </w:pPr>
      <w:r w:rsidRPr="00214E04">
        <w:t>2011</w:t>
      </w:r>
      <w:r w:rsidR="00EE0FAF" w:rsidRPr="00214E04">
        <w:t xml:space="preserve"> </w:t>
      </w:r>
      <w:r w:rsidR="00C71F58" w:rsidRPr="00214E04">
        <w:t>C</w:t>
      </w:r>
      <w:r w:rsidR="00426659" w:rsidRPr="00214E04">
        <w:t>SC </w:t>
      </w:r>
      <w:r w:rsidR="00F869D1">
        <w:t>31</w:t>
      </w:r>
    </w:p>
    <w:p w:rsidR="008322BD" w:rsidRPr="00214E04" w:rsidRDefault="009B57B3" w:rsidP="00F91BBB">
      <w:pPr>
        <w:spacing w:after="720"/>
        <w:jc w:val="both"/>
      </w:pPr>
      <w:r w:rsidRPr="00214E04">
        <w:t>N</w:t>
      </w:r>
      <w:r w:rsidRPr="00214E04">
        <w:rPr>
          <w:vertAlign w:val="superscript"/>
        </w:rPr>
        <w:t>o</w:t>
      </w:r>
      <w:r w:rsidR="0043088E" w:rsidRPr="00214E04">
        <w:t xml:space="preserve"> du greffe</w:t>
      </w:r>
      <w:r w:rsidR="00F91BBB">
        <w:t> :</w:t>
      </w:r>
      <w:r w:rsidR="00C67CA5" w:rsidRPr="00214E04">
        <w:t> </w:t>
      </w:r>
      <w:r w:rsidRPr="00214E04">
        <w:t>33930.</w:t>
      </w:r>
    </w:p>
    <w:p w:rsidR="008322BD" w:rsidRPr="00214E04" w:rsidRDefault="00A13124" w:rsidP="00F91BBB">
      <w:pPr>
        <w:spacing w:after="720"/>
        <w:jc w:val="both"/>
      </w:pPr>
      <w:r w:rsidRPr="00214E04">
        <w:t>2011</w:t>
      </w:r>
      <w:r w:rsidR="00F91BBB">
        <w:t> :</w:t>
      </w:r>
      <w:r w:rsidR="00C0663B" w:rsidRPr="00214E04">
        <w:t xml:space="preserve"> 20 mai</w:t>
      </w:r>
      <w:r w:rsidRPr="00214E04">
        <w:t>; 2011</w:t>
      </w:r>
      <w:r w:rsidR="00F91BBB">
        <w:t> :</w:t>
      </w:r>
      <w:r w:rsidRPr="00214E04">
        <w:t xml:space="preserve"> </w:t>
      </w:r>
      <w:r w:rsidRPr="00F869D1">
        <w:t>1</w:t>
      </w:r>
      <w:r w:rsidR="0067060B" w:rsidRPr="00F869D1">
        <w:t>7</w:t>
      </w:r>
      <w:r w:rsidR="008757CD">
        <w:t> </w:t>
      </w:r>
      <w:r w:rsidRPr="00214E04">
        <w:t>juin</w:t>
      </w:r>
      <w:r w:rsidR="009B57B3" w:rsidRPr="00214E04">
        <w:t>.</w:t>
      </w:r>
    </w:p>
    <w:p w:rsidR="008322BD" w:rsidRPr="00214E04" w:rsidRDefault="009B57B3" w:rsidP="00F91BBB">
      <w:pPr>
        <w:spacing w:after="720"/>
        <w:jc w:val="both"/>
      </w:pPr>
      <w:r w:rsidRPr="00214E04">
        <w:t>Pr</w:t>
      </w:r>
      <w:r w:rsidR="0043088E" w:rsidRPr="00214E04">
        <w:t>é</w:t>
      </w:r>
      <w:r w:rsidRPr="00214E04">
        <w:t>sent</w:t>
      </w:r>
      <w:r w:rsidR="008A6558" w:rsidRPr="00214E04">
        <w:t>s</w:t>
      </w:r>
      <w:r w:rsidR="00F91BBB">
        <w:t> :</w:t>
      </w:r>
      <w:r w:rsidR="00C67CA5" w:rsidRPr="00214E04">
        <w:t> </w:t>
      </w:r>
      <w:r w:rsidRPr="00214E04">
        <w:t xml:space="preserve">La juge en chef </w:t>
      </w:r>
      <w:proofErr w:type="spellStart"/>
      <w:r w:rsidRPr="00214E04">
        <w:t>McLachlin</w:t>
      </w:r>
      <w:proofErr w:type="spellEnd"/>
      <w:r w:rsidRPr="00214E04">
        <w:t xml:space="preserve"> et les juges </w:t>
      </w:r>
      <w:proofErr w:type="spellStart"/>
      <w:r w:rsidRPr="00214E04">
        <w:t>Binnie</w:t>
      </w:r>
      <w:proofErr w:type="spellEnd"/>
      <w:r w:rsidRPr="00214E04">
        <w:t>, Deschamps, Fish, Abella, Charron et Cromwell.</w:t>
      </w:r>
    </w:p>
    <w:p w:rsidR="008322BD" w:rsidRPr="00214E04" w:rsidRDefault="00AC7437" w:rsidP="00F91BBB">
      <w:pPr>
        <w:pStyle w:val="SCCLowerCourtNameLowercase"/>
        <w:spacing w:after="480"/>
      </w:pPr>
      <w:r w:rsidRPr="00214E04">
        <w:t>e</w:t>
      </w:r>
      <w:r w:rsidR="00855307" w:rsidRPr="00214E04">
        <w:t>n</w:t>
      </w:r>
      <w:r w:rsidR="00224FC0" w:rsidRPr="00214E04">
        <w:t xml:space="preserve"> </w:t>
      </w:r>
      <w:r w:rsidR="00855307" w:rsidRPr="00214E04">
        <w:t>appel</w:t>
      </w:r>
      <w:r w:rsidR="00224FC0" w:rsidRPr="00214E04">
        <w:t xml:space="preserve"> </w:t>
      </w:r>
      <w:r w:rsidR="00855307" w:rsidRPr="00214E04">
        <w:t>de</w:t>
      </w:r>
      <w:r w:rsidR="0043088E" w:rsidRPr="00214E04">
        <w:t xml:space="preserve"> </w:t>
      </w:r>
      <w:r w:rsidR="00855307" w:rsidRPr="00214E04">
        <w:t>la</w:t>
      </w:r>
      <w:r w:rsidR="00224FC0" w:rsidRPr="00214E04">
        <w:t xml:space="preserve"> </w:t>
      </w:r>
      <w:r w:rsidR="009B57B3" w:rsidRPr="00214E04">
        <w:t>cour d</w:t>
      </w:r>
      <w:r w:rsidR="00300C76">
        <w:t>’</w:t>
      </w:r>
      <w:r w:rsidR="009B57B3" w:rsidRPr="00214E04">
        <w:t xml:space="preserve">appel de la </w:t>
      </w:r>
      <w:proofErr w:type="spellStart"/>
      <w:r w:rsidR="009B57B3" w:rsidRPr="00214E04">
        <w:t>nouvelle</w:t>
      </w:r>
      <w:r w:rsidR="00F91BBB">
        <w:noBreakHyphen/>
      </w:r>
      <w:r w:rsidR="009B57B3" w:rsidRPr="00214E04">
        <w:t>écosse</w:t>
      </w:r>
      <w:proofErr w:type="spellEnd"/>
    </w:p>
    <w:p w:rsidR="005C5679" w:rsidRPr="00214E04" w:rsidRDefault="005C5679" w:rsidP="00F91BBB">
      <w:pPr>
        <w:pStyle w:val="SCCNormalDoubleSpacing"/>
        <w:spacing w:after="480"/>
        <w:rPr>
          <w:i/>
        </w:rPr>
      </w:pPr>
      <w:r w:rsidRPr="00214E04">
        <w:rPr>
          <w:i/>
        </w:rPr>
        <w:tab/>
      </w:r>
      <w:r w:rsidR="000B6283">
        <w:rPr>
          <w:i/>
        </w:rPr>
        <w:t xml:space="preserve">Droit criminel </w:t>
      </w:r>
      <w:r w:rsidRPr="00214E04">
        <w:rPr>
          <w:i/>
        </w:rPr>
        <w:t>— Appels — P</w:t>
      </w:r>
      <w:r w:rsidR="000B6283">
        <w:rPr>
          <w:i/>
        </w:rPr>
        <w:t>ouvoirs de la Cour d</w:t>
      </w:r>
      <w:r w:rsidR="00300C76">
        <w:rPr>
          <w:i/>
        </w:rPr>
        <w:t>’</w:t>
      </w:r>
      <w:r w:rsidR="000B6283">
        <w:rPr>
          <w:i/>
        </w:rPr>
        <w:t>appel</w:t>
      </w:r>
      <w:r w:rsidRPr="00214E04">
        <w:rPr>
          <w:i/>
        </w:rPr>
        <w:t xml:space="preserve"> — </w:t>
      </w:r>
      <w:r w:rsidR="00393846">
        <w:rPr>
          <w:i/>
        </w:rPr>
        <w:t>Verdict raisonnable</w:t>
      </w:r>
      <w:r w:rsidRPr="00214E04">
        <w:rPr>
          <w:i/>
        </w:rPr>
        <w:t xml:space="preserve"> — </w:t>
      </w:r>
      <w:r w:rsidR="0055760A">
        <w:rPr>
          <w:i/>
        </w:rPr>
        <w:t>Pouvoir d</w:t>
      </w:r>
      <w:r w:rsidR="00300C76">
        <w:rPr>
          <w:i/>
        </w:rPr>
        <w:t>’</w:t>
      </w:r>
      <w:r w:rsidR="0055760A">
        <w:rPr>
          <w:i/>
        </w:rPr>
        <w:t>un tribunal d</w:t>
      </w:r>
      <w:r w:rsidR="00300C76">
        <w:rPr>
          <w:i/>
        </w:rPr>
        <w:t>’</w:t>
      </w:r>
      <w:r w:rsidR="0055760A">
        <w:rPr>
          <w:i/>
        </w:rPr>
        <w:t>appel d</w:t>
      </w:r>
      <w:r w:rsidR="00300C76">
        <w:rPr>
          <w:i/>
        </w:rPr>
        <w:t>’</w:t>
      </w:r>
      <w:r w:rsidR="0055760A">
        <w:rPr>
          <w:i/>
        </w:rPr>
        <w:t>examiner s</w:t>
      </w:r>
      <w:r w:rsidR="00300C76">
        <w:rPr>
          <w:i/>
        </w:rPr>
        <w:t>’</w:t>
      </w:r>
      <w:r w:rsidR="0055760A">
        <w:rPr>
          <w:i/>
        </w:rPr>
        <w:t>il y a eu erreur judiciaire</w:t>
      </w:r>
      <w:r w:rsidRPr="00214E04">
        <w:rPr>
          <w:i/>
        </w:rPr>
        <w:t xml:space="preserve"> — </w:t>
      </w:r>
      <w:r w:rsidR="0055760A">
        <w:rPr>
          <w:i/>
        </w:rPr>
        <w:t>Y</w:t>
      </w:r>
      <w:r w:rsidR="00A23E8A">
        <w:rPr>
          <w:i/>
        </w:rPr>
        <w:t xml:space="preserve"> </w:t>
      </w:r>
      <w:proofErr w:type="spellStart"/>
      <w:r w:rsidR="0055760A">
        <w:rPr>
          <w:i/>
        </w:rPr>
        <w:t>a</w:t>
      </w:r>
      <w:r w:rsidR="00F91BBB">
        <w:rPr>
          <w:i/>
        </w:rPr>
        <w:noBreakHyphen/>
      </w:r>
      <w:r w:rsidR="0055760A">
        <w:rPr>
          <w:i/>
        </w:rPr>
        <w:t>t</w:t>
      </w:r>
      <w:r w:rsidR="00F91BBB">
        <w:rPr>
          <w:i/>
        </w:rPr>
        <w:noBreakHyphen/>
      </w:r>
      <w:r w:rsidR="0055760A">
        <w:rPr>
          <w:i/>
        </w:rPr>
        <w:t>il</w:t>
      </w:r>
      <w:proofErr w:type="spellEnd"/>
      <w:r w:rsidR="0055760A">
        <w:rPr>
          <w:i/>
        </w:rPr>
        <w:t xml:space="preserve"> eu erreur judiciaire?</w:t>
      </w:r>
    </w:p>
    <w:p w:rsidR="005C5679" w:rsidRPr="00214E04" w:rsidRDefault="005C5679" w:rsidP="00F91BBB">
      <w:pPr>
        <w:pStyle w:val="SCCNormalDoubleSpacing"/>
        <w:spacing w:after="480"/>
      </w:pPr>
      <w:r w:rsidRPr="00214E04">
        <w:lastRenderedPageBreak/>
        <w:tab/>
        <w:t xml:space="preserve">E.M.W. </w:t>
      </w:r>
      <w:r w:rsidR="00270AEC" w:rsidRPr="00214E04">
        <w:t>a été déclaré coupable d</w:t>
      </w:r>
      <w:r w:rsidR="00300C76">
        <w:t>’</w:t>
      </w:r>
      <w:r w:rsidR="00270AEC" w:rsidRPr="00214E04">
        <w:t>agression sexuelle</w:t>
      </w:r>
      <w:r w:rsidRPr="00214E04">
        <w:t xml:space="preserve">. </w:t>
      </w:r>
      <w:r w:rsidR="00270AEC" w:rsidRPr="00214E04">
        <w:t xml:space="preserve"> </w:t>
      </w:r>
      <w:r w:rsidR="00692AB4" w:rsidRPr="00214E04">
        <w:t>La Cour d</w:t>
      </w:r>
      <w:r w:rsidR="00300C76">
        <w:t>’</w:t>
      </w:r>
      <w:r w:rsidR="00692AB4" w:rsidRPr="00214E04">
        <w:t>appel, à la majorité</w:t>
      </w:r>
      <w:r w:rsidR="0003164B">
        <w:t>,</w:t>
      </w:r>
      <w:r w:rsidR="00692AB4" w:rsidRPr="00214E04">
        <w:t xml:space="preserve"> a </w:t>
      </w:r>
      <w:r w:rsidR="00E8474C">
        <w:t>accueilli</w:t>
      </w:r>
      <w:r w:rsidR="00692AB4" w:rsidRPr="00214E04">
        <w:t xml:space="preserve"> l</w:t>
      </w:r>
      <w:r w:rsidR="00300C76">
        <w:t>’</w:t>
      </w:r>
      <w:r w:rsidR="00692AB4" w:rsidRPr="00214E04">
        <w:t>appel et ordonné un nouveau procès</w:t>
      </w:r>
      <w:r w:rsidRPr="00214E04">
        <w:t xml:space="preserve">.  </w:t>
      </w:r>
      <w:r w:rsidR="00214E04" w:rsidRPr="00214E04">
        <w:t xml:space="preserve">Elle a conclu que </w:t>
      </w:r>
      <w:r w:rsidR="00214E04">
        <w:t xml:space="preserve">le juge de première instance </w:t>
      </w:r>
      <w:r w:rsidR="00367D51">
        <w:t>a</w:t>
      </w:r>
      <w:r w:rsidR="004F45C6">
        <w:t>vait</w:t>
      </w:r>
      <w:r w:rsidR="00367D51">
        <w:t xml:space="preserve"> utilisé irrégulièrement des déclarations faites par la plaignante avant le procès</w:t>
      </w:r>
      <w:r w:rsidR="00093A62">
        <w:t xml:space="preserve"> de certaines façons</w:t>
      </w:r>
      <w:r w:rsidR="00A82521">
        <w:t xml:space="preserve"> </w:t>
      </w:r>
      <w:r w:rsidR="006B18C7">
        <w:t xml:space="preserve">assistant </w:t>
      </w:r>
      <w:r w:rsidR="00176BBD">
        <w:t xml:space="preserve">la </w:t>
      </w:r>
      <w:r w:rsidR="006B18C7">
        <w:t xml:space="preserve">thèse de </w:t>
      </w:r>
      <w:r w:rsidR="00176BBD">
        <w:t>Couronne</w:t>
      </w:r>
      <w:r w:rsidR="00A82521">
        <w:t>,</w:t>
      </w:r>
      <w:r w:rsidR="00176BBD">
        <w:t xml:space="preserve"> et </w:t>
      </w:r>
      <w:r w:rsidR="008142CF">
        <w:t xml:space="preserve">que </w:t>
      </w:r>
      <w:r w:rsidR="004F45C6">
        <w:t>le</w:t>
      </w:r>
      <w:r w:rsidR="006B18C7">
        <w:t>s questions et le</w:t>
      </w:r>
      <w:r w:rsidR="004F45C6">
        <w:t xml:space="preserve"> comportement du procureur de la Couronne avaient rendu le procès inéquitable</w:t>
      </w:r>
      <w:r w:rsidRPr="00214E04">
        <w:t>.</w:t>
      </w:r>
    </w:p>
    <w:p w:rsidR="005C5679" w:rsidRPr="00214E04" w:rsidRDefault="005C5679" w:rsidP="00F91BBB">
      <w:pPr>
        <w:pStyle w:val="SCCNormalDoubleSpacing"/>
        <w:spacing w:after="480"/>
      </w:pPr>
      <w:r w:rsidRPr="00214E04">
        <w:rPr>
          <w:i/>
        </w:rPr>
        <w:tab/>
      </w:r>
      <w:r w:rsidR="000C7D05">
        <w:rPr>
          <w:i/>
        </w:rPr>
        <w:t>Arrêt</w:t>
      </w:r>
      <w:r w:rsidRPr="00214E04">
        <w:rPr>
          <w:i/>
        </w:rPr>
        <w:t xml:space="preserve"> </w:t>
      </w:r>
      <w:r w:rsidRPr="00214E04">
        <w:t>(</w:t>
      </w:r>
      <w:r w:rsidR="000C7D05">
        <w:t xml:space="preserve">le juge </w:t>
      </w:r>
      <w:r w:rsidRPr="00214E04">
        <w:t xml:space="preserve">Fish </w:t>
      </w:r>
      <w:r w:rsidR="000C7D05">
        <w:t>est dissident</w:t>
      </w:r>
      <w:r w:rsidRPr="00214E04">
        <w:t>)</w:t>
      </w:r>
      <w:r w:rsidR="00F91BBB">
        <w:t> :</w:t>
      </w:r>
      <w:r w:rsidR="000C7D05">
        <w:t> Le pourvoi est accueilli et la déclaration de culpabilité prononcée contre l</w:t>
      </w:r>
      <w:r w:rsidR="00300C76">
        <w:t>’</w:t>
      </w:r>
      <w:r w:rsidR="000C7D05">
        <w:t xml:space="preserve">intimé </w:t>
      </w:r>
      <w:r w:rsidR="006B18C7">
        <w:t>est</w:t>
      </w:r>
      <w:r w:rsidR="000C7D05">
        <w:t xml:space="preserve"> rétablie</w:t>
      </w:r>
      <w:r w:rsidRPr="00214E04">
        <w:t>.</w:t>
      </w:r>
    </w:p>
    <w:p w:rsidR="005C5679" w:rsidRPr="00214E04" w:rsidRDefault="005C5679" w:rsidP="00F91BBB">
      <w:pPr>
        <w:pStyle w:val="SCCNormalDoubleSpacing"/>
        <w:spacing w:after="480"/>
      </w:pPr>
      <w:r w:rsidRPr="00214E04">
        <w:rPr>
          <w:i/>
        </w:rPr>
        <w:tab/>
      </w:r>
      <w:r w:rsidR="00600084" w:rsidRPr="0067060B">
        <w:rPr>
          <w:rStyle w:val="SCCCoramChar"/>
          <w:i/>
        </w:rPr>
        <w:t>La</w:t>
      </w:r>
      <w:r w:rsidR="00600084">
        <w:rPr>
          <w:rStyle w:val="SCCCoramChar"/>
        </w:rPr>
        <w:t xml:space="preserve"> juge en chef </w:t>
      </w:r>
      <w:proofErr w:type="spellStart"/>
      <w:r w:rsidR="00600084" w:rsidRPr="00A23E8A">
        <w:rPr>
          <w:rStyle w:val="SCCCoramChar"/>
        </w:rPr>
        <w:t>McLachlin</w:t>
      </w:r>
      <w:proofErr w:type="spellEnd"/>
      <w:r w:rsidR="00600084">
        <w:rPr>
          <w:rStyle w:val="SCCCoramChar"/>
        </w:rPr>
        <w:t xml:space="preserve"> et les juges</w:t>
      </w:r>
      <w:r w:rsidR="00600084" w:rsidRPr="0079398F">
        <w:rPr>
          <w:rStyle w:val="SCCCoramChar"/>
        </w:rPr>
        <w:t xml:space="preserve"> </w:t>
      </w:r>
      <w:proofErr w:type="spellStart"/>
      <w:r w:rsidR="00F869D1">
        <w:rPr>
          <w:rStyle w:val="SCCCoramChar"/>
        </w:rPr>
        <w:t>Binnie</w:t>
      </w:r>
      <w:proofErr w:type="spellEnd"/>
      <w:r w:rsidR="00F869D1">
        <w:rPr>
          <w:rStyle w:val="SCCCoramChar"/>
        </w:rPr>
        <w:t xml:space="preserve">, </w:t>
      </w:r>
      <w:r w:rsidR="00600084" w:rsidRPr="0079398F">
        <w:rPr>
          <w:rStyle w:val="SCCCoramChar"/>
        </w:rPr>
        <w:t xml:space="preserve">Deschamps, Abella, Charron </w:t>
      </w:r>
      <w:r w:rsidR="00600084">
        <w:rPr>
          <w:rStyle w:val="SCCCoramChar"/>
        </w:rPr>
        <w:t>et</w:t>
      </w:r>
      <w:r w:rsidR="00600084" w:rsidRPr="0079398F">
        <w:rPr>
          <w:rStyle w:val="SCCCoramChar"/>
        </w:rPr>
        <w:t xml:space="preserve"> Cromwell</w:t>
      </w:r>
      <w:r w:rsidR="00F91BBB">
        <w:rPr>
          <w:rStyle w:val="SCCCoramChar"/>
        </w:rPr>
        <w:t> :</w:t>
      </w:r>
      <w:r w:rsidR="00600084">
        <w:t> </w:t>
      </w:r>
      <w:r w:rsidR="0055760A">
        <w:t>L</w:t>
      </w:r>
      <w:r w:rsidR="00300C76">
        <w:t>’</w:t>
      </w:r>
      <w:r w:rsidR="000E1207">
        <w:t>omission de mentionner l</w:t>
      </w:r>
      <w:r w:rsidR="00300C76">
        <w:t>’</w:t>
      </w:r>
      <w:r w:rsidR="000E1207">
        <w:t>erreur judiciaire comme moyen d</w:t>
      </w:r>
      <w:r w:rsidR="00300C76">
        <w:t>’</w:t>
      </w:r>
      <w:r w:rsidR="000E1207">
        <w:t xml:space="preserve">appel distinct </w:t>
      </w:r>
      <w:r w:rsidR="006B18C7">
        <w:t xml:space="preserve">dans l’avis d’appel </w:t>
      </w:r>
      <w:r w:rsidR="000E1207">
        <w:t>ne prive pas un tribunal d</w:t>
      </w:r>
      <w:r w:rsidR="00300C76">
        <w:t>’</w:t>
      </w:r>
      <w:r w:rsidR="000E1207">
        <w:t>appel du pouvoir d</w:t>
      </w:r>
      <w:r w:rsidR="00300C76">
        <w:t>’</w:t>
      </w:r>
      <w:r w:rsidR="000E1207">
        <w:t>examiner s</w:t>
      </w:r>
      <w:r w:rsidR="00300C76">
        <w:t>’</w:t>
      </w:r>
      <w:r w:rsidR="000E1207">
        <w:t>il y a eu erreur judiciaire</w:t>
      </w:r>
      <w:r w:rsidRPr="00214E04">
        <w:t xml:space="preserve">. </w:t>
      </w:r>
      <w:r w:rsidR="000E1207">
        <w:t xml:space="preserve"> </w:t>
      </w:r>
      <w:r w:rsidR="004700E3">
        <w:t xml:space="preserve">Les </w:t>
      </w:r>
      <w:r w:rsidR="00842B0D">
        <w:t xml:space="preserve">défauts </w:t>
      </w:r>
      <w:r w:rsidR="004700E3">
        <w:t>du procès n</w:t>
      </w:r>
      <w:r w:rsidR="00300C76">
        <w:t>’</w:t>
      </w:r>
      <w:r w:rsidR="004700E3">
        <w:t>ont pas entraîné d</w:t>
      </w:r>
      <w:r w:rsidR="00300C76">
        <w:t>’</w:t>
      </w:r>
      <w:r w:rsidR="006B18C7">
        <w:t>erreur judiciaire</w:t>
      </w:r>
      <w:r w:rsidRPr="00214E04">
        <w:t xml:space="preserve">.  </w:t>
      </w:r>
      <w:r w:rsidR="008E0A5C">
        <w:t>Les motifs exposés par le juge du procès n</w:t>
      </w:r>
      <w:r w:rsidR="00300C76">
        <w:t>’</w:t>
      </w:r>
      <w:r w:rsidR="008E0A5C">
        <w:t>étayent pas l</w:t>
      </w:r>
      <w:r w:rsidR="00300C76">
        <w:t>’</w:t>
      </w:r>
      <w:r w:rsidR="008E0A5C">
        <w:t>inférence que les déclarations faites par la plaignante avant le procès ont été utilisées irrégulièrement</w:t>
      </w:r>
      <w:r w:rsidRPr="00214E04">
        <w:t xml:space="preserve">.  </w:t>
      </w:r>
      <w:r w:rsidR="00D22B0C">
        <w:t>Le procureur de la Couronne n</w:t>
      </w:r>
      <w:r w:rsidR="00300C76">
        <w:t>’</w:t>
      </w:r>
      <w:r w:rsidR="00D22B0C">
        <w:t>a pas posé de questions suggestives inadmissibles</w:t>
      </w:r>
      <w:r w:rsidRPr="00214E04">
        <w:t xml:space="preserve">.  </w:t>
      </w:r>
      <w:r w:rsidR="00177F33">
        <w:t>Le comportement d</w:t>
      </w:r>
      <w:r w:rsidR="006B18C7">
        <w:t>e ce dernier</w:t>
      </w:r>
      <w:r w:rsidR="00177F33">
        <w:t xml:space="preserve"> n</w:t>
      </w:r>
      <w:r w:rsidR="00300C76">
        <w:t>’</w:t>
      </w:r>
      <w:r w:rsidR="00177F33">
        <w:t>a pas compromis l</w:t>
      </w:r>
      <w:r w:rsidR="00300C76">
        <w:t>’</w:t>
      </w:r>
      <w:r w:rsidR="00177F33">
        <w:t>appréciation de la preuve par le juge de première instance ou rendu l</w:t>
      </w:r>
      <w:r w:rsidR="00300C76">
        <w:t>’</w:t>
      </w:r>
      <w:r w:rsidR="00177F33">
        <w:t>instance inéquitable</w:t>
      </w:r>
      <w:r w:rsidRPr="00214E04">
        <w:t>.</w:t>
      </w:r>
    </w:p>
    <w:p w:rsidR="005C5679" w:rsidRDefault="005C5679" w:rsidP="00F91BBB">
      <w:pPr>
        <w:pStyle w:val="SCCNormalDoubleSpacing"/>
        <w:spacing w:after="480"/>
      </w:pPr>
      <w:r w:rsidRPr="00214E04">
        <w:rPr>
          <w:i/>
        </w:rPr>
        <w:tab/>
      </w:r>
      <w:r w:rsidR="006A59B6" w:rsidRPr="0067060B">
        <w:rPr>
          <w:i/>
        </w:rPr>
        <w:t>Le</w:t>
      </w:r>
      <w:r w:rsidR="008757CD">
        <w:t xml:space="preserve"> juge </w:t>
      </w:r>
      <w:r w:rsidR="006A59B6" w:rsidRPr="00A23E8A">
        <w:t>F</w:t>
      </w:r>
      <w:r w:rsidRPr="00A23E8A">
        <w:t>ish</w:t>
      </w:r>
      <w:r w:rsidRPr="00214E04">
        <w:t xml:space="preserve"> (diss</w:t>
      </w:r>
      <w:r w:rsidR="006A59B6">
        <w:t>ident</w:t>
      </w:r>
      <w:r w:rsidRPr="00214E04">
        <w:t>)</w:t>
      </w:r>
      <w:r w:rsidR="00F91BBB">
        <w:t> :</w:t>
      </w:r>
      <w:r w:rsidR="00186F2F">
        <w:t> Le procès s</w:t>
      </w:r>
      <w:r w:rsidR="00300C76">
        <w:t>’</w:t>
      </w:r>
      <w:r w:rsidR="00186F2F">
        <w:t>est déroulé de manière insatisfaisante</w:t>
      </w:r>
      <w:r w:rsidRPr="00214E04">
        <w:t xml:space="preserve">.  </w:t>
      </w:r>
      <w:r w:rsidR="00253244">
        <w:t xml:space="preserve">Le </w:t>
      </w:r>
      <w:proofErr w:type="spellStart"/>
      <w:r w:rsidR="00253244">
        <w:t>contre</w:t>
      </w:r>
      <w:r w:rsidR="00F91BBB">
        <w:noBreakHyphen/>
      </w:r>
      <w:r w:rsidR="00253244">
        <w:t>interrogatoire</w:t>
      </w:r>
      <w:proofErr w:type="spellEnd"/>
      <w:r w:rsidR="00253244">
        <w:t xml:space="preserve"> du procureur de la Couronne a été </w:t>
      </w:r>
      <w:r w:rsidR="00253244" w:rsidRPr="009C1EB3">
        <w:t>i</w:t>
      </w:r>
      <w:r w:rsidR="00253244">
        <w:t>nopportun et préjudiciable</w:t>
      </w:r>
      <w:r w:rsidRPr="00214E04">
        <w:t xml:space="preserve">.  </w:t>
      </w:r>
      <w:r w:rsidR="00253244">
        <w:t>L</w:t>
      </w:r>
      <w:r w:rsidR="00300C76">
        <w:t>’</w:t>
      </w:r>
      <w:r w:rsidR="00253244">
        <w:t>avocat de la défense n</w:t>
      </w:r>
      <w:r w:rsidR="00300C76">
        <w:t>’</w:t>
      </w:r>
      <w:r w:rsidR="00253244">
        <w:t>a pas atténué l</w:t>
      </w:r>
      <w:r w:rsidR="00300C76">
        <w:t>’</w:t>
      </w:r>
      <w:r w:rsidR="00253244">
        <w:t>effet préjudiciable</w:t>
      </w:r>
      <w:r w:rsidR="00253244" w:rsidRPr="00214E04">
        <w:t xml:space="preserve"> </w:t>
      </w:r>
      <w:r w:rsidR="00253244">
        <w:t xml:space="preserve">du </w:t>
      </w:r>
      <w:proofErr w:type="spellStart"/>
      <w:r w:rsidR="00253244">
        <w:lastRenderedPageBreak/>
        <w:t>contre</w:t>
      </w:r>
      <w:r w:rsidR="00F91BBB">
        <w:noBreakHyphen/>
      </w:r>
      <w:r w:rsidR="00253244">
        <w:t>interrogatoire</w:t>
      </w:r>
      <w:proofErr w:type="spellEnd"/>
      <w:r w:rsidR="00253244">
        <w:t xml:space="preserve"> d</w:t>
      </w:r>
      <w:r w:rsidR="00A82521">
        <w:t xml:space="preserve">u procureur </w:t>
      </w:r>
      <w:r w:rsidR="00253244">
        <w:t>de la Couronne</w:t>
      </w:r>
      <w:r w:rsidRPr="00214E04">
        <w:t xml:space="preserve">.  </w:t>
      </w:r>
      <w:r w:rsidR="00B62193">
        <w:t>Les motifs détaillés et mûrement réfléchis du juge de première instance n</w:t>
      </w:r>
      <w:r w:rsidR="00300C76">
        <w:t>’</w:t>
      </w:r>
      <w:r w:rsidR="00B62193">
        <w:t>ont pas remédié au caractère insatisfaisant du procès</w:t>
      </w:r>
      <w:r w:rsidRPr="00214E04">
        <w:t>.</w:t>
      </w:r>
    </w:p>
    <w:p w:rsidR="008E37FF" w:rsidRPr="000F6116" w:rsidRDefault="008E37FF" w:rsidP="008E37FF">
      <w:pPr>
        <w:pStyle w:val="SCCNormalDoubleSpacing"/>
        <w:keepNext/>
        <w:spacing w:after="720" w:line="240" w:lineRule="auto"/>
        <w:rPr>
          <w:b/>
          <w:szCs w:val="24"/>
        </w:rPr>
      </w:pPr>
      <w:r w:rsidRPr="000F6116">
        <w:rPr>
          <w:b/>
          <w:szCs w:val="24"/>
        </w:rPr>
        <w:t>Lois et règlements cités</w:t>
      </w:r>
    </w:p>
    <w:p w:rsidR="008E37FF" w:rsidRPr="000F6116" w:rsidRDefault="008E37FF" w:rsidP="008E37FF">
      <w:pPr>
        <w:pStyle w:val="SCCNormalDoubleSpacing"/>
        <w:spacing w:after="720" w:line="240" w:lineRule="auto"/>
        <w:ind w:left="547" w:hanging="547"/>
        <w:rPr>
          <w:szCs w:val="24"/>
        </w:rPr>
      </w:pPr>
      <w:r w:rsidRPr="000F6116">
        <w:rPr>
          <w:i/>
          <w:szCs w:val="24"/>
        </w:rPr>
        <w:t>Code criminel</w:t>
      </w:r>
      <w:r w:rsidRPr="000F6116">
        <w:rPr>
          <w:szCs w:val="24"/>
        </w:rPr>
        <w:t>, L.R.C. 1985, ch. C</w:t>
      </w:r>
      <w:r w:rsidRPr="000F6116">
        <w:rPr>
          <w:szCs w:val="24"/>
        </w:rPr>
        <w:noBreakHyphen/>
        <w:t>46, art. 693(1)</w:t>
      </w:r>
      <w:r w:rsidRPr="000F6116">
        <w:rPr>
          <w:i/>
          <w:szCs w:val="24"/>
        </w:rPr>
        <w:t>a</w:t>
      </w:r>
      <w:r w:rsidRPr="000F6116">
        <w:rPr>
          <w:szCs w:val="24"/>
        </w:rPr>
        <w:t>).</w:t>
      </w:r>
    </w:p>
    <w:p w:rsidR="00D5435D" w:rsidRPr="00214E04" w:rsidRDefault="005E1D93" w:rsidP="00F91BBB">
      <w:pPr>
        <w:pStyle w:val="SCCNormalDoubleSpacing"/>
        <w:spacing w:after="480"/>
      </w:pPr>
      <w:r w:rsidRPr="00214E04">
        <w:tab/>
      </w:r>
      <w:r w:rsidR="009B57B3" w:rsidRPr="00214E04">
        <w:t>P</w:t>
      </w:r>
      <w:r w:rsidR="0043088E" w:rsidRPr="00214E04">
        <w:t>OURVOI contre un arrêt de la</w:t>
      </w:r>
      <w:r w:rsidR="009B57B3" w:rsidRPr="00214E04">
        <w:t xml:space="preserve"> Cour d</w:t>
      </w:r>
      <w:r w:rsidR="00300C76">
        <w:t>’</w:t>
      </w:r>
      <w:r w:rsidR="009B57B3" w:rsidRPr="00214E04">
        <w:t xml:space="preserve">appel de la </w:t>
      </w:r>
      <w:proofErr w:type="spellStart"/>
      <w:r w:rsidR="009B57B3" w:rsidRPr="00214E04">
        <w:t>Nouvelle</w:t>
      </w:r>
      <w:r w:rsidR="00F91BBB">
        <w:noBreakHyphen/>
      </w:r>
      <w:r w:rsidR="009B57B3" w:rsidRPr="00214E04">
        <w:t>Écosse</w:t>
      </w:r>
      <w:proofErr w:type="spellEnd"/>
      <w:r w:rsidRPr="00214E04">
        <w:t xml:space="preserve"> (les juges </w:t>
      </w:r>
      <w:proofErr w:type="spellStart"/>
      <w:r w:rsidRPr="00214E04">
        <w:t>Fichaud</w:t>
      </w:r>
      <w:proofErr w:type="spellEnd"/>
      <w:r w:rsidRPr="00214E04">
        <w:t xml:space="preserve">, Beveridge et </w:t>
      </w:r>
      <w:proofErr w:type="spellStart"/>
      <w:r w:rsidRPr="00214E04">
        <w:t>Farrar</w:t>
      </w:r>
      <w:proofErr w:type="spellEnd"/>
      <w:r w:rsidRPr="00214E04">
        <w:t xml:space="preserve">), 2010 NSCA 73, </w:t>
      </w:r>
      <w:r w:rsidR="00D27AF8" w:rsidRPr="00214E04">
        <w:t xml:space="preserve">295 N.S.R. (2d) 141, 263 C.C.C. (3d) 136, 935 A.P.R. 141, [2010] N.S.J. </w:t>
      </w:r>
      <w:r w:rsidR="00F91BBB">
        <w:t>No. </w:t>
      </w:r>
      <w:r w:rsidR="00D27AF8" w:rsidRPr="00214E04">
        <w:t xml:space="preserve">515 (QL), 2010 </w:t>
      </w:r>
      <w:proofErr w:type="spellStart"/>
      <w:r w:rsidR="00D27AF8" w:rsidRPr="00214E04">
        <w:t>CarswellNS</w:t>
      </w:r>
      <w:proofErr w:type="spellEnd"/>
      <w:r w:rsidR="00D27AF8" w:rsidRPr="00214E04">
        <w:t xml:space="preserve"> 650, qui a annulé la déclaration de culpabilité pour agression sexuelle </w:t>
      </w:r>
      <w:r w:rsidR="00A23E8A">
        <w:t>inscrite contre l’accusé par l</w:t>
      </w:r>
      <w:r w:rsidR="008E37FF">
        <w:t>e</w:t>
      </w:r>
      <w:r w:rsidR="00A23E8A">
        <w:t xml:space="preserve"> juge Campbell, 2009 NSPC 33, [2009] N.S.J. No. 329 (QL), 2009 </w:t>
      </w:r>
      <w:proofErr w:type="spellStart"/>
      <w:r w:rsidR="00A23E8A">
        <w:t>CarswellNS</w:t>
      </w:r>
      <w:proofErr w:type="spellEnd"/>
      <w:r w:rsidR="00A23E8A">
        <w:t xml:space="preserve"> 396, </w:t>
      </w:r>
      <w:r w:rsidR="00D27AF8" w:rsidRPr="00214E04">
        <w:t xml:space="preserve">et </w:t>
      </w:r>
      <w:r w:rsidR="005C1321">
        <w:t xml:space="preserve">qui a </w:t>
      </w:r>
      <w:r w:rsidR="00D27AF8" w:rsidRPr="00214E04">
        <w:t>ordonné la tenue d</w:t>
      </w:r>
      <w:r w:rsidR="00300C76">
        <w:t>’</w:t>
      </w:r>
      <w:r w:rsidR="00D27AF8" w:rsidRPr="00214E04">
        <w:t>un nouveau procès.  Pourvoi accueilli, le juge Fish est dissident.</w:t>
      </w:r>
    </w:p>
    <w:p w:rsidR="001F6E11" w:rsidRPr="00214E04" w:rsidRDefault="00D27AF8" w:rsidP="00F91BBB">
      <w:pPr>
        <w:pStyle w:val="SCCNormalDoubleSpacing"/>
        <w:spacing w:after="480"/>
      </w:pPr>
      <w:r w:rsidRPr="00214E04">
        <w:rPr>
          <w:rStyle w:val="SCCCounselNameChar"/>
        </w:rPr>
        <w:tab/>
        <w:t>James</w:t>
      </w:r>
      <w:r w:rsidR="00F91BBB">
        <w:rPr>
          <w:rStyle w:val="SCCCounselNameChar"/>
        </w:rPr>
        <w:t> </w:t>
      </w:r>
      <w:r w:rsidRPr="00214E04">
        <w:rPr>
          <w:rStyle w:val="SCCCounselNameChar"/>
        </w:rPr>
        <w:t xml:space="preserve">A. </w:t>
      </w:r>
      <w:proofErr w:type="spellStart"/>
      <w:r w:rsidRPr="00214E04">
        <w:rPr>
          <w:rStyle w:val="SCCCounselNameChar"/>
        </w:rPr>
        <w:t>Gumpert</w:t>
      </w:r>
      <w:proofErr w:type="spellEnd"/>
      <w:r w:rsidRPr="00214E04">
        <w:rPr>
          <w:rStyle w:val="SCCCounselNameChar"/>
          <w:i w:val="0"/>
        </w:rPr>
        <w:t xml:space="preserve">, </w:t>
      </w:r>
      <w:proofErr w:type="gramStart"/>
      <w:r w:rsidR="005E1D93" w:rsidRPr="00214E04">
        <w:rPr>
          <w:rStyle w:val="SCCCounselNameChar"/>
        </w:rPr>
        <w:t>c.r.</w:t>
      </w:r>
      <w:r w:rsidR="005E1D93" w:rsidRPr="00214E04">
        <w:rPr>
          <w:rStyle w:val="SCCCounselNameChar"/>
          <w:i w:val="0"/>
        </w:rPr>
        <w:t>,</w:t>
      </w:r>
      <w:proofErr w:type="gramEnd"/>
      <w:r w:rsidRPr="00214E04">
        <w:rPr>
          <w:rStyle w:val="SCCCounselSeparatorChar"/>
        </w:rPr>
        <w:t xml:space="preserve"> et </w:t>
      </w:r>
      <w:r w:rsidR="00F91BBB">
        <w:rPr>
          <w:rStyle w:val="SCCCounselNameChar"/>
        </w:rPr>
        <w:t>Mark </w:t>
      </w:r>
      <w:r w:rsidRPr="00214E04">
        <w:rPr>
          <w:rStyle w:val="SCCCounselNameChar"/>
        </w:rPr>
        <w:t>A. Scott</w:t>
      </w:r>
      <w:r w:rsidR="005E1D93" w:rsidRPr="00214E04">
        <w:rPr>
          <w:rStyle w:val="SCCCounselPartyRoleChar"/>
        </w:rPr>
        <w:t>, pour l</w:t>
      </w:r>
      <w:r w:rsidR="00300C76">
        <w:rPr>
          <w:rStyle w:val="SCCCounselPartyRoleChar"/>
        </w:rPr>
        <w:t>’</w:t>
      </w:r>
      <w:r w:rsidRPr="00214E04">
        <w:rPr>
          <w:rStyle w:val="SCCCounselPartyRoleChar"/>
        </w:rPr>
        <w:t>appelante.</w:t>
      </w:r>
    </w:p>
    <w:p w:rsidR="001F6E11" w:rsidRPr="00214E04" w:rsidRDefault="00F91BBB" w:rsidP="00F91BBB">
      <w:pPr>
        <w:pStyle w:val="SCCNormalDoubleSpacing"/>
        <w:spacing w:after="480"/>
      </w:pPr>
      <w:r>
        <w:rPr>
          <w:rStyle w:val="SCCCounselNameChar"/>
        </w:rPr>
        <w:tab/>
        <w:t>Donald </w:t>
      </w:r>
      <w:r w:rsidR="00D27AF8" w:rsidRPr="00214E04">
        <w:rPr>
          <w:rStyle w:val="SCCCounselNameChar"/>
        </w:rPr>
        <w:t>C. Murray</w:t>
      </w:r>
      <w:r w:rsidR="00D27AF8" w:rsidRPr="00214E04">
        <w:rPr>
          <w:rStyle w:val="SCCCounselNameChar"/>
          <w:i w:val="0"/>
        </w:rPr>
        <w:t xml:space="preserve">, </w:t>
      </w:r>
      <w:proofErr w:type="gramStart"/>
      <w:r w:rsidR="005E1D93" w:rsidRPr="00214E04">
        <w:rPr>
          <w:rStyle w:val="SCCCounselNameChar"/>
        </w:rPr>
        <w:t>c.r.</w:t>
      </w:r>
      <w:r w:rsidR="005E1D93" w:rsidRPr="00214E04">
        <w:rPr>
          <w:rStyle w:val="SCCCounselNameChar"/>
          <w:i w:val="0"/>
        </w:rPr>
        <w:t>,</w:t>
      </w:r>
      <w:proofErr w:type="gramEnd"/>
      <w:r w:rsidR="00D27AF8" w:rsidRPr="00214E04">
        <w:rPr>
          <w:rStyle w:val="SCCCounselSeparatorChar"/>
        </w:rPr>
        <w:t xml:space="preserve"> et </w:t>
      </w:r>
      <w:r w:rsidR="0047143F" w:rsidRPr="00214E04">
        <w:rPr>
          <w:rStyle w:val="SCCCounselNameChar"/>
        </w:rPr>
        <w:t>Rog</w:t>
      </w:r>
      <w:r w:rsidR="00D27AF8" w:rsidRPr="00214E04">
        <w:rPr>
          <w:rStyle w:val="SCCCounselNameChar"/>
        </w:rPr>
        <w:t>er</w:t>
      </w:r>
      <w:r>
        <w:rPr>
          <w:rStyle w:val="SCCCounselNameChar"/>
        </w:rPr>
        <w:t> </w:t>
      </w:r>
      <w:r w:rsidR="0047143F" w:rsidRPr="00214E04">
        <w:rPr>
          <w:rStyle w:val="SCCCounselNameChar"/>
        </w:rPr>
        <w:t>A.</w:t>
      </w:r>
      <w:r w:rsidR="00D27AF8" w:rsidRPr="00214E04">
        <w:rPr>
          <w:rStyle w:val="SCCCounselNameChar"/>
        </w:rPr>
        <w:t xml:space="preserve"> </w:t>
      </w:r>
      <w:proofErr w:type="spellStart"/>
      <w:r w:rsidR="00D27AF8" w:rsidRPr="00214E04">
        <w:rPr>
          <w:rStyle w:val="SCCCounselNameChar"/>
        </w:rPr>
        <w:t>Burrill</w:t>
      </w:r>
      <w:proofErr w:type="spellEnd"/>
      <w:r w:rsidR="005E1D93" w:rsidRPr="00214E04">
        <w:rPr>
          <w:rStyle w:val="SCCCounselPartyRoleChar"/>
        </w:rPr>
        <w:t>, pour l</w:t>
      </w:r>
      <w:r w:rsidR="00300C76">
        <w:rPr>
          <w:rStyle w:val="SCCCounselPartyRoleChar"/>
        </w:rPr>
        <w:t>’</w:t>
      </w:r>
      <w:r w:rsidR="00D27AF8" w:rsidRPr="00214E04">
        <w:rPr>
          <w:rStyle w:val="SCCCounselPartyRoleChar"/>
        </w:rPr>
        <w:t>intimé.</w:t>
      </w:r>
    </w:p>
    <w:p w:rsidR="00604F8A" w:rsidRPr="00FE7F27" w:rsidRDefault="00604F8A" w:rsidP="00604F8A">
      <w:pPr>
        <w:pStyle w:val="JudgeJuge"/>
        <w:spacing w:before="720"/>
        <w:rPr>
          <w:smallCaps w:val="0"/>
          <w:szCs w:val="24"/>
          <w:lang w:val="fr-CA"/>
        </w:rPr>
      </w:pPr>
      <w:r w:rsidRPr="00495BBE">
        <w:rPr>
          <w:szCs w:val="24"/>
          <w:lang w:val="fr-CA"/>
        </w:rPr>
        <w:tab/>
      </w:r>
      <w:r w:rsidR="00FE7F27" w:rsidRPr="00FE7F27">
        <w:rPr>
          <w:smallCaps w:val="0"/>
          <w:szCs w:val="24"/>
          <w:lang w:val="fr-CA"/>
        </w:rPr>
        <w:t>Version</w:t>
      </w:r>
      <w:r w:rsidR="00FE7F27">
        <w:rPr>
          <w:smallCaps w:val="0"/>
          <w:szCs w:val="24"/>
          <w:lang w:val="fr-CA"/>
        </w:rPr>
        <w:t xml:space="preserve"> française du jugement de la juge en chef </w:t>
      </w:r>
      <w:proofErr w:type="spellStart"/>
      <w:r w:rsidR="00FE7F27">
        <w:rPr>
          <w:smallCaps w:val="0"/>
          <w:szCs w:val="24"/>
          <w:lang w:val="fr-CA"/>
        </w:rPr>
        <w:t>McLachlin</w:t>
      </w:r>
      <w:proofErr w:type="spellEnd"/>
      <w:r w:rsidR="00FE7F27">
        <w:rPr>
          <w:smallCaps w:val="0"/>
          <w:szCs w:val="24"/>
          <w:lang w:val="fr-CA"/>
        </w:rPr>
        <w:t xml:space="preserve"> et des juges </w:t>
      </w:r>
      <w:proofErr w:type="spellStart"/>
      <w:r w:rsidR="00FE7F27">
        <w:rPr>
          <w:smallCaps w:val="0"/>
          <w:szCs w:val="24"/>
          <w:lang w:val="fr-CA"/>
        </w:rPr>
        <w:t>Binnie</w:t>
      </w:r>
      <w:proofErr w:type="spellEnd"/>
      <w:r w:rsidR="00FE7F27">
        <w:rPr>
          <w:smallCaps w:val="0"/>
          <w:szCs w:val="24"/>
          <w:lang w:val="fr-CA"/>
        </w:rPr>
        <w:t>, Deschamps, Abella, Charron et Cromwell rendu par</w:t>
      </w:r>
    </w:p>
    <w:p w:rsidR="00604F8A" w:rsidRPr="00495BBE" w:rsidRDefault="00FE7F27" w:rsidP="00604F8A">
      <w:pPr>
        <w:pStyle w:val="ParaNoNdepar-AltN"/>
        <w:rPr>
          <w:rFonts w:cs="Times New Roman"/>
          <w:szCs w:val="24"/>
          <w:lang w:val="fr-CA"/>
        </w:rPr>
      </w:pPr>
      <w:r w:rsidRPr="00FE7F27">
        <w:rPr>
          <w:smallCaps/>
          <w:szCs w:val="24"/>
          <w:lang w:val="fr-CA"/>
        </w:rPr>
        <w:lastRenderedPageBreak/>
        <w:t>La Juge en chef</w:t>
      </w:r>
      <w:r w:rsidRPr="00495BBE">
        <w:rPr>
          <w:szCs w:val="24"/>
          <w:lang w:val="fr-CA"/>
        </w:rPr>
        <w:t xml:space="preserve"> — </w:t>
      </w:r>
      <w:r w:rsidR="00604F8A" w:rsidRPr="00495BBE">
        <w:rPr>
          <w:rFonts w:cs="Times New Roman"/>
          <w:szCs w:val="24"/>
          <w:lang w:val="fr-CA"/>
        </w:rPr>
        <w:t>Il s’agit en l’espèce d’un appel interjeté de plein droit en vertu de l’al. 693(1)</w:t>
      </w:r>
      <w:r w:rsidR="00604F8A" w:rsidRPr="00495BBE">
        <w:rPr>
          <w:rFonts w:cs="Times New Roman"/>
          <w:i/>
          <w:szCs w:val="24"/>
          <w:lang w:val="fr-CA"/>
        </w:rPr>
        <w:t>a</w:t>
      </w:r>
      <w:r w:rsidR="00604F8A" w:rsidRPr="00495BBE">
        <w:rPr>
          <w:rFonts w:cs="Times New Roman"/>
          <w:szCs w:val="24"/>
          <w:lang w:val="fr-CA"/>
        </w:rPr>
        <w:t xml:space="preserve">) du </w:t>
      </w:r>
      <w:r w:rsidR="00604F8A" w:rsidRPr="00495BBE">
        <w:rPr>
          <w:rFonts w:cs="Times New Roman"/>
          <w:i/>
          <w:szCs w:val="24"/>
          <w:lang w:val="fr-CA"/>
        </w:rPr>
        <w:t>Code criminel</w:t>
      </w:r>
      <w:r w:rsidR="00604F8A" w:rsidRPr="00495BBE">
        <w:rPr>
          <w:rFonts w:cs="Times New Roman"/>
          <w:szCs w:val="24"/>
          <w:lang w:val="fr-CA"/>
        </w:rPr>
        <w:t>, L.R.C. 1985, ch. C</w:t>
      </w:r>
      <w:r w:rsidR="00604F8A" w:rsidRPr="00495BBE">
        <w:rPr>
          <w:rFonts w:cs="Times New Roman"/>
          <w:szCs w:val="24"/>
          <w:lang w:val="fr-CA"/>
        </w:rPr>
        <w:noBreakHyphen/>
        <w:t>46.  Pour les motifs qui suivent, nous sommes d’avis d’accueillir cet appel et de confirmer la déclaration de culpabilité prononcée contre E.M.W.</w:t>
      </w:r>
    </w:p>
    <w:p w:rsidR="00604F8A" w:rsidRPr="00495BBE" w:rsidRDefault="00604F8A" w:rsidP="00604F8A">
      <w:pPr>
        <w:pStyle w:val="ParaNoNdepar-AltN"/>
        <w:rPr>
          <w:rFonts w:cs="Times New Roman"/>
          <w:szCs w:val="24"/>
          <w:lang w:val="fr-CA"/>
        </w:rPr>
      </w:pPr>
      <w:r w:rsidRPr="00495BBE">
        <w:rPr>
          <w:rFonts w:cs="Times New Roman"/>
          <w:szCs w:val="24"/>
          <w:lang w:val="fr-CA"/>
        </w:rPr>
        <w:t>Au terme d’un procès devant juge seul, E.M.W. a été déclaré coupable d’avoir agressé sexuellement sa fille, qui était âgée de 12 ans au moment du procès (2009 NSPC 33 (</w:t>
      </w:r>
      <w:proofErr w:type="spellStart"/>
      <w:r w:rsidRPr="00495BBE">
        <w:rPr>
          <w:rFonts w:cs="Times New Roman"/>
          <w:szCs w:val="24"/>
          <w:lang w:val="fr-CA"/>
        </w:rPr>
        <w:t>CanLII</w:t>
      </w:r>
      <w:proofErr w:type="spellEnd"/>
      <w:r w:rsidRPr="00495BBE">
        <w:rPr>
          <w:rFonts w:cs="Times New Roman"/>
          <w:szCs w:val="24"/>
          <w:lang w:val="fr-CA"/>
        </w:rPr>
        <w:t xml:space="preserve">)).  La Cour d’appel, à la majorité (les juges Beveridge et </w:t>
      </w:r>
      <w:proofErr w:type="spellStart"/>
      <w:r w:rsidRPr="00495BBE">
        <w:rPr>
          <w:rFonts w:cs="Times New Roman"/>
          <w:szCs w:val="24"/>
          <w:lang w:val="fr-CA"/>
        </w:rPr>
        <w:t>Farrar</w:t>
      </w:r>
      <w:proofErr w:type="spellEnd"/>
      <w:r w:rsidRPr="00495BBE">
        <w:rPr>
          <w:rFonts w:cs="Times New Roman"/>
          <w:szCs w:val="24"/>
          <w:lang w:val="fr-CA"/>
        </w:rPr>
        <w:t>), a accueilli l’appel de E.M.W</w:t>
      </w:r>
      <w:r w:rsidR="000F6116">
        <w:rPr>
          <w:rFonts w:cs="Times New Roman"/>
          <w:szCs w:val="24"/>
          <w:lang w:val="fr-CA"/>
        </w:rPr>
        <w:t>.</w:t>
      </w:r>
      <w:r w:rsidRPr="00495BBE">
        <w:rPr>
          <w:rFonts w:cs="Times New Roman"/>
          <w:szCs w:val="24"/>
          <w:lang w:val="fr-CA"/>
        </w:rPr>
        <w:t xml:space="preserve"> contre la déclaration de culpabilité et a ordonné la tenue d’un nouveau procès pour cause d’erreur judiciaire (2010 NSCA 73, 295 N.S.R. (2d) 141).  Le juge </w:t>
      </w:r>
      <w:proofErr w:type="spellStart"/>
      <w:r w:rsidRPr="00495BBE">
        <w:rPr>
          <w:rFonts w:cs="Times New Roman"/>
          <w:szCs w:val="24"/>
          <w:lang w:val="fr-CA"/>
        </w:rPr>
        <w:t>Fichaud</w:t>
      </w:r>
      <w:proofErr w:type="spellEnd"/>
      <w:r w:rsidRPr="00495BBE">
        <w:rPr>
          <w:rFonts w:cs="Times New Roman"/>
          <w:szCs w:val="24"/>
          <w:lang w:val="fr-CA"/>
        </w:rPr>
        <w:t xml:space="preserve"> a exprimé sa dissidence, concluant que les moyens invoqués par la majorité n’avaient pas été soulevés dans l’avis d’appel et que, quoi qu’il en soit, aucune erreur judiciaire n’avait été établie.</w:t>
      </w:r>
    </w:p>
    <w:p w:rsidR="00604F8A" w:rsidRPr="00495BBE" w:rsidRDefault="00604F8A" w:rsidP="00604F8A">
      <w:pPr>
        <w:pStyle w:val="ParaNoNdepar-AltN"/>
        <w:rPr>
          <w:rFonts w:cs="Times New Roman"/>
          <w:szCs w:val="24"/>
          <w:lang w:val="fr-CA"/>
        </w:rPr>
      </w:pPr>
      <w:r w:rsidRPr="00495BBE">
        <w:rPr>
          <w:rFonts w:cs="Times New Roman"/>
          <w:szCs w:val="24"/>
          <w:lang w:val="fr-CA"/>
        </w:rPr>
        <w:t>Trois arguments ont été plaidés devant notre Cour.</w:t>
      </w:r>
    </w:p>
    <w:p w:rsidR="00604F8A" w:rsidRPr="00495BBE" w:rsidRDefault="00604F8A" w:rsidP="00604F8A">
      <w:pPr>
        <w:pStyle w:val="TitleTitre-AltT"/>
        <w:keepNext/>
        <w:spacing w:after="720"/>
        <w:rPr>
          <w:rFonts w:cs="Times New Roman"/>
          <w:szCs w:val="24"/>
          <w:u w:val="single"/>
          <w:lang w:val="fr-CA"/>
        </w:rPr>
      </w:pPr>
      <w:r w:rsidRPr="00495BBE">
        <w:rPr>
          <w:rFonts w:cs="Times New Roman"/>
          <w:szCs w:val="24"/>
          <w:u w:val="single"/>
          <w:lang w:val="fr-CA"/>
        </w:rPr>
        <w:t>Compétence pour examiner la question de l’erreur judiciaire</w:t>
      </w:r>
    </w:p>
    <w:p w:rsidR="00604F8A" w:rsidRPr="00495BBE" w:rsidRDefault="00604F8A" w:rsidP="00604F8A">
      <w:pPr>
        <w:pStyle w:val="ParaNoNdepar-AltN"/>
        <w:rPr>
          <w:rFonts w:cs="Times New Roman"/>
          <w:szCs w:val="24"/>
          <w:u w:val="single"/>
          <w:lang w:val="fr-CA"/>
        </w:rPr>
      </w:pPr>
      <w:r w:rsidRPr="00495BBE">
        <w:rPr>
          <w:rFonts w:cs="Times New Roman"/>
          <w:szCs w:val="24"/>
          <w:lang w:val="fr-CA"/>
        </w:rPr>
        <w:t xml:space="preserve">La première question consiste à se demander si, étant donné que les moyens fondés sur l’erreur judiciaire et l’admissibilité de la preuve n’ont pas été soulevés dans l’avis d’appel, les juges majoritaires de la Cour d’appel ont fait erreur en accueillant le pourvoi.  À l’instar de l’intimé, nous sommes d’avis que l’omission par un appelant d’invoquer expressément l’erreur judiciaire comme moyen d’appel </w:t>
      </w:r>
      <w:r w:rsidRPr="00495BBE">
        <w:rPr>
          <w:rFonts w:cs="Times New Roman"/>
          <w:szCs w:val="24"/>
          <w:lang w:val="fr-CA"/>
        </w:rPr>
        <w:lastRenderedPageBreak/>
        <w:t>distinct ne prive pas un tribunal d’appel du pouvoir d’examiner cette question.  La possibilité qu’une erreur judiciaire ait été commise est une question qu’un tribunal doit toujours avoir la faculté d’examiner.  Toutefois, le fait est que les règles exigent que les moyens qu’invoque l’appelant soient énoncés.  Cette mesure permet en effet à l’autre partie d’être avisée des points qui seront soulevés.  De manière plus générale, elle permet au tribunal de recevoir des observations complètes sur tous ces points.  Lorsque des moyens additionnels apparaissent après le dépôt de l’avis, la pratique normale requiert que cet avis soit modifié en conséquence.  Si le tribunal désire examiner une question qui n’a pas été soulevée, il pourrait devoir accorder un ajournement afin d’assurer une audition complète et équitable de la cause.</w:t>
      </w:r>
    </w:p>
    <w:p w:rsidR="00604F8A" w:rsidRPr="00495BBE" w:rsidRDefault="00604F8A" w:rsidP="00604F8A">
      <w:pPr>
        <w:pStyle w:val="ParaNoNdepar-AltN"/>
        <w:rPr>
          <w:rFonts w:cs="Times New Roman"/>
          <w:szCs w:val="24"/>
          <w:lang w:val="fr-CA"/>
        </w:rPr>
      </w:pPr>
      <w:r w:rsidRPr="00495BBE">
        <w:rPr>
          <w:rFonts w:cs="Times New Roman"/>
          <w:szCs w:val="24"/>
          <w:lang w:val="fr-CA"/>
        </w:rPr>
        <w:t>L’intimé prétend que, malgré le caractère restreint de l’avis d’appel donné en l’espèce, l’appel a fait l’objet d’une audience complète et équitable.  Nous n’avons pas besoin de nous attarder sur cette question.  Qu’il suffise de dire que la Cour d’appel avait compétence pour entendre les arguments sur la question de savoir s’il y avait eu erreur judiciaire, et que les questions litigieuses ont été pleinement débattues devant notre Cour, indépendamment de ce qui s’est passé devant la juridiction inférieure.</w:t>
      </w:r>
    </w:p>
    <w:p w:rsidR="00604F8A" w:rsidRPr="00495BBE" w:rsidRDefault="00604F8A" w:rsidP="00604F8A">
      <w:pPr>
        <w:pStyle w:val="TitleTitre-AltT"/>
        <w:keepNext/>
        <w:spacing w:after="720"/>
        <w:rPr>
          <w:rFonts w:cs="Times New Roman"/>
          <w:szCs w:val="24"/>
          <w:u w:val="single"/>
          <w:lang w:val="fr-CA"/>
        </w:rPr>
      </w:pPr>
      <w:r w:rsidRPr="00495BBE">
        <w:rPr>
          <w:rFonts w:cs="Times New Roman"/>
          <w:szCs w:val="24"/>
          <w:u w:val="single"/>
          <w:lang w:val="fr-CA"/>
        </w:rPr>
        <w:t>Utilisation irrégulière des déclarations antérieures</w:t>
      </w:r>
    </w:p>
    <w:p w:rsidR="00604F8A" w:rsidRPr="00495BBE" w:rsidRDefault="00604F8A" w:rsidP="00604F8A">
      <w:pPr>
        <w:pStyle w:val="ParaNoNdepar-AltN"/>
        <w:rPr>
          <w:rFonts w:cs="Times New Roman"/>
          <w:szCs w:val="24"/>
          <w:lang w:val="fr-CA"/>
        </w:rPr>
      </w:pPr>
      <w:r w:rsidRPr="00495BBE">
        <w:rPr>
          <w:rFonts w:cs="Times New Roman"/>
          <w:szCs w:val="24"/>
          <w:lang w:val="fr-CA"/>
        </w:rPr>
        <w:t xml:space="preserve">Avant de témoigner au procès, la plaignante avait fait des déclarations sur l’affaire à une amie et à la police.  Les juges majoritaires de la Cour d’appel étaient </w:t>
      </w:r>
      <w:r w:rsidRPr="00495BBE">
        <w:rPr>
          <w:rFonts w:cs="Times New Roman"/>
          <w:szCs w:val="24"/>
          <w:lang w:val="fr-CA"/>
        </w:rPr>
        <w:lastRenderedPageBreak/>
        <w:t>d’avis que ces déclarations avaient été utilisées ou évoquées irrégulièrement, de certaines façons ayant eu pour effet de renforcer le témoignage de la plaignante ou d’assister la Couronne.</w:t>
      </w:r>
    </w:p>
    <w:p w:rsidR="00604F8A" w:rsidRPr="00495BBE" w:rsidRDefault="00604F8A" w:rsidP="00604F8A">
      <w:pPr>
        <w:pStyle w:val="ParaNoNdepar-AltN"/>
        <w:rPr>
          <w:rFonts w:cs="Times New Roman"/>
          <w:szCs w:val="24"/>
          <w:lang w:val="fr-CA"/>
        </w:rPr>
      </w:pPr>
      <w:r w:rsidRPr="00495BBE">
        <w:rPr>
          <w:rFonts w:cs="Times New Roman"/>
          <w:szCs w:val="24"/>
          <w:lang w:val="fr-CA"/>
        </w:rPr>
        <w:t>Selon nous, les juges majoritaires de la Cour d’appel ont eu tort de s’attacher à la mention par le juge de première instance du contenu des confidences de la plaignante pour démontrer que ce dernier avait incorrectement utilisé la preuve relative à ces confidences.  Considérés globalement, à la lumière du dossier de première instance, les motifs soignés et exhaustifs exposés par le juge du procès n’étayent pas l’inférence tirée par les juges majoritaires de la Cour d’appel</w:t>
      </w:r>
      <w:r>
        <w:rPr>
          <w:rFonts w:cs="Times New Roman"/>
          <w:szCs w:val="24"/>
          <w:lang w:val="fr-CA"/>
        </w:rPr>
        <w:t>.</w:t>
      </w:r>
    </w:p>
    <w:p w:rsidR="00604F8A" w:rsidRPr="00495BBE" w:rsidRDefault="00604F8A" w:rsidP="00604F8A">
      <w:pPr>
        <w:pStyle w:val="TitleTitre-AltT"/>
        <w:keepNext/>
        <w:spacing w:after="720"/>
        <w:rPr>
          <w:rFonts w:cs="Times New Roman"/>
          <w:szCs w:val="24"/>
          <w:u w:val="single"/>
          <w:lang w:val="fr-CA"/>
        </w:rPr>
      </w:pPr>
      <w:r w:rsidRPr="00495BBE">
        <w:rPr>
          <w:rFonts w:cs="Times New Roman"/>
          <w:szCs w:val="24"/>
          <w:u w:val="single"/>
          <w:lang w:val="fr-CA"/>
        </w:rPr>
        <w:t xml:space="preserve">La conduite du procès </w:t>
      </w:r>
      <w:proofErr w:type="spellStart"/>
      <w:r w:rsidRPr="00495BBE">
        <w:rPr>
          <w:rFonts w:cs="Times New Roman"/>
          <w:szCs w:val="24"/>
          <w:u w:val="single"/>
          <w:lang w:val="fr-CA"/>
        </w:rPr>
        <w:t>constitue</w:t>
      </w:r>
      <w:r w:rsidRPr="00495BBE">
        <w:rPr>
          <w:rFonts w:cs="Times New Roman"/>
          <w:szCs w:val="24"/>
          <w:u w:val="single"/>
          <w:lang w:val="fr-CA"/>
        </w:rPr>
        <w:noBreakHyphen/>
        <w:t>t</w:t>
      </w:r>
      <w:r w:rsidRPr="00495BBE">
        <w:rPr>
          <w:rFonts w:cs="Times New Roman"/>
          <w:szCs w:val="24"/>
          <w:u w:val="single"/>
          <w:lang w:val="fr-CA"/>
        </w:rPr>
        <w:noBreakHyphen/>
        <w:t>elle</w:t>
      </w:r>
      <w:proofErr w:type="spellEnd"/>
      <w:r w:rsidRPr="00495BBE">
        <w:rPr>
          <w:rFonts w:cs="Times New Roman"/>
          <w:szCs w:val="24"/>
          <w:u w:val="single"/>
          <w:lang w:val="fr-CA"/>
        </w:rPr>
        <w:t xml:space="preserve"> une erreur judiciaire?</w:t>
      </w:r>
    </w:p>
    <w:p w:rsidR="00604F8A" w:rsidRPr="00495BBE" w:rsidRDefault="00604F8A" w:rsidP="00604F8A">
      <w:pPr>
        <w:pStyle w:val="ParaNoNdepar-AltN"/>
        <w:rPr>
          <w:rFonts w:cs="Times New Roman"/>
          <w:szCs w:val="24"/>
          <w:lang w:val="fr-CA"/>
        </w:rPr>
      </w:pPr>
      <w:r w:rsidRPr="00495BBE">
        <w:rPr>
          <w:rFonts w:cs="Times New Roman"/>
          <w:szCs w:val="24"/>
          <w:lang w:val="fr-CA"/>
        </w:rPr>
        <w:t>Ce procès fut loin d’être parfait.  Il a donné lieu, à certains moments, à des questions et à des déclarations de mauvais goût, voire choquantes.  Le procureur de la Couronne s’est livré à des monologues inutiles sur des questions de nature personnelle.  Toutefois, nous ne sommes pas convaincus que ces diverses lacunes — bien que regrettables — ont compromis l’appréciation de la preuve par le juge de première instance ou rendu l’instance inéquitable au point d’entraîner une erreur judiciaire.</w:t>
      </w:r>
    </w:p>
    <w:p w:rsidR="00604F8A" w:rsidRPr="00495BBE" w:rsidRDefault="00604F8A" w:rsidP="00604F8A">
      <w:pPr>
        <w:pStyle w:val="ParaNoNdepar-AltN"/>
        <w:rPr>
          <w:rFonts w:cs="Times New Roman"/>
          <w:szCs w:val="24"/>
          <w:lang w:val="fr-CA"/>
        </w:rPr>
      </w:pPr>
      <w:r w:rsidRPr="00495BBE">
        <w:rPr>
          <w:rFonts w:cs="Times New Roman"/>
          <w:szCs w:val="24"/>
          <w:lang w:val="fr-CA"/>
        </w:rPr>
        <w:t xml:space="preserve">Nous ne pouvons souscrire à la conclusion des juges majoritaires de la Cour d’appel que le procureur de la Couronne a posé à la plaignante des questions </w:t>
      </w:r>
      <w:r w:rsidRPr="00495BBE">
        <w:rPr>
          <w:rFonts w:cs="Times New Roman"/>
          <w:szCs w:val="24"/>
          <w:lang w:val="fr-CA"/>
        </w:rPr>
        <w:lastRenderedPageBreak/>
        <w:t xml:space="preserve">suggestives inadmissibles.  Une question suggestive est une question qui suggère une réponse ou présume un état de fait qui est par ailleurs contesté.  En l’espèce, les questions du procureur de la Couronne à la plaignante lors de l’interrogatoire principal n’ont pas franchi ce seuil.  En présence d’une enfant réticente à répondre, le procureur a posé à </w:t>
      </w:r>
      <w:proofErr w:type="spellStart"/>
      <w:r w:rsidRPr="00495BBE">
        <w:rPr>
          <w:rFonts w:cs="Times New Roman"/>
          <w:szCs w:val="24"/>
          <w:lang w:val="fr-CA"/>
        </w:rPr>
        <w:t>celle</w:t>
      </w:r>
      <w:r w:rsidRPr="00495BBE">
        <w:rPr>
          <w:rFonts w:cs="Times New Roman"/>
          <w:szCs w:val="24"/>
          <w:lang w:val="fr-CA"/>
        </w:rPr>
        <w:noBreakHyphen/>
        <w:t>ci</w:t>
      </w:r>
      <w:proofErr w:type="spellEnd"/>
      <w:r w:rsidRPr="00495BBE">
        <w:rPr>
          <w:rFonts w:cs="Times New Roman"/>
          <w:szCs w:val="24"/>
          <w:lang w:val="fr-CA"/>
        </w:rPr>
        <w:t xml:space="preserve"> des questions à caractère binaire, qui lui laissaient le choix entre deux réponses.  Ces questions ne suggéraient toutefois pas une réponse précise.  Les principaux éléments de l’infraction ont été obtenus de la plaignante par des questions non suggestives.  Nous ne sommes pas convaincus que le témoignage de cette dernière, considéré globalement, a été obtenu irrégulièrement au moyen de questions suggestives.</w:t>
      </w:r>
    </w:p>
    <w:p w:rsidR="00604F8A" w:rsidRPr="00495BBE" w:rsidRDefault="00604F8A" w:rsidP="00604F8A">
      <w:pPr>
        <w:pStyle w:val="ParaNoNdepar-AltN"/>
        <w:rPr>
          <w:rFonts w:cs="Times New Roman"/>
          <w:szCs w:val="24"/>
          <w:lang w:val="fr-CA"/>
        </w:rPr>
      </w:pPr>
      <w:r w:rsidRPr="00495BBE">
        <w:rPr>
          <w:rFonts w:cs="Times New Roman"/>
          <w:szCs w:val="24"/>
          <w:lang w:val="fr-CA"/>
        </w:rPr>
        <w:t xml:space="preserve">Nous ne considérons pas nécessaire d’examiner dans le détail les autres allégations au sujet de failles qui auraient entaché le procès.  Il ressort des motifs du juge de première instance que </w:t>
      </w:r>
      <w:proofErr w:type="spellStart"/>
      <w:r w:rsidRPr="00495BBE">
        <w:rPr>
          <w:rFonts w:cs="Times New Roman"/>
          <w:szCs w:val="24"/>
          <w:lang w:val="fr-CA"/>
        </w:rPr>
        <w:t>celui</w:t>
      </w:r>
      <w:r w:rsidRPr="00495BBE">
        <w:rPr>
          <w:rFonts w:cs="Times New Roman"/>
          <w:szCs w:val="24"/>
          <w:lang w:val="fr-CA"/>
        </w:rPr>
        <w:noBreakHyphen/>
        <w:t>ci</w:t>
      </w:r>
      <w:proofErr w:type="spellEnd"/>
      <w:r w:rsidRPr="00495BBE">
        <w:rPr>
          <w:rFonts w:cs="Times New Roman"/>
          <w:szCs w:val="24"/>
          <w:lang w:val="fr-CA"/>
        </w:rPr>
        <w:t xml:space="preserve"> était sensible aux préoccupations soulevées par les aspects irréguliers du procès et qu’il en a tenu compte dans les motifs soignés et détaillés qu’il a rédigés.  Les défauts du procès n’ont donc pas entraîné d’erreur judiciaire en l’espèce.</w:t>
      </w:r>
    </w:p>
    <w:p w:rsidR="00604F8A" w:rsidRPr="00495BBE" w:rsidRDefault="00604F8A" w:rsidP="00604F8A">
      <w:pPr>
        <w:pStyle w:val="TitleTitre-AltT"/>
        <w:keepNext/>
        <w:spacing w:after="720"/>
        <w:rPr>
          <w:rFonts w:cs="Times New Roman"/>
          <w:szCs w:val="24"/>
          <w:u w:val="single"/>
          <w:lang w:val="fr-CA"/>
        </w:rPr>
      </w:pPr>
      <w:r w:rsidRPr="00495BBE">
        <w:rPr>
          <w:rFonts w:cs="Times New Roman"/>
          <w:szCs w:val="24"/>
          <w:u w:val="single"/>
          <w:lang w:val="fr-CA"/>
        </w:rPr>
        <w:t>Conclusion</w:t>
      </w:r>
    </w:p>
    <w:p w:rsidR="00604F8A" w:rsidRPr="00495BBE" w:rsidRDefault="00604F8A" w:rsidP="00604F8A">
      <w:pPr>
        <w:pStyle w:val="ParaNoNdepar-AltN"/>
        <w:tabs>
          <w:tab w:val="clear" w:pos="1166"/>
          <w:tab w:val="left" w:pos="1170"/>
        </w:tabs>
        <w:rPr>
          <w:rFonts w:cs="Times New Roman"/>
          <w:szCs w:val="24"/>
          <w:lang w:val="fr-CA"/>
        </w:rPr>
      </w:pPr>
      <w:r w:rsidRPr="00495BBE">
        <w:rPr>
          <w:rFonts w:cs="Times New Roman"/>
          <w:szCs w:val="24"/>
          <w:lang w:val="fr-CA"/>
        </w:rPr>
        <w:t>Nous sommes d’avis d’accueillir le pourvoi et de rétablir la déclaration de culpabilité.</w:t>
      </w:r>
    </w:p>
    <w:p w:rsidR="00604F8A" w:rsidRPr="00FE7F27" w:rsidRDefault="00604F8A" w:rsidP="00604F8A">
      <w:pPr>
        <w:pStyle w:val="JudgeJuge"/>
        <w:spacing w:before="720"/>
        <w:rPr>
          <w:smallCaps w:val="0"/>
          <w:szCs w:val="24"/>
          <w:lang w:val="fr-CA"/>
        </w:rPr>
      </w:pPr>
      <w:r w:rsidRPr="009C05E1">
        <w:rPr>
          <w:szCs w:val="24"/>
          <w:lang w:val="fr-CA"/>
        </w:rPr>
        <w:lastRenderedPageBreak/>
        <w:tab/>
      </w:r>
      <w:r w:rsidR="00FE7F27" w:rsidRPr="00FE7F27">
        <w:rPr>
          <w:smallCaps w:val="0"/>
          <w:szCs w:val="24"/>
          <w:lang w:val="fr-CA"/>
        </w:rPr>
        <w:t>Version</w:t>
      </w:r>
      <w:r w:rsidR="00FE7F27">
        <w:rPr>
          <w:smallCaps w:val="0"/>
          <w:szCs w:val="24"/>
          <w:lang w:val="fr-CA"/>
        </w:rPr>
        <w:t xml:space="preserve"> française des motifs rendus par</w:t>
      </w:r>
    </w:p>
    <w:p w:rsidR="00604F8A" w:rsidRPr="009C05E1" w:rsidRDefault="00FE7F27" w:rsidP="00604F8A">
      <w:pPr>
        <w:pStyle w:val="ParaNoNdepar-AltN"/>
        <w:tabs>
          <w:tab w:val="clear" w:pos="1166"/>
          <w:tab w:val="num" w:pos="1152"/>
        </w:tabs>
        <w:rPr>
          <w:rFonts w:cs="Times New Roman"/>
          <w:szCs w:val="24"/>
          <w:lang w:val="fr-CA"/>
        </w:rPr>
      </w:pPr>
      <w:r w:rsidRPr="00FE7F27">
        <w:rPr>
          <w:smallCaps/>
          <w:szCs w:val="24"/>
          <w:lang w:val="fr-CA"/>
        </w:rPr>
        <w:t>Le juge Fish</w:t>
      </w:r>
      <w:r w:rsidRPr="009C05E1">
        <w:rPr>
          <w:szCs w:val="24"/>
          <w:lang w:val="fr-CA"/>
        </w:rPr>
        <w:t xml:space="preserve"> </w:t>
      </w:r>
      <w:r>
        <w:rPr>
          <w:szCs w:val="24"/>
          <w:lang w:val="fr-CA"/>
        </w:rPr>
        <w:t xml:space="preserve">(dissident) </w:t>
      </w:r>
      <w:r w:rsidRPr="009C05E1">
        <w:rPr>
          <w:szCs w:val="24"/>
          <w:lang w:val="fr-CA"/>
        </w:rPr>
        <w:t xml:space="preserve">— </w:t>
      </w:r>
      <w:r w:rsidR="00604F8A" w:rsidRPr="009C05E1">
        <w:rPr>
          <w:rFonts w:cs="Times New Roman"/>
          <w:szCs w:val="24"/>
          <w:lang w:val="fr-CA"/>
        </w:rPr>
        <w:t xml:space="preserve">Avec égards pour ceux qui sont d’avis contraire, je conclus que le procès de l’intimé s’est déroulé de manière insatisfaisante — notamment en raison des </w:t>
      </w:r>
      <w:proofErr w:type="spellStart"/>
      <w:r w:rsidR="00604F8A" w:rsidRPr="009C05E1">
        <w:rPr>
          <w:rFonts w:cs="Times New Roman"/>
          <w:szCs w:val="24"/>
          <w:lang w:val="fr-CA"/>
        </w:rPr>
        <w:t>contre</w:t>
      </w:r>
      <w:r w:rsidR="00604F8A" w:rsidRPr="009C05E1">
        <w:rPr>
          <w:rFonts w:cs="Times New Roman"/>
          <w:szCs w:val="24"/>
          <w:lang w:val="fr-CA"/>
        </w:rPr>
        <w:noBreakHyphen/>
        <w:t>interrogatoires</w:t>
      </w:r>
      <w:proofErr w:type="spellEnd"/>
      <w:r w:rsidR="00604F8A" w:rsidRPr="009C05E1">
        <w:rPr>
          <w:rFonts w:cs="Times New Roman"/>
          <w:szCs w:val="24"/>
          <w:lang w:val="fr-CA"/>
        </w:rPr>
        <w:t xml:space="preserve"> inopportuns et préjudiciables auxquels on a soumis ce dernier et N.L., la </w:t>
      </w:r>
      <w:proofErr w:type="spellStart"/>
      <w:r w:rsidR="00604F8A" w:rsidRPr="009C05E1">
        <w:rPr>
          <w:rFonts w:cs="Times New Roman"/>
          <w:szCs w:val="24"/>
          <w:lang w:val="fr-CA"/>
        </w:rPr>
        <w:t>grand</w:t>
      </w:r>
      <w:r w:rsidR="00604F8A" w:rsidRPr="009C05E1">
        <w:rPr>
          <w:rFonts w:cs="Times New Roman"/>
          <w:szCs w:val="24"/>
          <w:lang w:val="fr-CA"/>
        </w:rPr>
        <w:noBreakHyphen/>
        <w:t>mère</w:t>
      </w:r>
      <w:proofErr w:type="spellEnd"/>
      <w:r w:rsidR="00604F8A" w:rsidRPr="009C05E1">
        <w:rPr>
          <w:rFonts w:cs="Times New Roman"/>
          <w:szCs w:val="24"/>
          <w:lang w:val="fr-CA"/>
        </w:rPr>
        <w:t xml:space="preserve"> de la plaignante, qui était un témoin important de la défense.  Le fait que l’avocat de la défense ne se soit pas opposé aux </w:t>
      </w:r>
      <w:proofErr w:type="spellStart"/>
      <w:r w:rsidR="00604F8A" w:rsidRPr="009C05E1">
        <w:rPr>
          <w:rFonts w:cs="Times New Roman"/>
          <w:szCs w:val="24"/>
          <w:lang w:val="fr-CA"/>
        </w:rPr>
        <w:t>contre</w:t>
      </w:r>
      <w:r w:rsidR="00604F8A" w:rsidRPr="009C05E1">
        <w:rPr>
          <w:rFonts w:cs="Times New Roman"/>
          <w:szCs w:val="24"/>
          <w:lang w:val="fr-CA"/>
        </w:rPr>
        <w:noBreakHyphen/>
        <w:t>interrogatoires</w:t>
      </w:r>
      <w:proofErr w:type="spellEnd"/>
      <w:r w:rsidR="00604F8A" w:rsidRPr="009C05E1">
        <w:rPr>
          <w:rFonts w:cs="Times New Roman"/>
          <w:szCs w:val="24"/>
          <w:lang w:val="fr-CA"/>
        </w:rPr>
        <w:t xml:space="preserve"> contestés n’atténue guère leur effet préjudiciable.  Les questions inexplicables de l’avocat de la défense concernant le refus de l’intimé de subir le test du détecteur de mensonges ne justifient pas non plus le </w:t>
      </w:r>
      <w:proofErr w:type="spellStart"/>
      <w:r w:rsidR="00604F8A" w:rsidRPr="009C05E1">
        <w:rPr>
          <w:rFonts w:cs="Times New Roman"/>
          <w:szCs w:val="24"/>
          <w:lang w:val="fr-CA"/>
        </w:rPr>
        <w:t>contre</w:t>
      </w:r>
      <w:r w:rsidR="00604F8A" w:rsidRPr="009C05E1">
        <w:rPr>
          <w:rFonts w:cs="Times New Roman"/>
          <w:szCs w:val="24"/>
          <w:lang w:val="fr-CA"/>
        </w:rPr>
        <w:noBreakHyphen/>
        <w:t>interrogatoire</w:t>
      </w:r>
      <w:proofErr w:type="spellEnd"/>
      <w:r w:rsidR="00604F8A" w:rsidRPr="009C05E1">
        <w:rPr>
          <w:rFonts w:cs="Times New Roman"/>
          <w:szCs w:val="24"/>
          <w:lang w:val="fr-CA"/>
        </w:rPr>
        <w:t xml:space="preserve"> persistant de la Couronne insinuant que le refus de l’intimé de se soumettre à ce test ne pouvait s’expliquer que par sa culpabilité.  Enfin, je reconnais que le juge de première instance a exposé des motifs détaillés et mûrement réfléchis à l’appui de sa conclusion (2009 NSPC 33 (</w:t>
      </w:r>
      <w:proofErr w:type="spellStart"/>
      <w:r w:rsidR="00604F8A" w:rsidRPr="009C05E1">
        <w:rPr>
          <w:rFonts w:cs="Times New Roman"/>
          <w:szCs w:val="24"/>
          <w:lang w:val="fr-CA"/>
        </w:rPr>
        <w:t>CanLII</w:t>
      </w:r>
      <w:proofErr w:type="spellEnd"/>
      <w:r w:rsidR="00604F8A" w:rsidRPr="009C05E1">
        <w:rPr>
          <w:rFonts w:cs="Times New Roman"/>
          <w:szCs w:val="24"/>
          <w:lang w:val="fr-CA"/>
        </w:rPr>
        <w:t>)).  À mon humble avis toutefois, ces motifs ne sauraient remédier au caractère insatisfaisant du procès</w:t>
      </w:r>
      <w:r w:rsidR="00604F8A">
        <w:rPr>
          <w:rFonts w:cs="Times New Roman"/>
          <w:szCs w:val="24"/>
          <w:lang w:val="fr-CA"/>
        </w:rPr>
        <w:t>.</w:t>
      </w:r>
    </w:p>
    <w:p w:rsidR="00604F8A" w:rsidRPr="009C05E1" w:rsidRDefault="00604F8A" w:rsidP="00604F8A">
      <w:pPr>
        <w:pStyle w:val="ParaNoNdepar-AltN"/>
        <w:tabs>
          <w:tab w:val="clear" w:pos="1166"/>
          <w:tab w:val="num" w:pos="1152"/>
        </w:tabs>
        <w:rPr>
          <w:rFonts w:cs="Times New Roman"/>
          <w:szCs w:val="24"/>
          <w:lang w:val="fr-CA"/>
        </w:rPr>
      </w:pPr>
      <w:r w:rsidRPr="002F07B2">
        <w:rPr>
          <w:rFonts w:cs="Times New Roman"/>
          <w:szCs w:val="24"/>
          <w:lang w:val="fr-CA"/>
        </w:rPr>
        <w:t>Par conséquent, sans pour autant faire miens tous les motifs des juges majoritaires de la Cour d’appel (2010 NSCA 73, 295 N.S.R. (2d) 141), comme eux je suis d’avis que l’intimé a droit à un nouveau procès et je rejetterais donc le pourvoi formé par la Couronne devant notre Cour.</w:t>
      </w:r>
    </w:p>
    <w:p w:rsidR="0033393C" w:rsidRPr="00214E04" w:rsidRDefault="005E1D93" w:rsidP="00F91BBB">
      <w:pPr>
        <w:pStyle w:val="SCCNormalDoubleSpacing"/>
        <w:spacing w:after="480"/>
        <w:rPr>
          <w:i/>
        </w:rPr>
      </w:pPr>
      <w:r w:rsidRPr="00214E04">
        <w:rPr>
          <w:i/>
        </w:rPr>
        <w:tab/>
        <w:t xml:space="preserve">Pourvoi </w:t>
      </w:r>
      <w:r w:rsidR="00D27AF8" w:rsidRPr="00214E04">
        <w:rPr>
          <w:i/>
        </w:rPr>
        <w:t xml:space="preserve">accueilli, le juge </w:t>
      </w:r>
      <w:r w:rsidR="00D27AF8" w:rsidRPr="00214E04">
        <w:rPr>
          <w:smallCaps/>
        </w:rPr>
        <w:t>Fish</w:t>
      </w:r>
      <w:r w:rsidR="00D27AF8" w:rsidRPr="00214E04">
        <w:rPr>
          <w:i/>
        </w:rPr>
        <w:t xml:space="preserve"> est dissident</w:t>
      </w:r>
      <w:r w:rsidRPr="00214E04">
        <w:rPr>
          <w:i/>
        </w:rPr>
        <w:t>.</w:t>
      </w:r>
    </w:p>
    <w:p w:rsidR="005E1D93" w:rsidRPr="008757CD" w:rsidRDefault="005E1D93" w:rsidP="008757CD">
      <w:pPr>
        <w:pStyle w:val="SCCNormalDoubleSpacing"/>
        <w:spacing w:after="480"/>
        <w:rPr>
          <w:i/>
        </w:rPr>
      </w:pPr>
      <w:r w:rsidRPr="00214E04">
        <w:lastRenderedPageBreak/>
        <w:tab/>
      </w:r>
      <w:r w:rsidRPr="008757CD">
        <w:rPr>
          <w:rStyle w:val="SCCCounselNameChar"/>
        </w:rPr>
        <w:t>Procureur</w:t>
      </w:r>
      <w:r w:rsidRPr="008757CD">
        <w:rPr>
          <w:i/>
        </w:rPr>
        <w:t xml:space="preserve"> de l</w:t>
      </w:r>
      <w:r w:rsidR="00300C76" w:rsidRPr="008757CD">
        <w:rPr>
          <w:i/>
        </w:rPr>
        <w:t>’</w:t>
      </w:r>
      <w:r w:rsidRPr="008757CD">
        <w:rPr>
          <w:i/>
        </w:rPr>
        <w:t>appelante</w:t>
      </w:r>
      <w:r w:rsidR="00F91BBB" w:rsidRPr="008757CD">
        <w:rPr>
          <w:i/>
        </w:rPr>
        <w:t> : </w:t>
      </w:r>
      <w:r w:rsidRPr="008757CD">
        <w:rPr>
          <w:i/>
        </w:rPr>
        <w:t xml:space="preserve">Public </w:t>
      </w:r>
      <w:proofErr w:type="spellStart"/>
      <w:r w:rsidRPr="008757CD">
        <w:rPr>
          <w:i/>
        </w:rPr>
        <w:t>Prosecution</w:t>
      </w:r>
      <w:proofErr w:type="spellEnd"/>
      <w:r w:rsidRPr="008757CD">
        <w:rPr>
          <w:i/>
        </w:rPr>
        <w:t xml:space="preserve"> Service of Nova </w:t>
      </w:r>
      <w:proofErr w:type="spellStart"/>
      <w:r w:rsidRPr="008757CD">
        <w:rPr>
          <w:i/>
        </w:rPr>
        <w:t>Scotia</w:t>
      </w:r>
      <w:proofErr w:type="spellEnd"/>
      <w:r w:rsidRPr="008757CD">
        <w:rPr>
          <w:i/>
        </w:rPr>
        <w:t>, Halifax.</w:t>
      </w:r>
    </w:p>
    <w:p w:rsidR="0043088E" w:rsidRPr="00604F8A" w:rsidRDefault="00F91BBB" w:rsidP="00604F8A">
      <w:pPr>
        <w:pStyle w:val="SCCNormalDoubleSpacing"/>
        <w:spacing w:after="480"/>
      </w:pPr>
      <w:r w:rsidRPr="008757CD">
        <w:rPr>
          <w:i/>
        </w:rPr>
        <w:tab/>
      </w:r>
      <w:r w:rsidRPr="008757CD">
        <w:rPr>
          <w:rStyle w:val="SCCCounselNameChar"/>
        </w:rPr>
        <w:t>Procureur</w:t>
      </w:r>
      <w:r w:rsidRPr="008757CD">
        <w:rPr>
          <w:i/>
        </w:rPr>
        <w:t xml:space="preserve"> de l</w:t>
      </w:r>
      <w:r w:rsidR="00300C76" w:rsidRPr="008757CD">
        <w:rPr>
          <w:i/>
        </w:rPr>
        <w:t>’</w:t>
      </w:r>
      <w:r w:rsidRPr="008757CD">
        <w:rPr>
          <w:i/>
        </w:rPr>
        <w:t>intimé : </w:t>
      </w:r>
      <w:r w:rsidR="005E1D93" w:rsidRPr="008757CD">
        <w:rPr>
          <w:i/>
        </w:rPr>
        <w:t>Dartmouth Professional Centre, Dar</w:t>
      </w:r>
      <w:r w:rsidR="008E37FF">
        <w:rPr>
          <w:i/>
        </w:rPr>
        <w:t>t</w:t>
      </w:r>
      <w:r w:rsidR="005E1D93" w:rsidRPr="008757CD">
        <w:rPr>
          <w:i/>
        </w:rPr>
        <w:t>mouth.</w:t>
      </w:r>
      <w:r w:rsidR="00604F8A" w:rsidRPr="00604F8A">
        <w:t xml:space="preserve"> </w:t>
      </w:r>
    </w:p>
    <w:sectPr w:rsidR="0043088E" w:rsidRPr="00604F8A" w:rsidSect="00E42D67">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4B" w:rsidRDefault="0003164B">
      <w:r>
        <w:separator/>
      </w:r>
    </w:p>
  </w:endnote>
  <w:endnote w:type="continuationSeparator" w:id="0">
    <w:p w:rsidR="0003164B" w:rsidRDefault="00031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4B" w:rsidRDefault="0003164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4B" w:rsidRDefault="0003164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4B" w:rsidRDefault="0003164B">
      <w:r>
        <w:separator/>
      </w:r>
    </w:p>
  </w:footnote>
  <w:footnote w:type="continuationSeparator" w:id="0">
    <w:p w:rsidR="0003164B" w:rsidRDefault="00031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4B" w:rsidRDefault="0003164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67" w:rsidRDefault="00564B39">
    <w:pPr>
      <w:pStyle w:val="Header"/>
      <w:jc w:val="center"/>
    </w:pPr>
    <w:sdt>
      <w:sdtPr>
        <w:id w:val="18438755"/>
        <w:docPartObj>
          <w:docPartGallery w:val="Page Numbers (Top of Page)"/>
          <w:docPartUnique/>
        </w:docPartObj>
      </w:sdtPr>
      <w:sdtContent>
        <w:r w:rsidR="00E42D67">
          <w:t xml:space="preserve">- </w:t>
        </w:r>
        <w:fldSimple w:instr=" PAGE   \* MERGEFORMAT ">
          <w:r w:rsidR="00664496">
            <w:rPr>
              <w:noProof/>
            </w:rPr>
            <w:t>10</w:t>
          </w:r>
        </w:fldSimple>
      </w:sdtContent>
    </w:sdt>
    <w:r w:rsidR="00E42D67">
      <w:t xml:space="preserve"> -</w:t>
    </w:r>
  </w:p>
  <w:p w:rsidR="0003164B" w:rsidRDefault="0003164B"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rsids>
    <w:rsidRoot w:val="0031414C"/>
    <w:rsid w:val="00025198"/>
    <w:rsid w:val="0003164B"/>
    <w:rsid w:val="00055A36"/>
    <w:rsid w:val="000578A3"/>
    <w:rsid w:val="00064563"/>
    <w:rsid w:val="000648CC"/>
    <w:rsid w:val="00093A62"/>
    <w:rsid w:val="00094DE0"/>
    <w:rsid w:val="000A5321"/>
    <w:rsid w:val="000B6283"/>
    <w:rsid w:val="000C59B8"/>
    <w:rsid w:val="000C7D05"/>
    <w:rsid w:val="000D46E4"/>
    <w:rsid w:val="000E1207"/>
    <w:rsid w:val="000F6116"/>
    <w:rsid w:val="00107D17"/>
    <w:rsid w:val="00111DE2"/>
    <w:rsid w:val="00116B38"/>
    <w:rsid w:val="0013109F"/>
    <w:rsid w:val="0013177A"/>
    <w:rsid w:val="00135406"/>
    <w:rsid w:val="00135972"/>
    <w:rsid w:val="00140667"/>
    <w:rsid w:val="001426A9"/>
    <w:rsid w:val="00154D7C"/>
    <w:rsid w:val="001570B0"/>
    <w:rsid w:val="00166F7E"/>
    <w:rsid w:val="00172A04"/>
    <w:rsid w:val="00175A97"/>
    <w:rsid w:val="00176BBD"/>
    <w:rsid w:val="00177F33"/>
    <w:rsid w:val="00185394"/>
    <w:rsid w:val="00186F2F"/>
    <w:rsid w:val="001A451D"/>
    <w:rsid w:val="001B33E0"/>
    <w:rsid w:val="001B4573"/>
    <w:rsid w:val="001C779F"/>
    <w:rsid w:val="001D2AC1"/>
    <w:rsid w:val="001E4AF5"/>
    <w:rsid w:val="001F6E11"/>
    <w:rsid w:val="001F7673"/>
    <w:rsid w:val="00214E04"/>
    <w:rsid w:val="00220FC2"/>
    <w:rsid w:val="00224FC0"/>
    <w:rsid w:val="00225EA4"/>
    <w:rsid w:val="00226EAF"/>
    <w:rsid w:val="00231F3A"/>
    <w:rsid w:val="002406EE"/>
    <w:rsid w:val="00253244"/>
    <w:rsid w:val="00270AEC"/>
    <w:rsid w:val="002745CC"/>
    <w:rsid w:val="002D39A4"/>
    <w:rsid w:val="002E6705"/>
    <w:rsid w:val="002F696C"/>
    <w:rsid w:val="00300C76"/>
    <w:rsid w:val="0030329A"/>
    <w:rsid w:val="00307AFD"/>
    <w:rsid w:val="0031086F"/>
    <w:rsid w:val="00310E05"/>
    <w:rsid w:val="0031414C"/>
    <w:rsid w:val="00314E01"/>
    <w:rsid w:val="0032089D"/>
    <w:rsid w:val="0033393C"/>
    <w:rsid w:val="0034770C"/>
    <w:rsid w:val="0035259D"/>
    <w:rsid w:val="00367D51"/>
    <w:rsid w:val="003866EC"/>
    <w:rsid w:val="00393846"/>
    <w:rsid w:val="00394476"/>
    <w:rsid w:val="003A4C70"/>
    <w:rsid w:val="003A4E15"/>
    <w:rsid w:val="003C799C"/>
    <w:rsid w:val="003E1C71"/>
    <w:rsid w:val="003F327B"/>
    <w:rsid w:val="004059A7"/>
    <w:rsid w:val="00406166"/>
    <w:rsid w:val="00411300"/>
    <w:rsid w:val="00426659"/>
    <w:rsid w:val="0043088E"/>
    <w:rsid w:val="004439D8"/>
    <w:rsid w:val="0045237C"/>
    <w:rsid w:val="00465132"/>
    <w:rsid w:val="004700E3"/>
    <w:rsid w:val="0047143F"/>
    <w:rsid w:val="00480C90"/>
    <w:rsid w:val="0048396F"/>
    <w:rsid w:val="00493C18"/>
    <w:rsid w:val="00494CDC"/>
    <w:rsid w:val="004A600C"/>
    <w:rsid w:val="004C478D"/>
    <w:rsid w:val="004E21A0"/>
    <w:rsid w:val="004E6A2C"/>
    <w:rsid w:val="004F45C6"/>
    <w:rsid w:val="00521AE8"/>
    <w:rsid w:val="00527180"/>
    <w:rsid w:val="00536719"/>
    <w:rsid w:val="005564A7"/>
    <w:rsid w:val="0055760A"/>
    <w:rsid w:val="00564B39"/>
    <w:rsid w:val="005A5BAF"/>
    <w:rsid w:val="005C1321"/>
    <w:rsid w:val="005C5679"/>
    <w:rsid w:val="005E1D93"/>
    <w:rsid w:val="005E3B4D"/>
    <w:rsid w:val="005E4698"/>
    <w:rsid w:val="005F4ABE"/>
    <w:rsid w:val="00600084"/>
    <w:rsid w:val="00604F8A"/>
    <w:rsid w:val="00625C35"/>
    <w:rsid w:val="00631F96"/>
    <w:rsid w:val="00634E1B"/>
    <w:rsid w:val="00645057"/>
    <w:rsid w:val="00654858"/>
    <w:rsid w:val="006565F4"/>
    <w:rsid w:val="00664496"/>
    <w:rsid w:val="0067060B"/>
    <w:rsid w:val="00681AD1"/>
    <w:rsid w:val="00692AB4"/>
    <w:rsid w:val="006A56F1"/>
    <w:rsid w:val="006A59B6"/>
    <w:rsid w:val="006B18C7"/>
    <w:rsid w:val="006B5FF5"/>
    <w:rsid w:val="006C18C2"/>
    <w:rsid w:val="006C5661"/>
    <w:rsid w:val="006D4790"/>
    <w:rsid w:val="006F4EA0"/>
    <w:rsid w:val="00701759"/>
    <w:rsid w:val="00702C6F"/>
    <w:rsid w:val="0074129D"/>
    <w:rsid w:val="00747288"/>
    <w:rsid w:val="00747DD3"/>
    <w:rsid w:val="00752F4E"/>
    <w:rsid w:val="007549C8"/>
    <w:rsid w:val="00762D30"/>
    <w:rsid w:val="00763377"/>
    <w:rsid w:val="00766D14"/>
    <w:rsid w:val="00767A0F"/>
    <w:rsid w:val="007834A8"/>
    <w:rsid w:val="007A05F6"/>
    <w:rsid w:val="007B1940"/>
    <w:rsid w:val="007B6F4A"/>
    <w:rsid w:val="007E1C47"/>
    <w:rsid w:val="007E337A"/>
    <w:rsid w:val="007E5C70"/>
    <w:rsid w:val="007F2FF5"/>
    <w:rsid w:val="008142CF"/>
    <w:rsid w:val="00817190"/>
    <w:rsid w:val="008322BD"/>
    <w:rsid w:val="00842B0D"/>
    <w:rsid w:val="00855307"/>
    <w:rsid w:val="00862CF3"/>
    <w:rsid w:val="00864CF8"/>
    <w:rsid w:val="00874914"/>
    <w:rsid w:val="008757CD"/>
    <w:rsid w:val="00892E1A"/>
    <w:rsid w:val="008958F5"/>
    <w:rsid w:val="008A6558"/>
    <w:rsid w:val="008A727C"/>
    <w:rsid w:val="008C01DA"/>
    <w:rsid w:val="008C5419"/>
    <w:rsid w:val="008E0A5C"/>
    <w:rsid w:val="008E37FF"/>
    <w:rsid w:val="008F16D9"/>
    <w:rsid w:val="008F78E9"/>
    <w:rsid w:val="00902462"/>
    <w:rsid w:val="009403F3"/>
    <w:rsid w:val="00952BFD"/>
    <w:rsid w:val="00957FA2"/>
    <w:rsid w:val="009626E8"/>
    <w:rsid w:val="00966913"/>
    <w:rsid w:val="00967374"/>
    <w:rsid w:val="0097543E"/>
    <w:rsid w:val="00983F3F"/>
    <w:rsid w:val="00985C69"/>
    <w:rsid w:val="0099079B"/>
    <w:rsid w:val="009B2F23"/>
    <w:rsid w:val="009B53E2"/>
    <w:rsid w:val="009B57B3"/>
    <w:rsid w:val="009D5AEB"/>
    <w:rsid w:val="009F383F"/>
    <w:rsid w:val="00A05F0E"/>
    <w:rsid w:val="00A13124"/>
    <w:rsid w:val="00A21107"/>
    <w:rsid w:val="00A21B90"/>
    <w:rsid w:val="00A23E8A"/>
    <w:rsid w:val="00A24E15"/>
    <w:rsid w:val="00A548CB"/>
    <w:rsid w:val="00A6242E"/>
    <w:rsid w:val="00A643E7"/>
    <w:rsid w:val="00A73C38"/>
    <w:rsid w:val="00A77B23"/>
    <w:rsid w:val="00A82521"/>
    <w:rsid w:val="00A92822"/>
    <w:rsid w:val="00AB64DF"/>
    <w:rsid w:val="00AC6322"/>
    <w:rsid w:val="00AC7437"/>
    <w:rsid w:val="00AC7A44"/>
    <w:rsid w:val="00AE7C9D"/>
    <w:rsid w:val="00AF03C5"/>
    <w:rsid w:val="00AF1862"/>
    <w:rsid w:val="00B000D8"/>
    <w:rsid w:val="00B00F75"/>
    <w:rsid w:val="00B145B6"/>
    <w:rsid w:val="00B24544"/>
    <w:rsid w:val="00B50C81"/>
    <w:rsid w:val="00B557F8"/>
    <w:rsid w:val="00B62193"/>
    <w:rsid w:val="00B64972"/>
    <w:rsid w:val="00B66DD8"/>
    <w:rsid w:val="00B8145D"/>
    <w:rsid w:val="00B815FC"/>
    <w:rsid w:val="00B93FBC"/>
    <w:rsid w:val="00BC0D9C"/>
    <w:rsid w:val="00C02092"/>
    <w:rsid w:val="00C057F7"/>
    <w:rsid w:val="00C0663B"/>
    <w:rsid w:val="00C20989"/>
    <w:rsid w:val="00C24C8C"/>
    <w:rsid w:val="00C24D91"/>
    <w:rsid w:val="00C52532"/>
    <w:rsid w:val="00C53F14"/>
    <w:rsid w:val="00C5595B"/>
    <w:rsid w:val="00C55C2E"/>
    <w:rsid w:val="00C600CF"/>
    <w:rsid w:val="00C6084F"/>
    <w:rsid w:val="00C62A66"/>
    <w:rsid w:val="00C62A6F"/>
    <w:rsid w:val="00C67CA5"/>
    <w:rsid w:val="00C71458"/>
    <w:rsid w:val="00C71F58"/>
    <w:rsid w:val="00C77613"/>
    <w:rsid w:val="00C828E7"/>
    <w:rsid w:val="00C921DD"/>
    <w:rsid w:val="00CA4D82"/>
    <w:rsid w:val="00CA6391"/>
    <w:rsid w:val="00CE3171"/>
    <w:rsid w:val="00CF1601"/>
    <w:rsid w:val="00CF31A0"/>
    <w:rsid w:val="00D22B0C"/>
    <w:rsid w:val="00D27AF8"/>
    <w:rsid w:val="00D32086"/>
    <w:rsid w:val="00D37A3F"/>
    <w:rsid w:val="00D45FCF"/>
    <w:rsid w:val="00D4667A"/>
    <w:rsid w:val="00D510BB"/>
    <w:rsid w:val="00D5435D"/>
    <w:rsid w:val="00D74F2E"/>
    <w:rsid w:val="00DA0590"/>
    <w:rsid w:val="00DC1788"/>
    <w:rsid w:val="00DD62EF"/>
    <w:rsid w:val="00DF0CA8"/>
    <w:rsid w:val="00DF49A7"/>
    <w:rsid w:val="00E01106"/>
    <w:rsid w:val="00E07EE2"/>
    <w:rsid w:val="00E24573"/>
    <w:rsid w:val="00E377A1"/>
    <w:rsid w:val="00E42D67"/>
    <w:rsid w:val="00E45109"/>
    <w:rsid w:val="00E54B02"/>
    <w:rsid w:val="00E83A2E"/>
    <w:rsid w:val="00E8474C"/>
    <w:rsid w:val="00E870CC"/>
    <w:rsid w:val="00E97830"/>
    <w:rsid w:val="00EA03E5"/>
    <w:rsid w:val="00EB13EF"/>
    <w:rsid w:val="00ED741A"/>
    <w:rsid w:val="00EE0FAF"/>
    <w:rsid w:val="00F00EB7"/>
    <w:rsid w:val="00F2258E"/>
    <w:rsid w:val="00F33658"/>
    <w:rsid w:val="00F36AB6"/>
    <w:rsid w:val="00F409CE"/>
    <w:rsid w:val="00F84DF4"/>
    <w:rsid w:val="00F853FB"/>
    <w:rsid w:val="00F85C97"/>
    <w:rsid w:val="00F869D1"/>
    <w:rsid w:val="00F91BBB"/>
    <w:rsid w:val="00FA2FE1"/>
    <w:rsid w:val="00FC606D"/>
    <w:rsid w:val="00FD068D"/>
    <w:rsid w:val="00FD4F28"/>
    <w:rsid w:val="00FE4B4D"/>
    <w:rsid w:val="00FE6784"/>
    <w:rsid w:val="00FE7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SCCCoram">
    <w:name w:val="SCC.Coram"/>
    <w:basedOn w:val="Normal"/>
    <w:next w:val="Normal"/>
    <w:link w:val="SCCCoramChar"/>
    <w:rsid w:val="00600084"/>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600084"/>
    <w:rPr>
      <w:rFonts w:eastAsiaTheme="minorHAnsi" w:cstheme="minorBidi"/>
      <w:sz w:val="24"/>
      <w:szCs w:val="22"/>
      <w:lang w:eastAsia="en-US"/>
    </w:rPr>
  </w:style>
  <w:style w:type="character" w:customStyle="1" w:styleId="SCCBanSummaryChar">
    <w:name w:val="SCC.BanSummary Char"/>
    <w:basedOn w:val="DefaultParagraphFont"/>
    <w:link w:val="SCCBanSummary"/>
    <w:rsid w:val="00604F8A"/>
    <w:rPr>
      <w:b/>
      <w:sz w:val="24"/>
      <w:lang w:val="fr-CA"/>
    </w:rPr>
  </w:style>
  <w:style w:type="table" w:styleId="TableGrid">
    <w:name w:val="Table Grid"/>
    <w:basedOn w:val="TableNormal"/>
    <w:uiPriority w:val="59"/>
    <w:rsid w:val="00604F8A"/>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604F8A"/>
    <w:pPr>
      <w:tabs>
        <w:tab w:val="left" w:pos="1166"/>
      </w:tabs>
      <w:spacing w:after="480" w:line="480" w:lineRule="auto"/>
    </w:pPr>
    <w:rPr>
      <w:smallCaps/>
      <w:sz w:val="24"/>
    </w:rPr>
  </w:style>
  <w:style w:type="paragraph" w:customStyle="1" w:styleId="ParaNoNdepar-AltN">
    <w:name w:val="Para. No. / Nº de par. - Alt N"/>
    <w:qFormat/>
    <w:rsid w:val="00604F8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604F8A"/>
    <w:pPr>
      <w:tabs>
        <w:tab w:val="left" w:pos="360"/>
      </w:tabs>
      <w:spacing w:before="480" w:after="48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1717</Words>
  <Characters>9162</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2011-10-20T13:53:00Z</dcterms:created>
  <dcterms:modified xsi:type="dcterms:W3CDTF">2011-10-20T13:53:00Z</dcterms:modified>
</cp:coreProperties>
</file>