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2C" w:rsidRPr="00877BC7" w:rsidRDefault="009D2F2C" w:rsidP="009D2F2C">
      <w:pPr>
        <w:tabs>
          <w:tab w:val="center" w:pos="4680"/>
          <w:tab w:val="right" w:pos="9360"/>
        </w:tabs>
        <w:jc w:val="center"/>
        <w:rPr>
          <w:rFonts w:eastAsiaTheme="minorHAnsi" w:cstheme="minorBidi"/>
          <w:szCs w:val="24"/>
          <w:lang w:eastAsia="en-US"/>
        </w:rPr>
      </w:pPr>
      <w:r w:rsidRPr="00877BC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80609553" r:id="rId8"/>
        </w:object>
      </w:r>
    </w:p>
    <w:p w:rsidR="009D2F2C" w:rsidRPr="00877BC7" w:rsidRDefault="009D2F2C" w:rsidP="009D2F2C">
      <w:pPr>
        <w:tabs>
          <w:tab w:val="center" w:pos="4680"/>
          <w:tab w:val="right" w:pos="9360"/>
        </w:tabs>
        <w:rPr>
          <w:rFonts w:eastAsiaTheme="minorHAnsi" w:cstheme="minorBidi"/>
          <w:szCs w:val="24"/>
          <w:lang w:eastAsia="en-US"/>
        </w:rPr>
      </w:pPr>
    </w:p>
    <w:p w:rsidR="009D2F2C" w:rsidRPr="00877BC7" w:rsidRDefault="009D2F2C" w:rsidP="009D2F2C">
      <w:pPr>
        <w:jc w:val="center"/>
        <w:rPr>
          <w:rFonts w:eastAsiaTheme="minorHAnsi" w:cstheme="minorBidi"/>
          <w:b/>
          <w:szCs w:val="24"/>
          <w:lang w:eastAsia="en-US"/>
        </w:rPr>
      </w:pPr>
      <w:r w:rsidRPr="00877BC7">
        <w:rPr>
          <w:rFonts w:eastAsiaTheme="minorHAnsi" w:cstheme="minorBidi"/>
          <w:b/>
          <w:szCs w:val="24"/>
          <w:lang w:eastAsia="en-US"/>
        </w:rPr>
        <w:t>COUR SUPRÊME DU CANADA</w:t>
      </w:r>
    </w:p>
    <w:p w:rsidR="009D2F2C" w:rsidRPr="00877BC7" w:rsidRDefault="009D2F2C" w:rsidP="009D2F2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D2F2C" w:rsidRPr="00877BC7" w:rsidTr="00FE433E">
        <w:trPr>
          <w:cantSplit/>
        </w:trPr>
        <w:tc>
          <w:tcPr>
            <w:tcW w:w="6768" w:type="dxa"/>
          </w:tcPr>
          <w:p w:rsidR="009D2F2C" w:rsidRPr="00877BC7" w:rsidRDefault="009D2F2C" w:rsidP="00FE433E">
            <w:pPr>
              <w:rPr>
                <w:lang w:val="en-US"/>
              </w:rPr>
            </w:pPr>
            <w:r w:rsidRPr="00877BC7">
              <w:rPr>
                <w:b/>
                <w:smallCaps/>
                <w:lang w:val="en-US"/>
              </w:rPr>
              <w:t>Référence :</w:t>
            </w:r>
            <w:r w:rsidRPr="00877BC7">
              <w:rPr>
                <w:lang w:val="en-US"/>
              </w:rPr>
              <w:t xml:space="preserve"> Alberta </w:t>
            </w:r>
            <w:r w:rsidRPr="00877BC7">
              <w:rPr>
                <w:i/>
                <w:lang w:val="en-US"/>
              </w:rPr>
              <w:t>c</w:t>
            </w:r>
            <w:r w:rsidRPr="00877BC7">
              <w:rPr>
                <w:lang w:val="en-US"/>
              </w:rPr>
              <w:t>. Elder Advocates of Alberta Society, 2011 CSC 24</w:t>
            </w:r>
            <w:r w:rsidRPr="00E4433D">
              <w:rPr>
                <w:rStyle w:val="SCCRespondentForRunningHeadChar"/>
                <w:lang w:val="en-US"/>
              </w:rPr>
              <w:t xml:space="preserve">, [2011] 2 R.C.S. </w:t>
            </w:r>
            <w:r>
              <w:rPr>
                <w:rStyle w:val="SCCRespondentForRunningHeadChar"/>
                <w:lang w:val="en-US"/>
              </w:rPr>
              <w:t>261</w:t>
            </w:r>
          </w:p>
        </w:tc>
        <w:tc>
          <w:tcPr>
            <w:tcW w:w="2808" w:type="dxa"/>
          </w:tcPr>
          <w:p w:rsidR="009D2F2C" w:rsidRPr="00877BC7" w:rsidRDefault="009D2F2C" w:rsidP="00FE433E">
            <w:r w:rsidRPr="00877BC7">
              <w:rPr>
                <w:b/>
                <w:smallCaps/>
              </w:rPr>
              <w:t>Date :</w:t>
            </w:r>
            <w:r w:rsidRPr="00877BC7">
              <w:t xml:space="preserve"> 20110512</w:t>
            </w:r>
          </w:p>
          <w:p w:rsidR="009D2F2C" w:rsidRPr="00877BC7" w:rsidRDefault="009D2F2C" w:rsidP="00FE433E">
            <w:r w:rsidRPr="00877BC7">
              <w:rPr>
                <w:b/>
                <w:smallCaps/>
              </w:rPr>
              <w:t>Dossier :</w:t>
            </w:r>
            <w:r w:rsidRPr="00877BC7">
              <w:t xml:space="preserve"> 33551</w:t>
            </w:r>
          </w:p>
        </w:tc>
      </w:tr>
    </w:tbl>
    <w:p w:rsidR="009D2F2C" w:rsidRPr="00877BC7" w:rsidRDefault="009D2F2C" w:rsidP="009D2F2C">
      <w:pPr>
        <w:tabs>
          <w:tab w:val="left" w:pos="3030"/>
        </w:tabs>
        <w:rPr>
          <w:rFonts w:eastAsiaTheme="minorHAnsi" w:cstheme="minorBidi"/>
          <w:szCs w:val="24"/>
          <w:lang w:eastAsia="en-US"/>
        </w:rPr>
      </w:pPr>
      <w:r>
        <w:rPr>
          <w:rFonts w:eastAsiaTheme="minorHAnsi" w:cstheme="minorBidi"/>
          <w:szCs w:val="24"/>
          <w:lang w:eastAsia="en-US"/>
        </w:rPr>
        <w:tab/>
      </w:r>
    </w:p>
    <w:p w:rsidR="009D2F2C" w:rsidRPr="00877BC7" w:rsidRDefault="009D2F2C" w:rsidP="009D2F2C">
      <w:pPr>
        <w:rPr>
          <w:rFonts w:eastAsiaTheme="minorHAnsi" w:cstheme="minorBidi"/>
          <w:b/>
          <w:smallCaps/>
          <w:szCs w:val="24"/>
          <w:lang w:eastAsia="en-US"/>
        </w:rPr>
      </w:pPr>
      <w:r w:rsidRPr="00877BC7">
        <w:rPr>
          <w:rFonts w:eastAsiaTheme="minorHAnsi" w:cstheme="minorBidi"/>
          <w:b/>
          <w:smallCaps/>
          <w:szCs w:val="24"/>
          <w:lang w:eastAsia="en-US"/>
        </w:rPr>
        <w:t>Entre :</w:t>
      </w:r>
    </w:p>
    <w:p w:rsidR="009D2F2C" w:rsidRPr="00877BC7" w:rsidRDefault="009D2F2C" w:rsidP="009D2F2C">
      <w:pPr>
        <w:jc w:val="center"/>
        <w:rPr>
          <w:rFonts w:eastAsiaTheme="minorHAnsi" w:cstheme="minorBidi"/>
          <w:b/>
          <w:szCs w:val="24"/>
          <w:lang w:eastAsia="en-US"/>
        </w:rPr>
      </w:pPr>
      <w:r w:rsidRPr="00877BC7">
        <w:rPr>
          <w:rFonts w:eastAsiaTheme="minorHAnsi" w:cstheme="minorBidi"/>
          <w:b/>
          <w:szCs w:val="24"/>
          <w:lang w:eastAsia="en-US"/>
        </w:rPr>
        <w:t>Sa Majesté la Reine du chef de l’Alberta</w:t>
      </w:r>
    </w:p>
    <w:p w:rsidR="009D2F2C" w:rsidRPr="00877BC7" w:rsidRDefault="009D2F2C" w:rsidP="009D2F2C">
      <w:pPr>
        <w:jc w:val="center"/>
        <w:rPr>
          <w:rFonts w:eastAsiaTheme="minorHAnsi" w:cstheme="minorBidi"/>
          <w:szCs w:val="24"/>
          <w:lang w:eastAsia="en-US"/>
        </w:rPr>
      </w:pPr>
      <w:r w:rsidRPr="00877BC7">
        <w:rPr>
          <w:rFonts w:eastAsiaTheme="minorHAnsi" w:cstheme="minorBidi"/>
          <w:szCs w:val="24"/>
          <w:lang w:eastAsia="en-US"/>
        </w:rPr>
        <w:t>Appelant</w:t>
      </w:r>
    </w:p>
    <w:p w:rsidR="009D2F2C" w:rsidRPr="00877BC7" w:rsidRDefault="009D2F2C" w:rsidP="009D2F2C">
      <w:pPr>
        <w:jc w:val="center"/>
        <w:rPr>
          <w:rFonts w:eastAsiaTheme="minorHAnsi" w:cstheme="minorBidi"/>
          <w:szCs w:val="24"/>
          <w:lang w:eastAsia="en-US"/>
        </w:rPr>
      </w:pPr>
      <w:r w:rsidRPr="00877BC7">
        <w:rPr>
          <w:rFonts w:eastAsiaTheme="minorHAnsi" w:cstheme="minorBidi"/>
          <w:szCs w:val="24"/>
          <w:lang w:eastAsia="en-US"/>
        </w:rPr>
        <w:t>et</w:t>
      </w:r>
    </w:p>
    <w:p w:rsidR="009D2F2C" w:rsidRPr="00877BC7" w:rsidRDefault="009D2F2C" w:rsidP="009D2F2C">
      <w:pPr>
        <w:jc w:val="center"/>
        <w:rPr>
          <w:rFonts w:eastAsiaTheme="minorHAnsi" w:cstheme="minorBidi"/>
          <w:b/>
          <w:szCs w:val="24"/>
          <w:lang w:eastAsia="en-US"/>
        </w:rPr>
      </w:pPr>
      <w:r w:rsidRPr="00877BC7">
        <w:rPr>
          <w:rFonts w:eastAsiaTheme="minorHAnsi" w:cstheme="minorBidi"/>
          <w:b/>
          <w:szCs w:val="24"/>
          <w:lang w:eastAsia="en-US"/>
        </w:rPr>
        <w:t xml:space="preserve">Elder Advocates of Alberta Society et James O. Darwish, </w:t>
      </w:r>
    </w:p>
    <w:p w:rsidR="009D2F2C" w:rsidRPr="00877BC7" w:rsidRDefault="009D2F2C" w:rsidP="009D2F2C">
      <w:pPr>
        <w:jc w:val="center"/>
        <w:rPr>
          <w:rFonts w:eastAsiaTheme="minorHAnsi" w:cstheme="minorBidi"/>
          <w:b/>
          <w:szCs w:val="24"/>
          <w:lang w:eastAsia="en-US"/>
        </w:rPr>
      </w:pPr>
      <w:r w:rsidRPr="00877BC7">
        <w:rPr>
          <w:rFonts w:eastAsiaTheme="minorHAnsi" w:cstheme="minorBidi"/>
          <w:b/>
          <w:szCs w:val="24"/>
          <w:lang w:eastAsia="en-US"/>
        </w:rPr>
        <w:t>représentant personnel de la succession de Johanna H. Darwish, décédée</w:t>
      </w:r>
    </w:p>
    <w:p w:rsidR="009D2F2C" w:rsidRPr="00877BC7" w:rsidRDefault="009D2F2C" w:rsidP="009D2F2C">
      <w:pPr>
        <w:jc w:val="center"/>
        <w:rPr>
          <w:rFonts w:eastAsiaTheme="minorHAnsi" w:cstheme="minorBidi"/>
          <w:szCs w:val="24"/>
          <w:lang w:eastAsia="en-US"/>
        </w:rPr>
      </w:pPr>
      <w:r w:rsidRPr="00877BC7">
        <w:rPr>
          <w:rFonts w:eastAsiaTheme="minorHAnsi" w:cstheme="minorBidi"/>
          <w:szCs w:val="24"/>
          <w:lang w:eastAsia="en-US"/>
        </w:rPr>
        <w:t>Intimés</w:t>
      </w:r>
    </w:p>
    <w:p w:rsidR="009D2F2C" w:rsidRPr="00877BC7" w:rsidRDefault="009D2F2C" w:rsidP="009D2F2C">
      <w:pPr>
        <w:jc w:val="center"/>
        <w:rPr>
          <w:rFonts w:eastAsiaTheme="minorHAnsi" w:cstheme="minorBidi"/>
          <w:szCs w:val="24"/>
          <w:lang w:eastAsia="en-US"/>
        </w:rPr>
      </w:pPr>
      <w:r w:rsidRPr="00877BC7">
        <w:rPr>
          <w:rFonts w:eastAsiaTheme="minorHAnsi" w:cstheme="minorBidi"/>
          <w:szCs w:val="24"/>
          <w:lang w:eastAsia="en-US"/>
        </w:rPr>
        <w:t>- et -</w:t>
      </w:r>
    </w:p>
    <w:p w:rsidR="009D2F2C" w:rsidRPr="00877BC7" w:rsidRDefault="009D2F2C" w:rsidP="009D2F2C">
      <w:pPr>
        <w:jc w:val="center"/>
        <w:rPr>
          <w:rFonts w:eastAsiaTheme="minorHAnsi" w:cstheme="minorBidi"/>
          <w:b/>
          <w:szCs w:val="24"/>
          <w:lang w:eastAsia="en-US"/>
        </w:rPr>
      </w:pPr>
      <w:r w:rsidRPr="00877BC7">
        <w:rPr>
          <w:rFonts w:eastAsiaTheme="minorHAnsi" w:cstheme="minorBidi"/>
          <w:b/>
          <w:szCs w:val="24"/>
          <w:lang w:eastAsia="en-US"/>
        </w:rPr>
        <w:t xml:space="preserve">Procureur général du Canada et </w:t>
      </w:r>
    </w:p>
    <w:p w:rsidR="009D2F2C" w:rsidRPr="00877BC7" w:rsidRDefault="009D2F2C" w:rsidP="009D2F2C">
      <w:pPr>
        <w:jc w:val="center"/>
        <w:rPr>
          <w:rFonts w:eastAsiaTheme="minorHAnsi" w:cstheme="minorBidi"/>
          <w:b/>
          <w:szCs w:val="24"/>
          <w:lang w:eastAsia="en-US"/>
        </w:rPr>
      </w:pPr>
      <w:r w:rsidRPr="00877BC7">
        <w:rPr>
          <w:rFonts w:eastAsiaTheme="minorHAnsi" w:cstheme="minorBidi"/>
          <w:b/>
          <w:szCs w:val="24"/>
          <w:lang w:eastAsia="en-US"/>
        </w:rPr>
        <w:t>procureur général de la Colombie-Britannique</w:t>
      </w:r>
    </w:p>
    <w:p w:rsidR="009D2F2C" w:rsidRPr="00877BC7" w:rsidRDefault="009D2F2C" w:rsidP="009D2F2C">
      <w:pPr>
        <w:jc w:val="center"/>
        <w:rPr>
          <w:rFonts w:eastAsiaTheme="minorHAnsi" w:cstheme="minorBidi"/>
          <w:szCs w:val="24"/>
          <w:lang w:eastAsia="en-US"/>
        </w:rPr>
      </w:pPr>
      <w:r w:rsidRPr="00877BC7">
        <w:rPr>
          <w:rFonts w:eastAsiaTheme="minorHAnsi" w:cstheme="minorBidi"/>
          <w:szCs w:val="24"/>
          <w:lang w:eastAsia="en-US"/>
        </w:rPr>
        <w:t>Intervenants</w:t>
      </w:r>
    </w:p>
    <w:p w:rsidR="009D2F2C" w:rsidRPr="00877BC7" w:rsidRDefault="009D2F2C" w:rsidP="009D2F2C">
      <w:pPr>
        <w:rPr>
          <w:rFonts w:eastAsiaTheme="minorHAnsi" w:cstheme="minorBidi"/>
          <w:szCs w:val="24"/>
          <w:lang w:eastAsia="en-US"/>
        </w:rPr>
      </w:pPr>
    </w:p>
    <w:p w:rsidR="009D2F2C" w:rsidRPr="00877BC7" w:rsidRDefault="009D2F2C" w:rsidP="009D2F2C">
      <w:pPr>
        <w:rPr>
          <w:rFonts w:eastAsiaTheme="minorHAnsi" w:cstheme="minorBidi"/>
          <w:szCs w:val="24"/>
          <w:lang w:eastAsia="en-US"/>
        </w:rPr>
      </w:pPr>
    </w:p>
    <w:p w:rsidR="009D2F2C" w:rsidRPr="00877BC7" w:rsidRDefault="009D2F2C" w:rsidP="009D2F2C">
      <w:pPr>
        <w:jc w:val="center"/>
        <w:rPr>
          <w:rFonts w:eastAsiaTheme="minorHAnsi" w:cstheme="minorBidi"/>
          <w:b/>
          <w:smallCaps/>
          <w:szCs w:val="24"/>
          <w:lang w:eastAsia="en-US"/>
        </w:rPr>
      </w:pPr>
      <w:r w:rsidRPr="00877BC7">
        <w:rPr>
          <w:rFonts w:eastAsiaTheme="minorHAnsi" w:cstheme="minorBidi"/>
          <w:b/>
          <w:smallCaps/>
          <w:szCs w:val="24"/>
          <w:lang w:eastAsia="en-US"/>
        </w:rPr>
        <w:t>Traduction française officielle</w:t>
      </w:r>
    </w:p>
    <w:p w:rsidR="009D2F2C" w:rsidRPr="00877BC7" w:rsidRDefault="009D2F2C" w:rsidP="009D2F2C">
      <w:pPr>
        <w:rPr>
          <w:rFonts w:eastAsiaTheme="minorHAnsi" w:cstheme="minorBidi"/>
          <w:szCs w:val="24"/>
          <w:lang w:eastAsia="en-US"/>
        </w:rPr>
      </w:pPr>
    </w:p>
    <w:p w:rsidR="009D2F2C" w:rsidRPr="00877BC7" w:rsidRDefault="009D2F2C" w:rsidP="009D2F2C">
      <w:pPr>
        <w:rPr>
          <w:rFonts w:eastAsiaTheme="minorHAnsi" w:cstheme="minorBidi"/>
          <w:szCs w:val="24"/>
          <w:lang w:eastAsia="en-US"/>
        </w:rPr>
      </w:pPr>
      <w:r w:rsidRPr="00877BC7">
        <w:rPr>
          <w:rFonts w:eastAsiaTheme="minorHAnsi" w:cstheme="minorBidi"/>
          <w:b/>
          <w:smallCaps/>
          <w:szCs w:val="24"/>
          <w:lang w:eastAsia="en-US"/>
        </w:rPr>
        <w:t>Coram :</w:t>
      </w:r>
      <w:r w:rsidRPr="00877BC7">
        <w:rPr>
          <w:rFonts w:eastAsiaTheme="minorHAnsi" w:cstheme="minorBidi"/>
          <w:szCs w:val="24"/>
          <w:lang w:eastAsia="en-US"/>
        </w:rPr>
        <w:t xml:space="preserve"> La juge en chef McLachlin et les juges Binnie, LeBel, Deschamps, Fish, Abella, Charron, Rothstein et Cromwell</w:t>
      </w:r>
    </w:p>
    <w:p w:rsidR="009D2F2C" w:rsidRPr="00877BC7" w:rsidRDefault="009D2F2C" w:rsidP="009D2F2C">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D2F2C" w:rsidRPr="00877BC7" w:rsidTr="00FE433E">
        <w:trPr>
          <w:cantSplit/>
        </w:trPr>
        <w:tc>
          <w:tcPr>
            <w:tcW w:w="3618" w:type="dxa"/>
          </w:tcPr>
          <w:p w:rsidR="009D2F2C" w:rsidRPr="00877BC7" w:rsidRDefault="009D2F2C" w:rsidP="00FE433E">
            <w:pPr>
              <w:rPr>
                <w:b/>
                <w:smallCaps/>
              </w:rPr>
            </w:pPr>
            <w:r w:rsidRPr="00877BC7">
              <w:rPr>
                <w:b/>
                <w:smallCaps/>
              </w:rPr>
              <w:t>Motifs de jugement :</w:t>
            </w:r>
          </w:p>
          <w:p w:rsidR="009D2F2C" w:rsidRPr="00877BC7" w:rsidRDefault="009D2F2C" w:rsidP="00FE433E">
            <w:r w:rsidRPr="00877BC7">
              <w:t>(par. 1 à 103)</w:t>
            </w:r>
          </w:p>
        </w:tc>
        <w:tc>
          <w:tcPr>
            <w:tcW w:w="5958" w:type="dxa"/>
          </w:tcPr>
          <w:p w:rsidR="009D2F2C" w:rsidRPr="00877BC7" w:rsidRDefault="009D2F2C" w:rsidP="00FE433E">
            <w:r w:rsidRPr="00877BC7">
              <w:t>La juge en chef McLachlin (avec l’accord des juges Binnie, LeBel, Deschamps, Fish, Abella, Charron, Rothstein et Cromwell)</w:t>
            </w:r>
          </w:p>
        </w:tc>
      </w:tr>
    </w:tbl>
    <w:p w:rsidR="009D2F2C" w:rsidRPr="00877BC7" w:rsidRDefault="009D2F2C" w:rsidP="009D2F2C">
      <w:pPr>
        <w:rPr>
          <w:rFonts w:eastAsiaTheme="minorHAnsi" w:cstheme="minorBidi"/>
          <w:szCs w:val="24"/>
          <w:lang w:eastAsia="en-US"/>
        </w:rPr>
      </w:pPr>
    </w:p>
    <w:p w:rsidR="009D2F2C" w:rsidRPr="00877BC7" w:rsidRDefault="009D2F2C" w:rsidP="009D2F2C">
      <w:pPr>
        <w:rPr>
          <w:rFonts w:eastAsiaTheme="minorHAnsi" w:cstheme="minorBidi"/>
          <w:szCs w:val="24"/>
          <w:lang w:eastAsia="en-US"/>
        </w:rPr>
      </w:pPr>
    </w:p>
    <w:p w:rsidR="009D2F2C" w:rsidRPr="00877BC7" w:rsidRDefault="00CC7023" w:rsidP="009D2F2C">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D2F2C" w:rsidRPr="00877BC7" w:rsidRDefault="009D2F2C" w:rsidP="009D2F2C">
      <w:pPr>
        <w:rPr>
          <w:smallCaps/>
          <w:szCs w:val="24"/>
        </w:rPr>
      </w:pPr>
      <w:r w:rsidRPr="00877BC7">
        <w:rPr>
          <w:smallCaps/>
          <w:szCs w:val="24"/>
        </w:rPr>
        <w:br w:type="page"/>
      </w:r>
    </w:p>
    <w:p w:rsidR="008322BD" w:rsidRPr="00E4433D" w:rsidRDefault="00E4433D" w:rsidP="00571A90">
      <w:pPr>
        <w:spacing w:after="720"/>
        <w:jc w:val="both"/>
        <w:rPr>
          <w:szCs w:val="24"/>
          <w:lang w:val="en-US"/>
        </w:rPr>
      </w:pPr>
      <w:r w:rsidRPr="00E4433D">
        <w:rPr>
          <w:szCs w:val="24"/>
          <w:lang w:val="en-CA"/>
        </w:rPr>
        <w:lastRenderedPageBreak/>
        <w:t xml:space="preserve">Alberta </w:t>
      </w:r>
      <w:r w:rsidRPr="00E4433D">
        <w:rPr>
          <w:i/>
          <w:szCs w:val="24"/>
          <w:lang w:val="en-CA"/>
        </w:rPr>
        <w:t>c.</w:t>
      </w:r>
      <w:r w:rsidRPr="00E4433D">
        <w:rPr>
          <w:szCs w:val="24"/>
          <w:lang w:val="en-CA"/>
        </w:rPr>
        <w:t xml:space="preserve"> </w:t>
      </w:r>
      <w:r w:rsidRPr="00E4433D">
        <w:rPr>
          <w:rStyle w:val="SCCRespondentForIndexChar"/>
          <w:b w:val="0"/>
          <w:szCs w:val="24"/>
          <w:lang w:val="en-CA"/>
        </w:rPr>
        <w:t>Elder Advocates of Alberta Society</w:t>
      </w:r>
      <w:r>
        <w:rPr>
          <w:rStyle w:val="SCCRespondentForRunningHeadChar"/>
          <w:szCs w:val="24"/>
          <w:lang w:val="en-CA"/>
        </w:rPr>
        <w:t xml:space="preserve">, </w:t>
      </w:r>
      <w:r w:rsidRPr="00E4433D">
        <w:rPr>
          <w:rStyle w:val="SCCRespondentForRunningHeadChar"/>
          <w:szCs w:val="24"/>
          <w:lang w:val="en-US"/>
        </w:rPr>
        <w:t>2011 CSC 2</w:t>
      </w:r>
      <w:r>
        <w:rPr>
          <w:rStyle w:val="SCCRespondentForRunningHeadChar"/>
          <w:szCs w:val="24"/>
          <w:lang w:val="en-US"/>
        </w:rPr>
        <w:t>4</w:t>
      </w:r>
      <w:r w:rsidRPr="00E4433D">
        <w:rPr>
          <w:rStyle w:val="SCCRespondentForRunningHeadChar"/>
          <w:szCs w:val="24"/>
          <w:lang w:val="en-US"/>
        </w:rPr>
        <w:t xml:space="preserve">, [2011] 2 R.C.S. </w:t>
      </w:r>
      <w:r>
        <w:rPr>
          <w:rStyle w:val="SCCRespondentForRunningHeadChar"/>
          <w:szCs w:val="24"/>
          <w:lang w:val="en-US"/>
        </w:rPr>
        <w:t>261</w:t>
      </w:r>
    </w:p>
    <w:p w:rsidR="00276C6F" w:rsidRPr="00235E23" w:rsidRDefault="00AC6E90" w:rsidP="00571A90">
      <w:pPr>
        <w:pStyle w:val="SCCLsocParty"/>
        <w:tabs>
          <w:tab w:val="right" w:pos="8280"/>
        </w:tabs>
        <w:spacing w:after="720"/>
        <w:rPr>
          <w:szCs w:val="24"/>
        </w:rPr>
      </w:pPr>
      <w:r w:rsidRPr="00235E23">
        <w:rPr>
          <w:szCs w:val="24"/>
        </w:rPr>
        <w:t>Sa Majesté la Reine du chef de l’Alberta</w:t>
      </w:r>
      <w:r w:rsidR="00571A90" w:rsidRPr="00235E23">
        <w:rPr>
          <w:szCs w:val="24"/>
        </w:rPr>
        <w:t xml:space="preserve"> </w:t>
      </w:r>
      <w:r w:rsidR="00571A90" w:rsidRPr="00235E23">
        <w:rPr>
          <w:szCs w:val="24"/>
        </w:rPr>
        <w:tab/>
      </w:r>
      <w:r w:rsidR="00571A90" w:rsidRPr="00235E23">
        <w:rPr>
          <w:b w:val="0"/>
          <w:i/>
          <w:szCs w:val="24"/>
        </w:rPr>
        <w:t>Appelante</w:t>
      </w:r>
    </w:p>
    <w:p w:rsidR="00571A90" w:rsidRPr="00235E23" w:rsidRDefault="00AC6E90" w:rsidP="00571A90">
      <w:pPr>
        <w:pStyle w:val="SCCLsocVersus"/>
        <w:spacing w:after="720"/>
        <w:rPr>
          <w:szCs w:val="24"/>
          <w:lang w:val="en-CA"/>
        </w:rPr>
      </w:pPr>
      <w:r w:rsidRPr="00235E23">
        <w:rPr>
          <w:szCs w:val="24"/>
          <w:lang w:val="en-CA"/>
        </w:rPr>
        <w:t>c.</w:t>
      </w:r>
    </w:p>
    <w:p w:rsidR="00276C6F" w:rsidRPr="00235E23" w:rsidRDefault="00AC6E90">
      <w:pPr>
        <w:pStyle w:val="SCCLsocParty"/>
        <w:rPr>
          <w:szCs w:val="24"/>
          <w:lang w:val="en-CA"/>
        </w:rPr>
      </w:pPr>
      <w:r w:rsidRPr="00235E23">
        <w:rPr>
          <w:szCs w:val="24"/>
          <w:lang w:val="en-CA"/>
        </w:rPr>
        <w:t xml:space="preserve">Elder Advocates of Alberta Society et </w:t>
      </w:r>
    </w:p>
    <w:p w:rsidR="00571A90" w:rsidRPr="00235E23" w:rsidRDefault="00571A90">
      <w:pPr>
        <w:pStyle w:val="SCCLsocParty"/>
        <w:rPr>
          <w:szCs w:val="24"/>
        </w:rPr>
      </w:pPr>
      <w:r w:rsidRPr="00235E23">
        <w:rPr>
          <w:szCs w:val="24"/>
        </w:rPr>
        <w:t>James </w:t>
      </w:r>
      <w:r w:rsidR="00AC6E90" w:rsidRPr="00235E23">
        <w:rPr>
          <w:szCs w:val="24"/>
        </w:rPr>
        <w:t>O. Darwish, représentant personnel de</w:t>
      </w:r>
    </w:p>
    <w:p w:rsidR="00276C6F" w:rsidRPr="00235E23" w:rsidRDefault="00571A90" w:rsidP="00571A90">
      <w:pPr>
        <w:pStyle w:val="SCCLsocParty"/>
        <w:tabs>
          <w:tab w:val="right" w:pos="8280"/>
        </w:tabs>
        <w:spacing w:after="720"/>
        <w:rPr>
          <w:szCs w:val="24"/>
        </w:rPr>
      </w:pPr>
      <w:r w:rsidRPr="00235E23">
        <w:rPr>
          <w:szCs w:val="24"/>
        </w:rPr>
        <w:t>la succession de Johanna </w:t>
      </w:r>
      <w:r w:rsidR="00AC6E90" w:rsidRPr="00235E23">
        <w:rPr>
          <w:szCs w:val="24"/>
        </w:rPr>
        <w:t>H. Darwish, décédée</w:t>
      </w:r>
      <w:r w:rsidRPr="00235E23">
        <w:rPr>
          <w:szCs w:val="24"/>
        </w:rPr>
        <w:t xml:space="preserve"> </w:t>
      </w:r>
      <w:r w:rsidRPr="00235E23">
        <w:rPr>
          <w:szCs w:val="24"/>
        </w:rPr>
        <w:tab/>
      </w:r>
      <w:r w:rsidRPr="00235E23">
        <w:rPr>
          <w:b w:val="0"/>
          <w:i/>
          <w:szCs w:val="24"/>
        </w:rPr>
        <w:t>Intimés</w:t>
      </w:r>
    </w:p>
    <w:p w:rsidR="00571A90" w:rsidRPr="00235E23" w:rsidRDefault="00AC6E90" w:rsidP="00571A90">
      <w:pPr>
        <w:pStyle w:val="SCCLsocOtherPartySeparator"/>
        <w:spacing w:after="720"/>
        <w:rPr>
          <w:szCs w:val="24"/>
        </w:rPr>
      </w:pPr>
      <w:r w:rsidRPr="00235E23">
        <w:rPr>
          <w:szCs w:val="24"/>
        </w:rPr>
        <w:t>et</w:t>
      </w:r>
    </w:p>
    <w:p w:rsidR="00276C6F" w:rsidRPr="00235E23" w:rsidRDefault="00AC6E90">
      <w:pPr>
        <w:pStyle w:val="SCCLsocParty"/>
        <w:rPr>
          <w:szCs w:val="24"/>
        </w:rPr>
      </w:pPr>
      <w:r w:rsidRPr="00235E23">
        <w:rPr>
          <w:szCs w:val="24"/>
        </w:rPr>
        <w:t xml:space="preserve">Procureur général du Canada et </w:t>
      </w:r>
    </w:p>
    <w:p w:rsidR="00276C6F" w:rsidRPr="00235E23" w:rsidRDefault="00512897" w:rsidP="00571A90">
      <w:pPr>
        <w:pStyle w:val="SCCLsocParty"/>
        <w:tabs>
          <w:tab w:val="right" w:pos="8280"/>
        </w:tabs>
        <w:spacing w:after="720"/>
        <w:rPr>
          <w:szCs w:val="24"/>
        </w:rPr>
      </w:pPr>
      <w:r w:rsidRPr="00235E23">
        <w:rPr>
          <w:szCs w:val="24"/>
        </w:rPr>
        <w:t>p</w:t>
      </w:r>
      <w:r w:rsidR="00AC6E90" w:rsidRPr="00235E23">
        <w:rPr>
          <w:szCs w:val="24"/>
        </w:rPr>
        <w:t>rocureur général de la Colombie</w:t>
      </w:r>
      <w:r w:rsidR="00235E23" w:rsidRPr="00235E23">
        <w:rPr>
          <w:szCs w:val="24"/>
        </w:rPr>
        <w:noBreakHyphen/>
      </w:r>
      <w:r w:rsidR="00AC6E90" w:rsidRPr="00235E23">
        <w:rPr>
          <w:szCs w:val="24"/>
        </w:rPr>
        <w:t>Britannique</w:t>
      </w:r>
      <w:r w:rsidR="00571A90" w:rsidRPr="00235E23">
        <w:rPr>
          <w:szCs w:val="24"/>
        </w:rPr>
        <w:t xml:space="preserve"> </w:t>
      </w:r>
      <w:r w:rsidR="00571A90" w:rsidRPr="00235E23">
        <w:rPr>
          <w:szCs w:val="24"/>
        </w:rPr>
        <w:tab/>
      </w:r>
      <w:r w:rsidR="00571A90" w:rsidRPr="00235E23">
        <w:rPr>
          <w:b w:val="0"/>
          <w:i/>
          <w:szCs w:val="24"/>
        </w:rPr>
        <w:t>Intervenants</w:t>
      </w:r>
    </w:p>
    <w:p w:rsidR="00426659" w:rsidRPr="00235E23" w:rsidRDefault="0043088E" w:rsidP="00571A90">
      <w:pPr>
        <w:spacing w:after="720"/>
        <w:jc w:val="both"/>
        <w:rPr>
          <w:b/>
          <w:szCs w:val="24"/>
          <w:lang w:val="en-CA"/>
        </w:rPr>
      </w:pPr>
      <w:r w:rsidRPr="00235E23">
        <w:rPr>
          <w:b/>
          <w:szCs w:val="24"/>
          <w:lang w:val="en-CA"/>
        </w:rPr>
        <w:t>Répertorié</w:t>
      </w:r>
      <w:r w:rsidR="00235E23" w:rsidRPr="00235E23">
        <w:rPr>
          <w:b/>
          <w:szCs w:val="24"/>
          <w:lang w:val="en-CA"/>
        </w:rPr>
        <w:t> :</w:t>
      </w:r>
      <w:r w:rsidR="00C67CA5" w:rsidRPr="00235E23">
        <w:rPr>
          <w:b/>
          <w:szCs w:val="24"/>
          <w:lang w:val="en-CA"/>
        </w:rPr>
        <w:t> </w:t>
      </w:r>
      <w:r w:rsidR="007A598C" w:rsidRPr="00235E23">
        <w:rPr>
          <w:b/>
          <w:szCs w:val="24"/>
          <w:lang w:val="en-CA"/>
        </w:rPr>
        <w:t>Alberta</w:t>
      </w:r>
      <w:r w:rsidR="00426659" w:rsidRPr="00235E23">
        <w:rPr>
          <w:b/>
          <w:szCs w:val="24"/>
          <w:lang w:val="en-CA"/>
        </w:rPr>
        <w:t xml:space="preserve"> </w:t>
      </w:r>
      <w:r w:rsidR="00645057" w:rsidRPr="00235E23">
        <w:rPr>
          <w:b/>
          <w:i/>
          <w:szCs w:val="24"/>
          <w:lang w:val="en-CA"/>
        </w:rPr>
        <w:t>c</w:t>
      </w:r>
      <w:r w:rsidR="00426659" w:rsidRPr="00235E23">
        <w:rPr>
          <w:b/>
          <w:i/>
          <w:szCs w:val="24"/>
          <w:lang w:val="en-CA"/>
        </w:rPr>
        <w:t>.</w:t>
      </w:r>
      <w:r w:rsidR="00426659" w:rsidRPr="00235E23">
        <w:rPr>
          <w:b/>
          <w:szCs w:val="24"/>
          <w:lang w:val="en-CA"/>
        </w:rPr>
        <w:t xml:space="preserve"> </w:t>
      </w:r>
      <w:r w:rsidRPr="00235E23">
        <w:rPr>
          <w:rStyle w:val="SCCRespondentForIndexChar"/>
          <w:szCs w:val="24"/>
          <w:lang w:val="en-CA"/>
        </w:rPr>
        <w:t>Elder Advocates of Alberta Society</w:t>
      </w:r>
    </w:p>
    <w:p w:rsidR="00426659" w:rsidRPr="00235E23" w:rsidRDefault="00C0663B" w:rsidP="00571A90">
      <w:pPr>
        <w:pStyle w:val="SCCSystemYear"/>
        <w:spacing w:after="720"/>
        <w:jc w:val="both"/>
        <w:rPr>
          <w:szCs w:val="24"/>
        </w:rPr>
      </w:pPr>
      <w:r w:rsidRPr="00235E23">
        <w:rPr>
          <w:szCs w:val="24"/>
        </w:rPr>
        <w:t>2011</w:t>
      </w:r>
      <w:r w:rsidR="00EE0FAF" w:rsidRPr="00235E23">
        <w:rPr>
          <w:szCs w:val="24"/>
        </w:rPr>
        <w:t xml:space="preserve"> </w:t>
      </w:r>
      <w:r w:rsidR="00C71F58" w:rsidRPr="00235E23">
        <w:rPr>
          <w:szCs w:val="24"/>
        </w:rPr>
        <w:t>C</w:t>
      </w:r>
      <w:r w:rsidR="002D6EA0">
        <w:rPr>
          <w:szCs w:val="24"/>
        </w:rPr>
        <w:t>SC 24</w:t>
      </w:r>
    </w:p>
    <w:p w:rsidR="008322BD" w:rsidRPr="00235E23" w:rsidRDefault="009B57B3" w:rsidP="00571A90">
      <w:pPr>
        <w:spacing w:after="720"/>
        <w:jc w:val="both"/>
        <w:rPr>
          <w:szCs w:val="24"/>
        </w:rPr>
      </w:pPr>
      <w:r w:rsidRPr="00235E23">
        <w:rPr>
          <w:szCs w:val="24"/>
        </w:rPr>
        <w:t>N</w:t>
      </w:r>
      <w:r w:rsidRPr="00235E23">
        <w:rPr>
          <w:szCs w:val="24"/>
          <w:vertAlign w:val="superscript"/>
        </w:rPr>
        <w:t>o</w:t>
      </w:r>
      <w:r w:rsidR="0043088E" w:rsidRPr="00235E23">
        <w:rPr>
          <w:szCs w:val="24"/>
        </w:rPr>
        <w:t xml:space="preserve"> du greffe</w:t>
      </w:r>
      <w:r w:rsidR="00235E23" w:rsidRPr="00235E23">
        <w:rPr>
          <w:szCs w:val="24"/>
        </w:rPr>
        <w:t> :</w:t>
      </w:r>
      <w:r w:rsidR="00C67CA5" w:rsidRPr="00235E23">
        <w:rPr>
          <w:szCs w:val="24"/>
        </w:rPr>
        <w:t> </w:t>
      </w:r>
      <w:r w:rsidRPr="00235E23">
        <w:rPr>
          <w:szCs w:val="24"/>
        </w:rPr>
        <w:t>33551.</w:t>
      </w:r>
    </w:p>
    <w:p w:rsidR="008322BD" w:rsidRPr="00235E23" w:rsidRDefault="00001A74" w:rsidP="00571A90">
      <w:pPr>
        <w:spacing w:after="720"/>
        <w:jc w:val="both"/>
        <w:rPr>
          <w:szCs w:val="24"/>
        </w:rPr>
      </w:pPr>
      <w:r w:rsidRPr="00235E23">
        <w:rPr>
          <w:szCs w:val="24"/>
        </w:rPr>
        <w:t>2011</w:t>
      </w:r>
      <w:r w:rsidR="00235E23" w:rsidRPr="00235E23">
        <w:rPr>
          <w:szCs w:val="24"/>
        </w:rPr>
        <w:t> :</w:t>
      </w:r>
      <w:r w:rsidRPr="00235E23">
        <w:rPr>
          <w:szCs w:val="24"/>
        </w:rPr>
        <w:t xml:space="preserve"> 27 </w:t>
      </w:r>
      <w:r w:rsidR="00C0663B" w:rsidRPr="00235E23">
        <w:rPr>
          <w:szCs w:val="24"/>
        </w:rPr>
        <w:t>janvier</w:t>
      </w:r>
      <w:r w:rsidR="009B57B3" w:rsidRPr="00235E23">
        <w:rPr>
          <w:szCs w:val="24"/>
        </w:rPr>
        <w:t xml:space="preserve">; </w:t>
      </w:r>
      <w:r w:rsidR="00871721" w:rsidRPr="00235E23">
        <w:rPr>
          <w:szCs w:val="24"/>
        </w:rPr>
        <w:t>2011</w:t>
      </w:r>
      <w:r w:rsidR="00235E23" w:rsidRPr="00235E23">
        <w:rPr>
          <w:szCs w:val="24"/>
        </w:rPr>
        <w:t> :</w:t>
      </w:r>
      <w:r w:rsidR="00871721" w:rsidRPr="00235E23">
        <w:rPr>
          <w:szCs w:val="24"/>
        </w:rPr>
        <w:t xml:space="preserve"> 12 mai</w:t>
      </w:r>
      <w:r w:rsidR="009B57B3" w:rsidRPr="00235E23">
        <w:rPr>
          <w:szCs w:val="24"/>
        </w:rPr>
        <w:t>.</w:t>
      </w:r>
    </w:p>
    <w:p w:rsidR="008322BD" w:rsidRPr="00235E23" w:rsidRDefault="009B57B3" w:rsidP="00571A90">
      <w:pPr>
        <w:spacing w:after="720"/>
        <w:jc w:val="both"/>
        <w:rPr>
          <w:szCs w:val="24"/>
        </w:rPr>
      </w:pPr>
      <w:r w:rsidRPr="00235E23">
        <w:rPr>
          <w:szCs w:val="24"/>
        </w:rPr>
        <w:t>Pr</w:t>
      </w:r>
      <w:r w:rsidR="0043088E" w:rsidRPr="00235E23">
        <w:rPr>
          <w:szCs w:val="24"/>
        </w:rPr>
        <w:t>é</w:t>
      </w:r>
      <w:r w:rsidRPr="00235E23">
        <w:rPr>
          <w:szCs w:val="24"/>
        </w:rPr>
        <w:t>sent</w:t>
      </w:r>
      <w:r w:rsidR="008A6558" w:rsidRPr="00235E23">
        <w:rPr>
          <w:szCs w:val="24"/>
        </w:rPr>
        <w:t>s</w:t>
      </w:r>
      <w:r w:rsidR="00235E23" w:rsidRPr="00235E23">
        <w:rPr>
          <w:szCs w:val="24"/>
        </w:rPr>
        <w:t> :</w:t>
      </w:r>
      <w:r w:rsidR="00C67CA5" w:rsidRPr="00235E23">
        <w:rPr>
          <w:szCs w:val="24"/>
        </w:rPr>
        <w:t> </w:t>
      </w:r>
      <w:r w:rsidRPr="00235E23">
        <w:rPr>
          <w:szCs w:val="24"/>
        </w:rPr>
        <w:t>La juge en chef McLachlin et les juges Binnie, LeBel, Deschamps, Fish, Abella, Charron, Rothstein et Cromwell.</w:t>
      </w:r>
    </w:p>
    <w:p w:rsidR="008322BD" w:rsidRPr="00235E23" w:rsidRDefault="00AC7437" w:rsidP="008353EB">
      <w:pPr>
        <w:pStyle w:val="SCCLowerCourtNameLowercase"/>
        <w:spacing w:after="480"/>
        <w:rPr>
          <w:szCs w:val="24"/>
        </w:rPr>
      </w:pPr>
      <w:r w:rsidRPr="00235E23">
        <w:rPr>
          <w:szCs w:val="24"/>
        </w:rPr>
        <w:t>e</w:t>
      </w:r>
      <w:r w:rsidR="00855307" w:rsidRPr="00235E23">
        <w:rPr>
          <w:szCs w:val="24"/>
        </w:rPr>
        <w:t>n</w:t>
      </w:r>
      <w:r w:rsidR="00224FC0" w:rsidRPr="00235E23">
        <w:rPr>
          <w:szCs w:val="24"/>
        </w:rPr>
        <w:t xml:space="preserve"> </w:t>
      </w:r>
      <w:r w:rsidR="00855307" w:rsidRPr="00235E23">
        <w:rPr>
          <w:szCs w:val="24"/>
        </w:rPr>
        <w:t>appel</w:t>
      </w:r>
      <w:r w:rsidR="00224FC0" w:rsidRPr="00235E23">
        <w:rPr>
          <w:szCs w:val="24"/>
        </w:rPr>
        <w:t xml:space="preserve"> </w:t>
      </w:r>
      <w:r w:rsidR="00855307" w:rsidRPr="00235E23">
        <w:rPr>
          <w:szCs w:val="24"/>
        </w:rPr>
        <w:t>de</w:t>
      </w:r>
      <w:r w:rsidR="0043088E" w:rsidRPr="00235E23">
        <w:rPr>
          <w:szCs w:val="24"/>
        </w:rPr>
        <w:t xml:space="preserve"> </w:t>
      </w:r>
      <w:r w:rsidR="00855307" w:rsidRPr="00235E23">
        <w:rPr>
          <w:szCs w:val="24"/>
        </w:rPr>
        <w:t>la</w:t>
      </w:r>
      <w:r w:rsidR="00224FC0" w:rsidRPr="00235E23">
        <w:rPr>
          <w:szCs w:val="24"/>
        </w:rPr>
        <w:t xml:space="preserve"> </w:t>
      </w:r>
      <w:r w:rsidR="007A598C" w:rsidRPr="00235E23">
        <w:rPr>
          <w:szCs w:val="24"/>
        </w:rPr>
        <w:t>cour d’</w:t>
      </w:r>
      <w:r w:rsidR="009B57B3" w:rsidRPr="00235E23">
        <w:rPr>
          <w:szCs w:val="24"/>
        </w:rPr>
        <w:t>appel de l’alberta</w:t>
      </w:r>
    </w:p>
    <w:p w:rsidR="001A6AF3" w:rsidRPr="00235E23" w:rsidRDefault="009B57B3" w:rsidP="00967C4A">
      <w:pPr>
        <w:pStyle w:val="SCCNormalDoubleSpacing"/>
        <w:spacing w:after="480"/>
        <w:rPr>
          <w:i/>
        </w:rPr>
      </w:pPr>
      <w:r w:rsidRPr="00235E23">
        <w:rPr>
          <w:szCs w:val="24"/>
        </w:rPr>
        <w:lastRenderedPageBreak/>
        <w:tab/>
      </w:r>
      <w:r w:rsidR="001A6AF3" w:rsidRPr="00235E23">
        <w:rPr>
          <w:i/>
          <w:szCs w:val="24"/>
        </w:rPr>
        <w:t>Procédure civile</w:t>
      </w:r>
      <w:r w:rsidR="001A6AF3" w:rsidRPr="00235E23">
        <w:rPr>
          <w:i/>
        </w:rPr>
        <w:t xml:space="preserve"> — Actes de procédure — Requête en radiation — </w:t>
      </w:r>
      <w:r w:rsidR="00A70902" w:rsidRPr="00235E23">
        <w:rPr>
          <w:i/>
        </w:rPr>
        <w:t xml:space="preserve">Allégation </w:t>
      </w:r>
      <w:r w:rsidR="001A6AF3" w:rsidRPr="00235E23">
        <w:rPr>
          <w:i/>
        </w:rPr>
        <w:t>que le gouvernement a artificiellement augmenté l</w:t>
      </w:r>
      <w:r w:rsidR="007F72D9" w:rsidRPr="00235E23">
        <w:rPr>
          <w:i/>
        </w:rPr>
        <w:t xml:space="preserve">es frais d’hébergement imposés aux </w:t>
      </w:r>
      <w:r w:rsidR="001A6AF3" w:rsidRPr="00235E23">
        <w:rPr>
          <w:i/>
        </w:rPr>
        <w:t>pensionnaires âgés des établissements de soins de longue durée en vue de financer les frais médicaux qui relèvent normalement du gouverne</w:t>
      </w:r>
      <w:r w:rsidR="00A70902" w:rsidRPr="00235E23">
        <w:rPr>
          <w:i/>
        </w:rPr>
        <w:t>ment</w:t>
      </w:r>
      <w:r w:rsidR="00967C4A" w:rsidRPr="00235E23">
        <w:rPr>
          <w:i/>
        </w:rPr>
        <w:t xml:space="preserve"> </w:t>
      </w:r>
      <w:r w:rsidR="001A6AF3" w:rsidRPr="00235E23">
        <w:rPr>
          <w:i/>
        </w:rPr>
        <w:t xml:space="preserve">— </w:t>
      </w:r>
      <w:r w:rsidR="00A70902" w:rsidRPr="00235E23">
        <w:rPr>
          <w:i/>
        </w:rPr>
        <w:t>Déclaration alléguant le manquement à une obligation fiducia</w:t>
      </w:r>
      <w:r w:rsidR="004F4315" w:rsidRPr="00235E23">
        <w:rPr>
          <w:i/>
        </w:rPr>
        <w:t>ir</w:t>
      </w:r>
      <w:r w:rsidR="00A70902" w:rsidRPr="00235E23">
        <w:rPr>
          <w:i/>
        </w:rPr>
        <w:t>e, la négligence, l’enrichissement injustifié, la mauvaise foi dans l’exercice d’un pouvoir discrétionnaire et la violation</w:t>
      </w:r>
      <w:r w:rsidR="006045A7">
        <w:rPr>
          <w:i/>
        </w:rPr>
        <w:t xml:space="preserve"> de l’art</w:t>
      </w:r>
      <w:r w:rsidR="00235E23" w:rsidRPr="00235E23">
        <w:rPr>
          <w:i/>
        </w:rPr>
        <w:t>. </w:t>
      </w:r>
      <w:r w:rsidR="001A6AF3" w:rsidRPr="00235E23">
        <w:rPr>
          <w:i/>
          <w:lang w:val="fr-FR"/>
        </w:rPr>
        <w:t xml:space="preserve">15(1) </w:t>
      </w:r>
      <w:r w:rsidR="00A70902" w:rsidRPr="00235E23">
        <w:rPr>
          <w:i/>
          <w:lang w:val="fr-FR"/>
        </w:rPr>
        <w:t>de la Charte canadienne des droits et libertés</w:t>
      </w:r>
      <w:r w:rsidR="001A6AF3" w:rsidRPr="00235E23">
        <w:rPr>
          <w:i/>
          <w:lang w:val="fr-FR"/>
        </w:rPr>
        <w:t xml:space="preserve"> — </w:t>
      </w:r>
      <w:r w:rsidR="00A70902" w:rsidRPr="00235E23">
        <w:rPr>
          <w:i/>
          <w:lang w:val="fr-FR"/>
        </w:rPr>
        <w:t>Les allégations contestées rév</w:t>
      </w:r>
      <w:r w:rsidR="00871721" w:rsidRPr="00235E23">
        <w:rPr>
          <w:i/>
          <w:lang w:val="fr-FR"/>
        </w:rPr>
        <w:t>èlent</w:t>
      </w:r>
      <w:r w:rsidR="00235E23" w:rsidRPr="00235E23">
        <w:rPr>
          <w:i/>
          <w:lang w:val="fr-FR"/>
        </w:rPr>
        <w:noBreakHyphen/>
      </w:r>
      <w:r w:rsidR="00871721" w:rsidRPr="00235E23">
        <w:rPr>
          <w:i/>
          <w:lang w:val="fr-FR"/>
        </w:rPr>
        <w:t>elles une cause d’action?</w:t>
      </w:r>
    </w:p>
    <w:p w:rsidR="001A6AF3" w:rsidRPr="00235E23" w:rsidRDefault="001A6AF3" w:rsidP="00967C4A">
      <w:pPr>
        <w:pStyle w:val="SCCNormalDoubleSpacing"/>
        <w:spacing w:after="480"/>
        <w:rPr>
          <w:i/>
          <w:lang w:val="fr-FR"/>
        </w:rPr>
      </w:pPr>
      <w:r w:rsidRPr="00235E23">
        <w:rPr>
          <w:i/>
          <w:lang w:val="fr-FR"/>
        </w:rPr>
        <w:tab/>
      </w:r>
      <w:r w:rsidR="005E7EF7" w:rsidRPr="00235E23">
        <w:rPr>
          <w:i/>
          <w:lang w:val="fr-FR"/>
        </w:rPr>
        <w:t>Obligation fiducia</w:t>
      </w:r>
      <w:r w:rsidR="004F4315" w:rsidRPr="00235E23">
        <w:rPr>
          <w:i/>
          <w:lang w:val="fr-FR"/>
        </w:rPr>
        <w:t>ire</w:t>
      </w:r>
      <w:r w:rsidRPr="00235E23">
        <w:rPr>
          <w:i/>
          <w:lang w:val="fr-FR"/>
        </w:rPr>
        <w:t xml:space="preserve"> — Go</w:t>
      </w:r>
      <w:r w:rsidR="00A70902" w:rsidRPr="00235E23">
        <w:rPr>
          <w:i/>
          <w:lang w:val="fr-FR"/>
        </w:rPr>
        <w:t>u</w:t>
      </w:r>
      <w:r w:rsidRPr="00235E23">
        <w:rPr>
          <w:i/>
          <w:lang w:val="fr-FR"/>
        </w:rPr>
        <w:t>vern</w:t>
      </w:r>
      <w:r w:rsidR="00A70902" w:rsidRPr="00235E23">
        <w:rPr>
          <w:i/>
          <w:lang w:val="fr-FR"/>
        </w:rPr>
        <w:t>e</w:t>
      </w:r>
      <w:r w:rsidRPr="00235E23">
        <w:rPr>
          <w:i/>
          <w:lang w:val="fr-FR"/>
        </w:rPr>
        <w:t xml:space="preserve">ment — </w:t>
      </w:r>
      <w:r w:rsidR="005E7EF7" w:rsidRPr="00235E23">
        <w:rPr>
          <w:i/>
          <w:lang w:val="fr-FR"/>
        </w:rPr>
        <w:t>Allégation que le g</w:t>
      </w:r>
      <w:r w:rsidRPr="00235E23">
        <w:rPr>
          <w:i/>
          <w:lang w:val="fr-FR"/>
        </w:rPr>
        <w:t>o</w:t>
      </w:r>
      <w:r w:rsidR="005E7EF7" w:rsidRPr="00235E23">
        <w:rPr>
          <w:i/>
          <w:lang w:val="fr-FR"/>
        </w:rPr>
        <w:t>u</w:t>
      </w:r>
      <w:r w:rsidRPr="00235E23">
        <w:rPr>
          <w:i/>
          <w:lang w:val="fr-FR"/>
        </w:rPr>
        <w:t>vern</w:t>
      </w:r>
      <w:r w:rsidR="005E7EF7" w:rsidRPr="00235E23">
        <w:rPr>
          <w:i/>
          <w:lang w:val="fr-FR"/>
        </w:rPr>
        <w:t>e</w:t>
      </w:r>
      <w:r w:rsidRPr="00235E23">
        <w:rPr>
          <w:i/>
          <w:lang w:val="fr-FR"/>
        </w:rPr>
        <w:t>ment</w:t>
      </w:r>
      <w:r w:rsidR="005E7EF7" w:rsidRPr="00235E23">
        <w:rPr>
          <w:i/>
          <w:lang w:val="fr-FR"/>
        </w:rPr>
        <w:t xml:space="preserve"> a artificiellement augmenté l</w:t>
      </w:r>
      <w:r w:rsidR="007F72D9" w:rsidRPr="00235E23">
        <w:rPr>
          <w:i/>
          <w:lang w:val="fr-FR"/>
        </w:rPr>
        <w:t xml:space="preserve">es frais d’hébergement imposés aux pensionnaires âgés des établissements de soins de longue durée en vue de financer les frais médicaux qui relèvent normalement du gouvernement </w:t>
      </w:r>
      <w:r w:rsidRPr="00235E23">
        <w:rPr>
          <w:i/>
          <w:lang w:val="fr-FR"/>
        </w:rPr>
        <w:t xml:space="preserve">— </w:t>
      </w:r>
      <w:r w:rsidR="002B12B4" w:rsidRPr="00235E23">
        <w:rPr>
          <w:i/>
          <w:lang w:val="fr-FR"/>
        </w:rPr>
        <w:t>Les principes relatifs à l’obligation fiducia</w:t>
      </w:r>
      <w:r w:rsidR="004F4315" w:rsidRPr="00235E23">
        <w:rPr>
          <w:i/>
          <w:lang w:val="fr-FR"/>
        </w:rPr>
        <w:t>ir</w:t>
      </w:r>
      <w:r w:rsidR="002B12B4" w:rsidRPr="00235E23">
        <w:rPr>
          <w:i/>
          <w:lang w:val="fr-FR"/>
        </w:rPr>
        <w:t>e</w:t>
      </w:r>
      <w:r w:rsidR="00586BD6" w:rsidRPr="00235E23">
        <w:rPr>
          <w:i/>
          <w:lang w:val="fr-FR"/>
        </w:rPr>
        <w:t xml:space="preserve"> qui régissent les entités privées s’appliquent</w:t>
      </w:r>
      <w:r w:rsidR="00235E23" w:rsidRPr="00235E23">
        <w:rPr>
          <w:i/>
          <w:lang w:val="fr-FR"/>
        </w:rPr>
        <w:noBreakHyphen/>
      </w:r>
      <w:r w:rsidR="00586BD6" w:rsidRPr="00235E23">
        <w:rPr>
          <w:i/>
          <w:lang w:val="fr-FR"/>
        </w:rPr>
        <w:t>ils aux gouvernements?</w:t>
      </w:r>
      <w:r w:rsidR="00967C4A" w:rsidRPr="00235E23">
        <w:rPr>
          <w:i/>
          <w:lang w:val="fr-FR"/>
        </w:rPr>
        <w:t xml:space="preserve"> </w:t>
      </w:r>
      <w:r w:rsidRPr="00235E23">
        <w:rPr>
          <w:i/>
          <w:lang w:val="fr-FR"/>
        </w:rPr>
        <w:t xml:space="preserve">— </w:t>
      </w:r>
      <w:r w:rsidR="00586BD6" w:rsidRPr="00235E23">
        <w:rPr>
          <w:i/>
          <w:lang w:val="fr-FR"/>
        </w:rPr>
        <w:t>Le gouvernement a</w:t>
      </w:r>
      <w:r w:rsidR="00235E23" w:rsidRPr="00235E23">
        <w:rPr>
          <w:i/>
          <w:lang w:val="fr-FR"/>
        </w:rPr>
        <w:noBreakHyphen/>
      </w:r>
      <w:r w:rsidR="00586BD6" w:rsidRPr="00235E23">
        <w:rPr>
          <w:i/>
          <w:lang w:val="fr-FR"/>
        </w:rPr>
        <w:t>t</w:t>
      </w:r>
      <w:r w:rsidR="00235E23" w:rsidRPr="00235E23">
        <w:rPr>
          <w:i/>
          <w:lang w:val="fr-FR"/>
        </w:rPr>
        <w:noBreakHyphen/>
      </w:r>
      <w:r w:rsidR="00586BD6" w:rsidRPr="00235E23">
        <w:rPr>
          <w:i/>
          <w:lang w:val="fr-FR"/>
        </w:rPr>
        <w:t>il une obligation fiducia</w:t>
      </w:r>
      <w:r w:rsidR="004F4315" w:rsidRPr="00235E23">
        <w:rPr>
          <w:i/>
          <w:lang w:val="fr-FR"/>
        </w:rPr>
        <w:t>ire</w:t>
      </w:r>
      <w:r w:rsidR="00586BD6" w:rsidRPr="00235E23">
        <w:rPr>
          <w:i/>
          <w:lang w:val="fr-FR"/>
        </w:rPr>
        <w:t xml:space="preserve"> envers les patients? </w:t>
      </w:r>
    </w:p>
    <w:p w:rsidR="00934756" w:rsidRPr="00235E23" w:rsidRDefault="009B57B3" w:rsidP="00967C4A">
      <w:pPr>
        <w:pStyle w:val="SCCNormalDoubleSpacing"/>
        <w:spacing w:after="480"/>
        <w:rPr>
          <w:lang w:val="fr-FR"/>
        </w:rPr>
      </w:pPr>
      <w:r w:rsidRPr="00235E23">
        <w:rPr>
          <w:szCs w:val="24"/>
          <w:lang w:val="fr-FR"/>
        </w:rPr>
        <w:tab/>
      </w:r>
      <w:r w:rsidR="00586BD6" w:rsidRPr="00235E23">
        <w:rPr>
          <w:lang w:val="fr-FR"/>
        </w:rPr>
        <w:t>L’</w:t>
      </w:r>
      <w:r w:rsidR="00934756" w:rsidRPr="00235E23">
        <w:rPr>
          <w:lang w:val="fr-FR"/>
        </w:rPr>
        <w:t>Alberta</w:t>
      </w:r>
      <w:r w:rsidR="00586BD6" w:rsidRPr="00235E23">
        <w:rPr>
          <w:lang w:val="fr-FR"/>
        </w:rPr>
        <w:t xml:space="preserve"> prend à sa charge les frais des soins </w:t>
      </w:r>
      <w:r w:rsidR="002F0286" w:rsidRPr="00235E23">
        <w:rPr>
          <w:lang w:val="fr-FR"/>
        </w:rPr>
        <w:t xml:space="preserve">de santé </w:t>
      </w:r>
      <w:r w:rsidR="00173DE6" w:rsidRPr="00235E23">
        <w:rPr>
          <w:lang w:val="fr-FR"/>
        </w:rPr>
        <w:t>prodigués</w:t>
      </w:r>
      <w:r w:rsidR="00586BD6" w:rsidRPr="00235E23">
        <w:rPr>
          <w:lang w:val="fr-FR"/>
        </w:rPr>
        <w:t xml:space="preserve"> aux pensionnaires des foyers de soins infirmiers et des hôpitaux de soins prolongés, mais on peut demander aux pensionnaires de payer des frais d’hébergement pour défrayer le coût de leur logement et de leurs repas.  </w:t>
      </w:r>
      <w:r w:rsidR="00586BD6" w:rsidRPr="00235E23">
        <w:rPr>
          <w:szCs w:val="24"/>
          <w:lang w:val="fr-FR"/>
        </w:rPr>
        <w:t xml:space="preserve">Un groupe </w:t>
      </w:r>
      <w:r w:rsidR="00173DE6" w:rsidRPr="00235E23">
        <w:rPr>
          <w:szCs w:val="24"/>
          <w:lang w:val="fr-FR"/>
        </w:rPr>
        <w:t>important</w:t>
      </w:r>
      <w:r w:rsidR="00423B31" w:rsidRPr="00235E23">
        <w:rPr>
          <w:szCs w:val="24"/>
          <w:lang w:val="fr-FR"/>
        </w:rPr>
        <w:t xml:space="preserve"> de pensionnaires âgés des établissements de soins de longue durée de l’</w:t>
      </w:r>
      <w:r w:rsidR="00012602" w:rsidRPr="00235E23">
        <w:rPr>
          <w:szCs w:val="24"/>
          <w:lang w:val="fr-FR"/>
        </w:rPr>
        <w:t>Alberta</w:t>
      </w:r>
      <w:r w:rsidR="00423B31" w:rsidRPr="00235E23">
        <w:rPr>
          <w:szCs w:val="24"/>
          <w:lang w:val="fr-FR"/>
        </w:rPr>
        <w:t xml:space="preserve"> allègue que le gouvernement a artificiellement augmenté les frais d’hébergement en vue de financer les </w:t>
      </w:r>
      <w:r w:rsidR="002F0286" w:rsidRPr="00235E23">
        <w:rPr>
          <w:szCs w:val="24"/>
          <w:lang w:val="fr-FR"/>
        </w:rPr>
        <w:t xml:space="preserve">frais </w:t>
      </w:r>
      <w:r w:rsidR="00423B31" w:rsidRPr="00235E23">
        <w:rPr>
          <w:szCs w:val="24"/>
          <w:lang w:val="fr-FR"/>
        </w:rPr>
        <w:lastRenderedPageBreak/>
        <w:t>médicaux.  Ils ont intenté un recours collectif et allégué que la province de l’</w:t>
      </w:r>
      <w:r w:rsidR="00934756" w:rsidRPr="00235E23">
        <w:rPr>
          <w:szCs w:val="24"/>
          <w:lang w:val="fr-FR"/>
        </w:rPr>
        <w:t xml:space="preserve">Alberta </w:t>
      </w:r>
      <w:r w:rsidR="00423B31" w:rsidRPr="00235E23">
        <w:rPr>
          <w:szCs w:val="24"/>
          <w:lang w:val="fr-FR"/>
        </w:rPr>
        <w:t xml:space="preserve">et les neuf autorités régionales </w:t>
      </w:r>
      <w:r w:rsidR="00173DE6" w:rsidRPr="00235E23">
        <w:rPr>
          <w:szCs w:val="24"/>
          <w:lang w:val="fr-FR"/>
        </w:rPr>
        <w:t xml:space="preserve">de la santé </w:t>
      </w:r>
      <w:r w:rsidR="00423B31" w:rsidRPr="00235E23">
        <w:rPr>
          <w:szCs w:val="24"/>
          <w:lang w:val="fr-FR"/>
        </w:rPr>
        <w:t xml:space="preserve">qui administraient le régime de soins de santé de l’Alberta et en assuraient la mise en œuvre </w:t>
      </w:r>
      <w:r w:rsidR="00F247AA" w:rsidRPr="00235E23">
        <w:rPr>
          <w:szCs w:val="24"/>
          <w:lang w:val="fr-FR"/>
        </w:rPr>
        <w:t xml:space="preserve">à l’époque </w:t>
      </w:r>
      <w:r w:rsidR="00173DE6" w:rsidRPr="00235E23">
        <w:rPr>
          <w:szCs w:val="24"/>
          <w:lang w:val="fr-FR"/>
        </w:rPr>
        <w:t>en cause</w:t>
      </w:r>
      <w:r w:rsidR="00F247AA" w:rsidRPr="00235E23">
        <w:rPr>
          <w:szCs w:val="24"/>
          <w:lang w:val="fr-FR"/>
        </w:rPr>
        <w:t xml:space="preserve"> </w:t>
      </w:r>
      <w:r w:rsidR="00C56AF3" w:rsidRPr="00235E23">
        <w:rPr>
          <w:szCs w:val="24"/>
          <w:lang w:val="fr-FR"/>
        </w:rPr>
        <w:t>n’ont pas veillé à ce que les frais d’hébergement soient utilisés exclusivement à cette fin.  Ils ont allégué que cela constituait un manquement à une obligation fiducia</w:t>
      </w:r>
      <w:r w:rsidR="004F4315" w:rsidRPr="00235E23">
        <w:rPr>
          <w:szCs w:val="24"/>
          <w:lang w:val="fr-FR"/>
        </w:rPr>
        <w:t>ir</w:t>
      </w:r>
      <w:r w:rsidR="00C56AF3" w:rsidRPr="00235E23">
        <w:rPr>
          <w:szCs w:val="24"/>
          <w:lang w:val="fr-FR"/>
        </w:rPr>
        <w:t xml:space="preserve">e, de la négligence, de la mauvaise foi et de l’enrichissement injustifié, et </w:t>
      </w:r>
      <w:r w:rsidR="00173DE6" w:rsidRPr="00235E23">
        <w:rPr>
          <w:szCs w:val="24"/>
          <w:lang w:val="fr-FR"/>
        </w:rPr>
        <w:t xml:space="preserve">ils </w:t>
      </w:r>
      <w:r w:rsidR="00C56AF3" w:rsidRPr="00235E23">
        <w:rPr>
          <w:szCs w:val="24"/>
          <w:lang w:val="fr-FR"/>
        </w:rPr>
        <w:t xml:space="preserve">ont présenté une demande fondée sur le droit à l’égalité garanti par le </w:t>
      </w:r>
      <w:r w:rsidR="00235E23" w:rsidRPr="00235E23">
        <w:rPr>
          <w:szCs w:val="24"/>
          <w:lang w:val="fr-FR"/>
        </w:rPr>
        <w:t>par. </w:t>
      </w:r>
      <w:r w:rsidR="00934756" w:rsidRPr="00235E23">
        <w:rPr>
          <w:szCs w:val="24"/>
          <w:lang w:val="fr-FR"/>
        </w:rPr>
        <w:t xml:space="preserve">15(1) </w:t>
      </w:r>
      <w:r w:rsidR="00C56AF3" w:rsidRPr="00235E23">
        <w:rPr>
          <w:szCs w:val="24"/>
          <w:lang w:val="fr-FR"/>
        </w:rPr>
        <w:t xml:space="preserve">de la </w:t>
      </w:r>
      <w:r w:rsidR="00934756" w:rsidRPr="00235E23">
        <w:rPr>
          <w:i/>
          <w:szCs w:val="24"/>
          <w:lang w:val="fr-FR"/>
        </w:rPr>
        <w:t>Charte</w:t>
      </w:r>
      <w:r w:rsidR="00C56AF3" w:rsidRPr="00235E23">
        <w:rPr>
          <w:i/>
          <w:szCs w:val="24"/>
          <w:lang w:val="fr-FR"/>
        </w:rPr>
        <w:t xml:space="preserve"> canadienne des droits et libertés</w:t>
      </w:r>
      <w:r w:rsidR="00934756" w:rsidRPr="00235E23">
        <w:rPr>
          <w:szCs w:val="24"/>
          <w:lang w:val="fr-FR"/>
        </w:rPr>
        <w:t xml:space="preserve">.  </w:t>
      </w:r>
      <w:r w:rsidR="00C56AF3" w:rsidRPr="00235E23">
        <w:rPr>
          <w:szCs w:val="24"/>
          <w:lang w:val="fr-FR"/>
        </w:rPr>
        <w:t>À l’étape de l’autorisation du recours collectif, l’</w:t>
      </w:r>
      <w:r w:rsidR="00934756" w:rsidRPr="00235E23">
        <w:rPr>
          <w:szCs w:val="24"/>
          <w:lang w:val="fr-FR"/>
        </w:rPr>
        <w:t xml:space="preserve">Alberta </w:t>
      </w:r>
      <w:r w:rsidR="00C56AF3" w:rsidRPr="00235E23">
        <w:rPr>
          <w:szCs w:val="24"/>
          <w:lang w:val="fr-FR"/>
        </w:rPr>
        <w:t>a contesté les allégations d’obligation fiducia</w:t>
      </w:r>
      <w:r w:rsidR="004F4315" w:rsidRPr="00235E23">
        <w:rPr>
          <w:szCs w:val="24"/>
          <w:lang w:val="fr-FR"/>
        </w:rPr>
        <w:t>ir</w:t>
      </w:r>
      <w:r w:rsidR="00C56AF3" w:rsidRPr="00235E23">
        <w:rPr>
          <w:szCs w:val="24"/>
          <w:lang w:val="fr-FR"/>
        </w:rPr>
        <w:t>e</w:t>
      </w:r>
      <w:r w:rsidR="00173DE6" w:rsidRPr="00235E23">
        <w:rPr>
          <w:szCs w:val="24"/>
          <w:lang w:val="fr-FR"/>
        </w:rPr>
        <w:t xml:space="preserve"> et</w:t>
      </w:r>
      <w:r w:rsidR="00C56AF3" w:rsidRPr="00235E23">
        <w:rPr>
          <w:szCs w:val="24"/>
          <w:lang w:val="fr-FR"/>
        </w:rPr>
        <w:t xml:space="preserve"> de négligence.  La juge saisie de la demande d’autorisation du recours a radié l’allégation relative au manquement à l’obligation fiducia</w:t>
      </w:r>
      <w:r w:rsidR="00173DE6" w:rsidRPr="00235E23">
        <w:rPr>
          <w:szCs w:val="24"/>
          <w:lang w:val="fr-FR"/>
        </w:rPr>
        <w:t>ire</w:t>
      </w:r>
      <w:r w:rsidR="00C56AF3" w:rsidRPr="00235E23">
        <w:rPr>
          <w:szCs w:val="24"/>
          <w:lang w:val="fr-FR"/>
        </w:rPr>
        <w:t xml:space="preserve">, et a partiellement limité l’application </w:t>
      </w:r>
      <w:r w:rsidR="00137AB9" w:rsidRPr="00235E23">
        <w:rPr>
          <w:szCs w:val="24"/>
          <w:lang w:val="fr-FR"/>
        </w:rPr>
        <w:t>de l’obligation de diligence procédant du droit de la négligence</w:t>
      </w:r>
      <w:r w:rsidR="00934756" w:rsidRPr="00235E23">
        <w:rPr>
          <w:szCs w:val="24"/>
          <w:lang w:val="fr-FR"/>
        </w:rPr>
        <w:t xml:space="preserve">. </w:t>
      </w:r>
      <w:r w:rsidR="00137AB9" w:rsidRPr="00235E23">
        <w:rPr>
          <w:szCs w:val="24"/>
          <w:lang w:val="fr-FR"/>
        </w:rPr>
        <w:t xml:space="preserve"> La Cour d’a</w:t>
      </w:r>
      <w:r w:rsidR="00934756" w:rsidRPr="00235E23">
        <w:rPr>
          <w:szCs w:val="24"/>
          <w:lang w:val="fr-FR"/>
        </w:rPr>
        <w:t>ppel</w:t>
      </w:r>
      <w:r w:rsidR="00137AB9" w:rsidRPr="00235E23">
        <w:rPr>
          <w:szCs w:val="24"/>
          <w:lang w:val="fr-FR"/>
        </w:rPr>
        <w:t xml:space="preserve"> a confirmé le droit du groupe d’invoquer les causes d’action.</w:t>
      </w:r>
      <w:r w:rsidR="00934756" w:rsidRPr="00235E23">
        <w:rPr>
          <w:szCs w:val="24"/>
          <w:lang w:val="fr-FR"/>
        </w:rPr>
        <w:t xml:space="preserve"> </w:t>
      </w:r>
    </w:p>
    <w:p w:rsidR="00137AB9" w:rsidRPr="00235E23" w:rsidRDefault="00C56AF3" w:rsidP="00967C4A">
      <w:pPr>
        <w:pStyle w:val="SCCNormalDoubleSpacing"/>
        <w:spacing w:after="480"/>
        <w:rPr>
          <w:lang w:val="fr-FR"/>
        </w:rPr>
      </w:pPr>
      <w:r w:rsidRPr="00235E23">
        <w:rPr>
          <w:szCs w:val="24"/>
          <w:lang w:val="fr-FR"/>
        </w:rPr>
        <w:tab/>
      </w:r>
      <w:r w:rsidR="0043088E" w:rsidRPr="00235E23">
        <w:rPr>
          <w:i/>
          <w:szCs w:val="24"/>
        </w:rPr>
        <w:t>Arrêt</w:t>
      </w:r>
      <w:r w:rsidR="00235E23" w:rsidRPr="00235E23">
        <w:rPr>
          <w:szCs w:val="24"/>
        </w:rPr>
        <w:t> :</w:t>
      </w:r>
      <w:r w:rsidR="009B57B3" w:rsidRPr="00235E23">
        <w:rPr>
          <w:szCs w:val="24"/>
        </w:rPr>
        <w:t xml:space="preserve"> </w:t>
      </w:r>
      <w:r w:rsidR="0043088E" w:rsidRPr="00235E23">
        <w:rPr>
          <w:szCs w:val="24"/>
        </w:rPr>
        <w:t>Le pourvoi est</w:t>
      </w:r>
      <w:r w:rsidRPr="00235E23">
        <w:rPr>
          <w:szCs w:val="24"/>
        </w:rPr>
        <w:t xml:space="preserve"> accueilli en partie.  </w:t>
      </w:r>
      <w:r w:rsidR="00137AB9" w:rsidRPr="00235E23">
        <w:rPr>
          <w:szCs w:val="24"/>
        </w:rPr>
        <w:t>Les all</w:t>
      </w:r>
      <w:r w:rsidR="009462B8" w:rsidRPr="00235E23">
        <w:rPr>
          <w:szCs w:val="24"/>
        </w:rPr>
        <w:t>é</w:t>
      </w:r>
      <w:r w:rsidR="00137AB9" w:rsidRPr="00235E23">
        <w:rPr>
          <w:szCs w:val="24"/>
        </w:rPr>
        <w:t>gations de manquement à une obligation fiducia</w:t>
      </w:r>
      <w:r w:rsidR="004F4315" w:rsidRPr="00235E23">
        <w:rPr>
          <w:szCs w:val="24"/>
        </w:rPr>
        <w:t>ir</w:t>
      </w:r>
      <w:r w:rsidR="00137AB9" w:rsidRPr="00235E23">
        <w:rPr>
          <w:szCs w:val="24"/>
        </w:rPr>
        <w:t xml:space="preserve">e, de négligence et de mauvaise foi </w:t>
      </w:r>
      <w:r w:rsidR="00173DE6" w:rsidRPr="00235E23">
        <w:rPr>
          <w:szCs w:val="24"/>
          <w:lang w:val="fr-FR"/>
        </w:rPr>
        <w:t xml:space="preserve">dans l’exercice d’un pouvoir discrétionnaire </w:t>
      </w:r>
      <w:r w:rsidR="00137AB9" w:rsidRPr="00235E23">
        <w:rPr>
          <w:szCs w:val="24"/>
        </w:rPr>
        <w:t xml:space="preserve">sont radiées de la déclaration. </w:t>
      </w:r>
      <w:r w:rsidR="00137AB9" w:rsidRPr="00235E23">
        <w:rPr>
          <w:lang w:val="fr-FR"/>
        </w:rPr>
        <w:t xml:space="preserve"> </w:t>
      </w:r>
      <w:r w:rsidR="009462B8" w:rsidRPr="00235E23">
        <w:rPr>
          <w:lang w:val="fr-FR"/>
        </w:rPr>
        <w:t>L’autorisation d’instruire l</w:t>
      </w:r>
      <w:r w:rsidR="00137AB9" w:rsidRPr="00235E23">
        <w:rPr>
          <w:lang w:val="fr-FR"/>
        </w:rPr>
        <w:t xml:space="preserve">’allégation d’enrichissement injustifié et la demande fondée sur le </w:t>
      </w:r>
      <w:r w:rsidR="00235E23" w:rsidRPr="00235E23">
        <w:rPr>
          <w:lang w:val="fr-FR"/>
        </w:rPr>
        <w:t>par. </w:t>
      </w:r>
      <w:r w:rsidR="00137AB9" w:rsidRPr="00235E23">
        <w:rPr>
          <w:lang w:val="fr-FR"/>
        </w:rPr>
        <w:t xml:space="preserve">15(1) de la </w:t>
      </w:r>
      <w:r w:rsidR="00137AB9" w:rsidRPr="00235E23">
        <w:rPr>
          <w:i/>
          <w:lang w:val="fr-FR"/>
        </w:rPr>
        <w:t>Charte</w:t>
      </w:r>
      <w:r w:rsidR="00137AB9" w:rsidRPr="00235E23">
        <w:rPr>
          <w:lang w:val="fr-FR"/>
        </w:rPr>
        <w:t xml:space="preserve"> </w:t>
      </w:r>
      <w:r w:rsidR="009462B8" w:rsidRPr="00235E23">
        <w:rPr>
          <w:lang w:val="fr-FR"/>
        </w:rPr>
        <w:t>est accordée</w:t>
      </w:r>
      <w:r w:rsidR="00137AB9" w:rsidRPr="00235E23">
        <w:rPr>
          <w:lang w:val="fr-FR"/>
        </w:rPr>
        <w:t xml:space="preserve">. </w:t>
      </w:r>
    </w:p>
    <w:p w:rsidR="00137AB9" w:rsidRPr="00235E23" w:rsidRDefault="00137AB9" w:rsidP="00967C4A">
      <w:pPr>
        <w:pStyle w:val="SCCNormalDoubleSpacing"/>
        <w:spacing w:after="480"/>
        <w:rPr>
          <w:lang w:val="fr-FR"/>
        </w:rPr>
      </w:pPr>
      <w:r w:rsidRPr="00235E23">
        <w:rPr>
          <w:lang w:val="fr-FR"/>
        </w:rPr>
        <w:tab/>
      </w:r>
      <w:r w:rsidRPr="00235E23">
        <w:rPr>
          <w:szCs w:val="24"/>
          <w:lang w:val="fr-FR"/>
        </w:rPr>
        <w:t>Dans un</w:t>
      </w:r>
      <w:r w:rsidR="00057960" w:rsidRPr="00235E23">
        <w:rPr>
          <w:szCs w:val="24"/>
          <w:lang w:val="fr-FR"/>
        </w:rPr>
        <w:t xml:space="preserve">e situation </w:t>
      </w:r>
      <w:r w:rsidRPr="00235E23">
        <w:rPr>
          <w:szCs w:val="24"/>
          <w:lang w:val="fr-FR"/>
        </w:rPr>
        <w:t>non visé</w:t>
      </w:r>
      <w:r w:rsidR="00057960" w:rsidRPr="00235E23">
        <w:rPr>
          <w:szCs w:val="24"/>
          <w:lang w:val="fr-FR"/>
        </w:rPr>
        <w:t>e</w:t>
      </w:r>
      <w:r w:rsidRPr="00235E23">
        <w:rPr>
          <w:szCs w:val="24"/>
          <w:lang w:val="fr-FR"/>
        </w:rPr>
        <w:t xml:space="preserve"> par une catégorie existante </w:t>
      </w:r>
      <w:r w:rsidR="00057960" w:rsidRPr="00235E23">
        <w:rPr>
          <w:szCs w:val="24"/>
          <w:lang w:val="fr-FR"/>
        </w:rPr>
        <w:t>de cas dans lesquels l’existence d’une obligation fiducia</w:t>
      </w:r>
      <w:r w:rsidR="00DA5790" w:rsidRPr="00235E23">
        <w:rPr>
          <w:szCs w:val="24"/>
          <w:lang w:val="fr-FR"/>
        </w:rPr>
        <w:t>ir</w:t>
      </w:r>
      <w:r w:rsidR="00057960" w:rsidRPr="00235E23">
        <w:rPr>
          <w:szCs w:val="24"/>
          <w:lang w:val="fr-FR"/>
        </w:rPr>
        <w:t xml:space="preserve">e a été reconnue, le demandeur doit démontrer </w:t>
      </w:r>
      <w:r w:rsidRPr="00235E23">
        <w:rPr>
          <w:lang w:val="fr-FR"/>
        </w:rPr>
        <w:t xml:space="preserve">(1) </w:t>
      </w:r>
      <w:r w:rsidR="00173DE6" w:rsidRPr="00235E23">
        <w:rPr>
          <w:lang w:val="fr-FR"/>
        </w:rPr>
        <w:t xml:space="preserve">que </w:t>
      </w:r>
      <w:r w:rsidR="00012602" w:rsidRPr="00235E23">
        <w:rPr>
          <w:szCs w:val="24"/>
          <w:lang w:val="fr-FR"/>
        </w:rPr>
        <w:t>le fidu</w:t>
      </w:r>
      <w:r w:rsidR="00057960" w:rsidRPr="00235E23">
        <w:rPr>
          <w:szCs w:val="24"/>
          <w:lang w:val="fr-FR"/>
        </w:rPr>
        <w:t>cia</w:t>
      </w:r>
      <w:r w:rsidR="00DA5790" w:rsidRPr="00235E23">
        <w:rPr>
          <w:szCs w:val="24"/>
          <w:lang w:val="fr-FR"/>
        </w:rPr>
        <w:t>ire</w:t>
      </w:r>
      <w:r w:rsidR="00057960" w:rsidRPr="00235E23">
        <w:rPr>
          <w:szCs w:val="24"/>
          <w:lang w:val="fr-FR"/>
        </w:rPr>
        <w:t xml:space="preserve"> s’est engagé à agir au mieux des intérêts du </w:t>
      </w:r>
      <w:r w:rsidR="00057960" w:rsidRPr="00235E23">
        <w:rPr>
          <w:szCs w:val="24"/>
          <w:lang w:val="fr-FR"/>
        </w:rPr>
        <w:lastRenderedPageBreak/>
        <w:t>bénéficiaire ou des bénéficiaires</w:t>
      </w:r>
      <w:r w:rsidR="00057960" w:rsidRPr="00235E23">
        <w:rPr>
          <w:lang w:val="fr-FR"/>
        </w:rPr>
        <w:t xml:space="preserve">; (2) </w:t>
      </w:r>
      <w:r w:rsidR="006F0C48" w:rsidRPr="00235E23">
        <w:rPr>
          <w:lang w:val="fr-FR"/>
        </w:rPr>
        <w:t>qu’</w:t>
      </w:r>
      <w:r w:rsidR="00057960" w:rsidRPr="00235E23">
        <w:rPr>
          <w:lang w:val="fr-FR"/>
        </w:rPr>
        <w:t>il existe une personne ou un groupe de personnes définies vulnérables au contrôle du fiducia</w:t>
      </w:r>
      <w:r w:rsidR="00DA5790" w:rsidRPr="00235E23">
        <w:rPr>
          <w:lang w:val="fr-FR"/>
        </w:rPr>
        <w:t>ire</w:t>
      </w:r>
      <w:r w:rsidRPr="00235E23">
        <w:rPr>
          <w:lang w:val="fr-FR"/>
        </w:rPr>
        <w:t xml:space="preserve">; </w:t>
      </w:r>
      <w:r w:rsidR="00057960" w:rsidRPr="00235E23">
        <w:rPr>
          <w:lang w:val="fr-FR"/>
        </w:rPr>
        <w:t>et</w:t>
      </w:r>
      <w:r w:rsidRPr="00235E23">
        <w:rPr>
          <w:lang w:val="fr-FR"/>
        </w:rPr>
        <w:t xml:space="preserve"> (3) </w:t>
      </w:r>
      <w:r w:rsidR="006F0C48" w:rsidRPr="00235E23">
        <w:rPr>
          <w:lang w:val="fr-FR"/>
        </w:rPr>
        <w:t xml:space="preserve">que l’exercice, par le fiduciaire, de son pouvoir discrétionnaire ou de son contrôle aura une incidence défavorable sur </w:t>
      </w:r>
      <w:r w:rsidR="00057960" w:rsidRPr="00235E23">
        <w:rPr>
          <w:lang w:val="fr-FR"/>
        </w:rPr>
        <w:t>un intérêt juridique ou un intérêt pratique important du bénéficiaire ou des bénéficiaires.  La vulnérabilité, à elle seule, ne suffit pas à justifier l’existence d’une obligation fiducia</w:t>
      </w:r>
      <w:r w:rsidR="00DA5790" w:rsidRPr="00235E23">
        <w:rPr>
          <w:lang w:val="fr-FR"/>
        </w:rPr>
        <w:t>ire</w:t>
      </w:r>
      <w:r w:rsidR="00057960" w:rsidRPr="00235E23">
        <w:rPr>
          <w:lang w:val="fr-FR"/>
        </w:rPr>
        <w:t xml:space="preserve">. </w:t>
      </w:r>
    </w:p>
    <w:p w:rsidR="00D24095" w:rsidRPr="00235E23" w:rsidRDefault="00D24095" w:rsidP="00967C4A">
      <w:pPr>
        <w:pStyle w:val="SCCNormalDoubleSpacing"/>
        <w:spacing w:after="480"/>
        <w:rPr>
          <w:szCs w:val="24"/>
          <w:lang w:val="fr-FR"/>
        </w:rPr>
      </w:pPr>
      <w:r w:rsidRPr="00235E23">
        <w:rPr>
          <w:szCs w:val="24"/>
          <w:lang w:val="fr-FR"/>
        </w:rPr>
        <w:tab/>
        <w:t xml:space="preserve">Puisqu’en règle générale le gouvernement doit agir dans l’intérêt de tous les citoyens, </w:t>
      </w:r>
      <w:r w:rsidR="00E16B8D" w:rsidRPr="00235E23">
        <w:rPr>
          <w:lang w:val="fr-FR"/>
        </w:rPr>
        <w:t>il aura des obligations fiducia</w:t>
      </w:r>
      <w:r w:rsidR="00DA5790" w:rsidRPr="00235E23">
        <w:rPr>
          <w:lang w:val="fr-FR"/>
        </w:rPr>
        <w:t>ir</w:t>
      </w:r>
      <w:r w:rsidR="00E16B8D" w:rsidRPr="00235E23">
        <w:rPr>
          <w:lang w:val="fr-FR"/>
        </w:rPr>
        <w:t xml:space="preserve">es seulement dans des circonstances retreintes et particulières.  </w:t>
      </w:r>
      <w:r w:rsidR="00E16B8D" w:rsidRPr="00235E23">
        <w:rPr>
          <w:szCs w:val="24"/>
          <w:lang w:val="fr-FR"/>
        </w:rPr>
        <w:t xml:space="preserve">L’intérêt touché doit être un intérêt de droit privé précis sur lequel la personne exerçait déjà un droit distinct et absolu, et le niveau de </w:t>
      </w:r>
      <w:r w:rsidRPr="00235E23">
        <w:rPr>
          <w:szCs w:val="24"/>
          <w:lang w:val="fr-FR"/>
        </w:rPr>
        <w:t>contr</w:t>
      </w:r>
      <w:r w:rsidR="00E16B8D" w:rsidRPr="00235E23">
        <w:rPr>
          <w:szCs w:val="24"/>
          <w:lang w:val="fr-FR"/>
        </w:rPr>
        <w:t xml:space="preserve">ôle exercé par le </w:t>
      </w:r>
      <w:r w:rsidRPr="00235E23">
        <w:rPr>
          <w:szCs w:val="24"/>
          <w:lang w:val="fr-FR"/>
        </w:rPr>
        <w:t>go</w:t>
      </w:r>
      <w:r w:rsidR="00E16B8D" w:rsidRPr="00235E23">
        <w:rPr>
          <w:szCs w:val="24"/>
          <w:lang w:val="fr-FR"/>
        </w:rPr>
        <w:t>u</w:t>
      </w:r>
      <w:r w:rsidRPr="00235E23">
        <w:rPr>
          <w:szCs w:val="24"/>
          <w:lang w:val="fr-FR"/>
        </w:rPr>
        <w:t>vern</w:t>
      </w:r>
      <w:r w:rsidR="00E16B8D" w:rsidRPr="00235E23">
        <w:rPr>
          <w:szCs w:val="24"/>
          <w:lang w:val="fr-FR"/>
        </w:rPr>
        <w:t>e</w:t>
      </w:r>
      <w:r w:rsidRPr="00235E23">
        <w:rPr>
          <w:szCs w:val="24"/>
          <w:lang w:val="fr-FR"/>
        </w:rPr>
        <w:t>ment</w:t>
      </w:r>
      <w:r w:rsidR="00E16B8D" w:rsidRPr="00235E23">
        <w:rPr>
          <w:szCs w:val="24"/>
          <w:lang w:val="fr-FR"/>
        </w:rPr>
        <w:t xml:space="preserve"> sur l’</w:t>
      </w:r>
      <w:r w:rsidRPr="00235E23">
        <w:rPr>
          <w:szCs w:val="24"/>
          <w:lang w:val="fr-FR"/>
        </w:rPr>
        <w:t>int</w:t>
      </w:r>
      <w:r w:rsidR="00E16B8D" w:rsidRPr="00235E23">
        <w:rPr>
          <w:szCs w:val="24"/>
          <w:lang w:val="fr-FR"/>
        </w:rPr>
        <w:t>érêt e</w:t>
      </w:r>
      <w:r w:rsidRPr="00235E23">
        <w:rPr>
          <w:szCs w:val="24"/>
          <w:lang w:val="fr-FR"/>
        </w:rPr>
        <w:t>n question</w:t>
      </w:r>
      <w:r w:rsidR="00E16B8D" w:rsidRPr="00235E23">
        <w:rPr>
          <w:szCs w:val="24"/>
          <w:lang w:val="fr-FR"/>
        </w:rPr>
        <w:t xml:space="preserve"> doit être équivalent ou semblable à l’administration directe de cet intérêt</w:t>
      </w:r>
      <w:r w:rsidRPr="00235E23">
        <w:rPr>
          <w:szCs w:val="24"/>
          <w:lang w:val="fr-FR"/>
        </w:rPr>
        <w:t xml:space="preserve">. </w:t>
      </w:r>
      <w:r w:rsidR="00E16B8D" w:rsidRPr="00235E23">
        <w:rPr>
          <w:szCs w:val="24"/>
          <w:lang w:val="fr-FR"/>
        </w:rPr>
        <w:t xml:space="preserve"> En règle générale, un lien étroit avec l’une des catégories habituelles </w:t>
      </w:r>
      <w:r w:rsidR="00B56205" w:rsidRPr="00235E23">
        <w:rPr>
          <w:szCs w:val="24"/>
          <w:lang w:val="fr-FR"/>
        </w:rPr>
        <w:t>de relation fiducia</w:t>
      </w:r>
      <w:r w:rsidR="00DA5790" w:rsidRPr="00235E23">
        <w:rPr>
          <w:szCs w:val="24"/>
          <w:lang w:val="fr-FR"/>
        </w:rPr>
        <w:t>ir</w:t>
      </w:r>
      <w:r w:rsidR="00B56205" w:rsidRPr="00235E23">
        <w:rPr>
          <w:szCs w:val="24"/>
          <w:lang w:val="fr-FR"/>
        </w:rPr>
        <w:t>e constitue une condition préalable pour conclure à l’existence d’une obligation fiducia</w:t>
      </w:r>
      <w:r w:rsidR="00173DE6" w:rsidRPr="00235E23">
        <w:rPr>
          <w:szCs w:val="24"/>
          <w:lang w:val="fr-FR"/>
        </w:rPr>
        <w:t>ir</w:t>
      </w:r>
      <w:r w:rsidR="00B56205" w:rsidRPr="00235E23">
        <w:rPr>
          <w:szCs w:val="24"/>
          <w:lang w:val="fr-FR"/>
        </w:rPr>
        <w:t>e implicite de l’État.</w:t>
      </w:r>
      <w:r w:rsidRPr="00235E23">
        <w:rPr>
          <w:szCs w:val="24"/>
          <w:lang w:val="fr-FR"/>
        </w:rPr>
        <w:t xml:space="preserve"> </w:t>
      </w:r>
      <w:r w:rsidR="00B56205" w:rsidRPr="00235E23">
        <w:rPr>
          <w:szCs w:val="24"/>
          <w:lang w:val="fr-FR"/>
        </w:rPr>
        <w:t xml:space="preserve"> </w:t>
      </w:r>
      <w:r w:rsidR="002720C2" w:rsidRPr="00235E23">
        <w:rPr>
          <w:szCs w:val="24"/>
          <w:lang w:val="fr-FR"/>
        </w:rPr>
        <w:t xml:space="preserve">Une </w:t>
      </w:r>
      <w:r w:rsidRPr="00235E23">
        <w:rPr>
          <w:szCs w:val="24"/>
          <w:lang w:val="fr-FR"/>
        </w:rPr>
        <w:t>obligation</w:t>
      </w:r>
      <w:r w:rsidR="002720C2" w:rsidRPr="00235E23">
        <w:rPr>
          <w:szCs w:val="24"/>
          <w:lang w:val="fr-FR"/>
        </w:rPr>
        <w:t xml:space="preserve"> générale envers le public ou des secteurs du public ne saurait établir l’existence d’un engagement d’agir dans l’intérêt du bénéficiaire</w:t>
      </w:r>
      <w:r w:rsidRPr="00235E23">
        <w:rPr>
          <w:szCs w:val="24"/>
          <w:lang w:val="fr-FR"/>
        </w:rPr>
        <w:t xml:space="preserve">, </w:t>
      </w:r>
      <w:r w:rsidR="002720C2" w:rsidRPr="00235E23">
        <w:rPr>
          <w:szCs w:val="24"/>
          <w:lang w:val="fr-FR"/>
        </w:rPr>
        <w:t xml:space="preserve">et peut faire en sorte qu’il soit difficile de démontrer qu’une personne ou un groupe de personnes définies est </w:t>
      </w:r>
      <w:r w:rsidRPr="00235E23">
        <w:rPr>
          <w:szCs w:val="24"/>
          <w:lang w:val="fr-FR"/>
        </w:rPr>
        <w:t>vuln</w:t>
      </w:r>
      <w:r w:rsidR="002720C2" w:rsidRPr="00235E23">
        <w:rPr>
          <w:szCs w:val="24"/>
          <w:lang w:val="fr-FR"/>
        </w:rPr>
        <w:t>é</w:t>
      </w:r>
      <w:r w:rsidRPr="00235E23">
        <w:rPr>
          <w:szCs w:val="24"/>
          <w:lang w:val="fr-FR"/>
        </w:rPr>
        <w:t xml:space="preserve">rable </w:t>
      </w:r>
      <w:r w:rsidR="002720C2" w:rsidRPr="00235E23">
        <w:rPr>
          <w:szCs w:val="24"/>
          <w:lang w:val="fr-FR"/>
        </w:rPr>
        <w:t>à l’exercice d’un pouvoir discrétionnaire du fiducia</w:t>
      </w:r>
      <w:r w:rsidR="00DA5790" w:rsidRPr="00235E23">
        <w:rPr>
          <w:szCs w:val="24"/>
          <w:lang w:val="fr-FR"/>
        </w:rPr>
        <w:t>ire</w:t>
      </w:r>
      <w:r w:rsidRPr="00235E23">
        <w:rPr>
          <w:szCs w:val="24"/>
          <w:lang w:val="fr-FR"/>
        </w:rPr>
        <w:t>.</w:t>
      </w:r>
      <w:r w:rsidR="002720C2" w:rsidRPr="00235E23">
        <w:rPr>
          <w:szCs w:val="24"/>
          <w:lang w:val="fr-FR"/>
        </w:rPr>
        <w:t xml:space="preserve">  Les conditions ne peuvent pas non plus être remplies simplement </w:t>
      </w:r>
      <w:r w:rsidR="006F0C48" w:rsidRPr="00235E23">
        <w:rPr>
          <w:szCs w:val="24"/>
          <w:lang w:val="fr-FR"/>
        </w:rPr>
        <w:t>lors</w:t>
      </w:r>
      <w:r w:rsidR="002720C2" w:rsidRPr="00235E23">
        <w:rPr>
          <w:szCs w:val="24"/>
          <w:lang w:val="fr-FR"/>
        </w:rPr>
        <w:t>qu</w:t>
      </w:r>
      <w:r w:rsidR="006F0C48" w:rsidRPr="00235E23">
        <w:rPr>
          <w:szCs w:val="24"/>
          <w:lang w:val="fr-FR"/>
        </w:rPr>
        <w:t>’</w:t>
      </w:r>
      <w:r w:rsidR="002720C2" w:rsidRPr="00235E23">
        <w:rPr>
          <w:szCs w:val="24"/>
          <w:lang w:val="fr-FR"/>
        </w:rPr>
        <w:t xml:space="preserve">une autorité publique a été investie du pouvoir </w:t>
      </w:r>
      <w:r w:rsidR="00A45CF0" w:rsidRPr="00235E23">
        <w:rPr>
          <w:szCs w:val="24"/>
          <w:lang w:val="fr-FR"/>
        </w:rPr>
        <w:t xml:space="preserve">discrétionnaire d’influer </w:t>
      </w:r>
      <w:r w:rsidR="002720C2" w:rsidRPr="00235E23">
        <w:rPr>
          <w:szCs w:val="24"/>
          <w:lang w:val="fr-FR"/>
        </w:rPr>
        <w:t xml:space="preserve">sur les intérêts d’une personne </w:t>
      </w:r>
      <w:r w:rsidR="00A45CF0" w:rsidRPr="00235E23">
        <w:rPr>
          <w:szCs w:val="24"/>
          <w:lang w:val="fr-FR"/>
        </w:rPr>
        <w:t>lorsqu’il y a une incidence générale sur le bien</w:t>
      </w:r>
      <w:r w:rsidR="00235E23" w:rsidRPr="00235E23">
        <w:rPr>
          <w:szCs w:val="24"/>
          <w:lang w:val="fr-FR"/>
        </w:rPr>
        <w:noBreakHyphen/>
      </w:r>
      <w:r w:rsidR="00A45CF0" w:rsidRPr="00235E23">
        <w:rPr>
          <w:szCs w:val="24"/>
          <w:lang w:val="fr-FR"/>
        </w:rPr>
        <w:t xml:space="preserve">être, les biens ou la sécurité de cette dernière, lorsqu’un droit </w:t>
      </w:r>
      <w:r w:rsidR="00A45CF0" w:rsidRPr="00235E23">
        <w:rPr>
          <w:lang w:val="fr-FR"/>
        </w:rPr>
        <w:t>dépend d’une mesure ultérieure de l’État</w:t>
      </w:r>
      <w:r w:rsidRPr="00235E23">
        <w:rPr>
          <w:lang w:val="fr-FR"/>
        </w:rPr>
        <w:t>,</w:t>
      </w:r>
      <w:r w:rsidR="00A45CF0" w:rsidRPr="00235E23">
        <w:rPr>
          <w:lang w:val="fr-FR"/>
        </w:rPr>
        <w:t xml:space="preserve"> ou lorsqu’il y a seulement </w:t>
      </w:r>
      <w:r w:rsidR="00A45CF0" w:rsidRPr="00235E23">
        <w:rPr>
          <w:lang w:val="fr-FR"/>
        </w:rPr>
        <w:lastRenderedPageBreak/>
        <w:t>un accès à un régime de prestations</w:t>
      </w:r>
      <w:r w:rsidRPr="00235E23">
        <w:rPr>
          <w:szCs w:val="24"/>
          <w:lang w:val="fr-FR"/>
        </w:rPr>
        <w:t xml:space="preserve">. </w:t>
      </w:r>
      <w:r w:rsidR="00A45CF0" w:rsidRPr="00235E23">
        <w:rPr>
          <w:szCs w:val="24"/>
          <w:lang w:val="fr-FR"/>
        </w:rPr>
        <w:t xml:space="preserve"> S’il est allégué que l’engagement découle d’une loi, le libellé de la loi doit manifestement l’appuyer. </w:t>
      </w:r>
    </w:p>
    <w:p w:rsidR="005B5167" w:rsidRPr="00235E23" w:rsidRDefault="005B5167" w:rsidP="00967C4A">
      <w:pPr>
        <w:pStyle w:val="SCCNormalDoubleSpacing"/>
        <w:spacing w:after="480"/>
        <w:rPr>
          <w:szCs w:val="24"/>
          <w:lang w:val="fr-FR"/>
        </w:rPr>
      </w:pPr>
      <w:r w:rsidRPr="00235E23">
        <w:rPr>
          <w:szCs w:val="24"/>
          <w:lang w:val="fr-FR"/>
        </w:rPr>
        <w:tab/>
        <w:t xml:space="preserve">En l’espèce, </w:t>
      </w:r>
      <w:r w:rsidRPr="00235E23">
        <w:rPr>
          <w:lang w:val="fr-FR"/>
        </w:rPr>
        <w:t>si l’on considère que tous les faits invoqués sont vrais, l’allégation de manquement à une obligation fiducia</w:t>
      </w:r>
      <w:r w:rsidR="00DA5790" w:rsidRPr="00235E23">
        <w:rPr>
          <w:lang w:val="fr-FR"/>
        </w:rPr>
        <w:t>ir</w:t>
      </w:r>
      <w:r w:rsidRPr="00235E23">
        <w:rPr>
          <w:lang w:val="fr-FR"/>
        </w:rPr>
        <w:t xml:space="preserve">e ne révèle pas une cause d’action justifiable.  </w:t>
      </w:r>
      <w:r w:rsidR="00043AA8" w:rsidRPr="00235E23">
        <w:rPr>
          <w:szCs w:val="24"/>
          <w:lang w:val="fr-FR"/>
        </w:rPr>
        <w:t>La vulnérabilité des demandeurs, telle qu’alléguée dans leurs actes de procédure, ne résulte pas de leur relation avec l’</w:t>
      </w:r>
      <w:r w:rsidRPr="00235E23">
        <w:rPr>
          <w:szCs w:val="24"/>
          <w:lang w:val="fr-FR"/>
        </w:rPr>
        <w:t xml:space="preserve">Alberta. </w:t>
      </w:r>
      <w:r w:rsidR="001F4EC6" w:rsidRPr="00235E23">
        <w:rPr>
          <w:szCs w:val="24"/>
          <w:lang w:val="fr-FR"/>
        </w:rPr>
        <w:t xml:space="preserve"> </w:t>
      </w:r>
      <w:r w:rsidR="002A2B65" w:rsidRPr="00235E23">
        <w:rPr>
          <w:szCs w:val="24"/>
          <w:lang w:val="fr-FR"/>
        </w:rPr>
        <w:t>Bien que leur situation financière puisse être touchée par l’imposition des frais d’hébergement,</w:t>
      </w:r>
      <w:r w:rsidR="00D06380" w:rsidRPr="00235E23">
        <w:rPr>
          <w:szCs w:val="24"/>
          <w:lang w:val="fr-FR"/>
        </w:rPr>
        <w:t xml:space="preserve"> ce facteur, à lui seul, ne suffit pas pour justifier une obligation fiducia</w:t>
      </w:r>
      <w:r w:rsidR="00DA5790" w:rsidRPr="00235E23">
        <w:rPr>
          <w:szCs w:val="24"/>
          <w:lang w:val="fr-FR"/>
        </w:rPr>
        <w:t>ir</w:t>
      </w:r>
      <w:r w:rsidR="00D06380" w:rsidRPr="00235E23">
        <w:rPr>
          <w:szCs w:val="24"/>
          <w:lang w:val="fr-FR"/>
        </w:rPr>
        <w:t>e.</w:t>
      </w:r>
      <w:r w:rsidR="002A2B65" w:rsidRPr="00235E23">
        <w:rPr>
          <w:szCs w:val="24"/>
          <w:lang w:val="fr-FR"/>
        </w:rPr>
        <w:t xml:space="preserve"> </w:t>
      </w:r>
      <w:r w:rsidRPr="00235E23">
        <w:rPr>
          <w:szCs w:val="24"/>
          <w:lang w:val="fr-FR"/>
        </w:rPr>
        <w:t xml:space="preserve"> </w:t>
      </w:r>
      <w:r w:rsidR="00D06380" w:rsidRPr="00235E23">
        <w:rPr>
          <w:szCs w:val="24"/>
          <w:lang w:val="fr-FR"/>
        </w:rPr>
        <w:t xml:space="preserve">Aucune disposition législative ni quoi que ce soit dans les rapports de fait invoqués n’étaye un engagement de l’Alberta de faire preuve, envers les membres du groupe de demandeurs, d’une loyauté exclusive pour ce qui est de la fixation, de la perception et de l’administration des frais d’hébergement, et les demandeurs ne font référence à aucune obligation analogue en droit privé.  </w:t>
      </w:r>
      <w:r w:rsidR="002F0286" w:rsidRPr="00235E23">
        <w:rPr>
          <w:szCs w:val="24"/>
          <w:lang w:val="fr-FR"/>
        </w:rPr>
        <w:t xml:space="preserve">La </w:t>
      </w:r>
      <w:r w:rsidR="006045A7" w:rsidRPr="006045A7">
        <w:rPr>
          <w:i/>
          <w:szCs w:val="24"/>
          <w:lang w:val="fr-FR"/>
        </w:rPr>
        <w:t>Alberta</w:t>
      </w:r>
      <w:r w:rsidR="006045A7">
        <w:rPr>
          <w:szCs w:val="24"/>
          <w:lang w:val="fr-FR"/>
        </w:rPr>
        <w:t xml:space="preserve"> </w:t>
      </w:r>
      <w:r w:rsidRPr="00235E23">
        <w:rPr>
          <w:i/>
          <w:szCs w:val="24"/>
          <w:lang w:val="fr-FR"/>
        </w:rPr>
        <w:t>Health Care Insurance Act</w:t>
      </w:r>
      <w:r w:rsidRPr="00235E23">
        <w:rPr>
          <w:szCs w:val="24"/>
          <w:lang w:val="fr-FR"/>
        </w:rPr>
        <w:t xml:space="preserve"> </w:t>
      </w:r>
      <w:r w:rsidR="002F0286" w:rsidRPr="00235E23">
        <w:rPr>
          <w:szCs w:val="24"/>
          <w:lang w:val="fr-FR"/>
        </w:rPr>
        <w:t>oblige la p</w:t>
      </w:r>
      <w:r w:rsidRPr="00235E23">
        <w:rPr>
          <w:szCs w:val="24"/>
          <w:lang w:val="fr-FR"/>
        </w:rPr>
        <w:t>rovince</w:t>
      </w:r>
      <w:r w:rsidR="002F0286" w:rsidRPr="00235E23">
        <w:rPr>
          <w:szCs w:val="24"/>
          <w:lang w:val="fr-FR"/>
        </w:rPr>
        <w:t xml:space="preserve"> à fournir des soins de santé, mais ne l’oblige pas à s’engager à a</w:t>
      </w:r>
      <w:r w:rsidR="00AF206C" w:rsidRPr="00235E23">
        <w:rPr>
          <w:szCs w:val="24"/>
          <w:lang w:val="fr-FR"/>
        </w:rPr>
        <w:t>gir au mieux des intérêts des ré</w:t>
      </w:r>
      <w:r w:rsidR="002F0286" w:rsidRPr="00235E23">
        <w:rPr>
          <w:szCs w:val="24"/>
          <w:lang w:val="fr-FR"/>
        </w:rPr>
        <w:t xml:space="preserve">sidents de l’Alberta en général, ou au mieux des intérêts des pensionnaires d’un établissement de soins de longue durée en particulier.  </w:t>
      </w:r>
      <w:r w:rsidR="00AF206C" w:rsidRPr="00235E23">
        <w:rPr>
          <w:szCs w:val="24"/>
        </w:rPr>
        <w:t xml:space="preserve">La loi n’oblige pas non plus le gouvernement à tenir compte des intérêts de quiconque lorsqu’il détermine la contribution qui peut être demandée aux </w:t>
      </w:r>
      <w:r w:rsidR="00AF206C" w:rsidRPr="00235E23">
        <w:t>pensionnaires.</w:t>
      </w:r>
      <w:r w:rsidRPr="00235E23">
        <w:rPr>
          <w:szCs w:val="24"/>
          <w:lang w:val="fr-FR"/>
        </w:rPr>
        <w:t xml:space="preserve"> </w:t>
      </w:r>
      <w:r w:rsidR="00AF206C" w:rsidRPr="00235E23">
        <w:rPr>
          <w:szCs w:val="24"/>
          <w:lang w:val="fr-FR"/>
        </w:rPr>
        <w:t xml:space="preserve"> L’intérêt juridique ou l’intérêt pratique essentiel, qui est décrit comme étant touché par l’exercice du pouvoir de l’État — le droit à des soins de longue durée et le droit d’être facturé à un prix raisonnable pour recevoir des soins —</w:t>
      </w:r>
      <w:r w:rsidR="005D0984">
        <w:rPr>
          <w:szCs w:val="24"/>
          <w:lang w:val="fr-FR"/>
        </w:rPr>
        <w:t xml:space="preserve"> </w:t>
      </w:r>
      <w:r w:rsidR="00AF206C" w:rsidRPr="00235E23">
        <w:rPr>
          <w:szCs w:val="24"/>
          <w:lang w:val="fr-FR"/>
        </w:rPr>
        <w:t>n’est pas suffisant pour faire naître une obligation fiducia</w:t>
      </w:r>
      <w:r w:rsidR="00173DE6" w:rsidRPr="00235E23">
        <w:rPr>
          <w:szCs w:val="24"/>
          <w:lang w:val="fr-FR"/>
        </w:rPr>
        <w:t>ir</w:t>
      </w:r>
      <w:r w:rsidR="00AF206C" w:rsidRPr="00235E23">
        <w:rPr>
          <w:szCs w:val="24"/>
          <w:lang w:val="fr-FR"/>
        </w:rPr>
        <w:t xml:space="preserve">e.  </w:t>
      </w:r>
      <w:r w:rsidR="00AF206C" w:rsidRPr="00235E23">
        <w:rPr>
          <w:szCs w:val="24"/>
        </w:rPr>
        <w:t xml:space="preserve">Les décisions quant à la façon de financer et de </w:t>
      </w:r>
      <w:r w:rsidR="00AF206C" w:rsidRPr="00235E23">
        <w:rPr>
          <w:szCs w:val="24"/>
        </w:rPr>
        <w:lastRenderedPageBreak/>
        <w:t xml:space="preserve">mettre en œuvre des services de soins de santé assurés exigent le maintien constant de l’équilibre des intérêts opposés des différentes parties de la population.  </w:t>
      </w:r>
      <w:r w:rsidR="00A80615" w:rsidRPr="00235E23">
        <w:rPr>
          <w:szCs w:val="24"/>
        </w:rPr>
        <w:t xml:space="preserve">L’État ne serait pas en mesure de remplir ses obligations envers l’ensemble de la population s’il </w:t>
      </w:r>
      <w:r w:rsidR="002B40B5" w:rsidRPr="00235E23">
        <w:rPr>
          <w:szCs w:val="24"/>
        </w:rPr>
        <w:t xml:space="preserve">était astreint à </w:t>
      </w:r>
      <w:r w:rsidR="00A80615" w:rsidRPr="00235E23">
        <w:rPr>
          <w:szCs w:val="24"/>
        </w:rPr>
        <w:t>une norme de conduite de nature fiducia</w:t>
      </w:r>
      <w:r w:rsidR="000052E7" w:rsidRPr="00235E23">
        <w:rPr>
          <w:szCs w:val="24"/>
        </w:rPr>
        <w:t>ir</w:t>
      </w:r>
      <w:r w:rsidR="00A80615" w:rsidRPr="00235E23">
        <w:rPr>
          <w:szCs w:val="24"/>
        </w:rPr>
        <w:t>e envers un seul groupe parmi tant d’autres</w:t>
      </w:r>
      <w:r w:rsidR="002B40B5" w:rsidRPr="00235E23">
        <w:rPr>
          <w:szCs w:val="24"/>
        </w:rPr>
        <w:t xml:space="preserve">.  Qui plus est, la province n’est pas </w:t>
      </w:r>
      <w:r w:rsidR="00012602" w:rsidRPr="00235E23">
        <w:rPr>
          <w:szCs w:val="24"/>
        </w:rPr>
        <w:t>responsable</w:t>
      </w:r>
      <w:r w:rsidR="002B40B5" w:rsidRPr="00235E23">
        <w:rPr>
          <w:szCs w:val="24"/>
        </w:rPr>
        <w:t xml:space="preserve"> des membres du groupe, qui sont généralement encore capable</w:t>
      </w:r>
      <w:r w:rsidR="006045A7">
        <w:rPr>
          <w:szCs w:val="24"/>
        </w:rPr>
        <w:t>s</w:t>
      </w:r>
      <w:r w:rsidR="002B40B5" w:rsidRPr="00235E23">
        <w:rPr>
          <w:szCs w:val="24"/>
        </w:rPr>
        <w:t xml:space="preserve"> de gérer leurs propres affaires ou seront bénéficiaires des obligations de leurs propres tuteurs et fiduciaires.  </w:t>
      </w:r>
      <w:r w:rsidR="002A2B65" w:rsidRPr="00235E23">
        <w:rPr>
          <w:lang w:val="fr-FR"/>
        </w:rPr>
        <w:t>L’allégation de manq</w:t>
      </w:r>
      <w:r w:rsidR="000052E7" w:rsidRPr="00235E23">
        <w:rPr>
          <w:lang w:val="fr-FR"/>
        </w:rPr>
        <w:t>uement à une obligation fiduciair</w:t>
      </w:r>
      <w:r w:rsidR="002A2B65" w:rsidRPr="00235E23">
        <w:rPr>
          <w:lang w:val="fr-FR"/>
        </w:rPr>
        <w:t xml:space="preserve">e doit être radiée de la déclaration. </w:t>
      </w:r>
    </w:p>
    <w:p w:rsidR="001335B1" w:rsidRPr="00235E23" w:rsidRDefault="00ED4A87" w:rsidP="008353EB">
      <w:pPr>
        <w:pStyle w:val="SCCNormalDoubleSpacing"/>
        <w:spacing w:after="480"/>
        <w:rPr>
          <w:rStyle w:val="ssl2"/>
          <w:szCs w:val="24"/>
        </w:rPr>
      </w:pPr>
      <w:r w:rsidRPr="00235E23">
        <w:rPr>
          <w:szCs w:val="24"/>
          <w:lang w:val="fr-FR"/>
        </w:rPr>
        <w:tab/>
      </w:r>
      <w:r w:rsidRPr="00235E23">
        <w:rPr>
          <w:lang w:val="fr-FR"/>
        </w:rPr>
        <w:t xml:space="preserve">Les actes de procédure n’étayent pas une allégation de négligence.  </w:t>
      </w:r>
      <w:r w:rsidR="006F6F9C" w:rsidRPr="00235E23">
        <w:rPr>
          <w:lang w:val="fr-FR"/>
        </w:rPr>
        <w:t xml:space="preserve">Bien qu’on puisse soutenir que les actes de procédure évoquent la négligence dans la vérification, la supervision, le contrôle et la gestion des </w:t>
      </w:r>
      <w:r w:rsidRPr="00235E23">
        <w:rPr>
          <w:szCs w:val="24"/>
          <w:lang w:val="fr-FR"/>
        </w:rPr>
        <w:t>f</w:t>
      </w:r>
      <w:r w:rsidR="006F6F9C" w:rsidRPr="00235E23">
        <w:rPr>
          <w:szCs w:val="24"/>
          <w:lang w:val="fr-FR"/>
        </w:rPr>
        <w:t>o</w:t>
      </w:r>
      <w:r w:rsidRPr="00235E23">
        <w:rPr>
          <w:szCs w:val="24"/>
          <w:lang w:val="fr-FR"/>
        </w:rPr>
        <w:t>nds</w:t>
      </w:r>
      <w:r w:rsidR="006F6F9C" w:rsidRPr="00235E23">
        <w:rPr>
          <w:szCs w:val="24"/>
          <w:lang w:val="fr-FR"/>
        </w:rPr>
        <w:t xml:space="preserve"> associés aux frais d’hébergement</w:t>
      </w:r>
      <w:r w:rsidRPr="00235E23">
        <w:rPr>
          <w:szCs w:val="24"/>
          <w:lang w:val="fr-FR"/>
        </w:rPr>
        <w:t xml:space="preserve">, </w:t>
      </w:r>
      <w:r w:rsidR="003C52B1" w:rsidRPr="00235E23">
        <w:rPr>
          <w:rStyle w:val="ssl2"/>
          <w:szCs w:val="24"/>
          <w:lang w:val="fr-FR"/>
        </w:rPr>
        <w:t>le régime législatif</w:t>
      </w:r>
      <w:r w:rsidR="006F6F9C" w:rsidRPr="00235E23">
        <w:rPr>
          <w:rStyle w:val="ssl2"/>
          <w:szCs w:val="24"/>
          <w:lang w:val="fr-FR"/>
        </w:rPr>
        <w:t xml:space="preserve"> n’impose pas une obligation de diligence à l’Alberta.  </w:t>
      </w:r>
      <w:r w:rsidR="006F6F9C" w:rsidRPr="00235E23">
        <w:rPr>
          <w:szCs w:val="24"/>
          <w:lang w:val="fr-FR"/>
        </w:rPr>
        <w:t xml:space="preserve">La </w:t>
      </w:r>
      <w:r w:rsidR="006F6F9C" w:rsidRPr="00235E23">
        <w:rPr>
          <w:i/>
          <w:szCs w:val="24"/>
          <w:lang w:val="fr-FR"/>
        </w:rPr>
        <w:t xml:space="preserve">Alberta </w:t>
      </w:r>
      <w:r w:rsidR="006F6F9C" w:rsidRPr="00235E23">
        <w:rPr>
          <w:rStyle w:val="ssl2"/>
          <w:i/>
          <w:szCs w:val="24"/>
          <w:lang w:val="fr-FR"/>
        </w:rPr>
        <w:t>Health</w:t>
      </w:r>
      <w:r w:rsidR="006045A7">
        <w:rPr>
          <w:rStyle w:val="ssl2"/>
          <w:i/>
          <w:szCs w:val="24"/>
          <w:lang w:val="fr-FR"/>
        </w:rPr>
        <w:t xml:space="preserve"> Care</w:t>
      </w:r>
      <w:r w:rsidR="006F6F9C" w:rsidRPr="00235E23">
        <w:rPr>
          <w:rStyle w:val="ssl2"/>
          <w:i/>
          <w:szCs w:val="24"/>
          <w:lang w:val="fr-FR"/>
        </w:rPr>
        <w:t xml:space="preserve"> Insurance Act</w:t>
      </w:r>
      <w:r w:rsidR="006F6F9C" w:rsidRPr="00235E23">
        <w:rPr>
          <w:szCs w:val="24"/>
          <w:lang w:val="fr-FR"/>
        </w:rPr>
        <w:t xml:space="preserve"> impose au ministre l’obligation générale de fournir des services de soins de santé assurés, mais les demandeurs </w:t>
      </w:r>
      <w:r w:rsidR="006F6F9C" w:rsidRPr="00235E23">
        <w:rPr>
          <w:rStyle w:val="ssl2"/>
          <w:szCs w:val="24"/>
          <w:lang w:val="fr-FR"/>
        </w:rPr>
        <w:t xml:space="preserve">n’ont pu établir l’existence d’une obligation de vérifier, de superviser, de contrôler ou de gérer les fonds associés aux frais d’hébergement.  Dans la même veine, la </w:t>
      </w:r>
      <w:r w:rsidRPr="00235E23">
        <w:rPr>
          <w:rStyle w:val="ssl2"/>
          <w:i/>
          <w:szCs w:val="24"/>
          <w:lang w:val="fr-FR"/>
        </w:rPr>
        <w:t>Nursing Homes Act</w:t>
      </w:r>
      <w:r w:rsidRPr="00235E23">
        <w:rPr>
          <w:rStyle w:val="ssl2"/>
          <w:szCs w:val="24"/>
          <w:lang w:val="fr-FR"/>
        </w:rPr>
        <w:t xml:space="preserve"> </w:t>
      </w:r>
      <w:r w:rsidR="006F6F9C" w:rsidRPr="00235E23">
        <w:rPr>
          <w:rStyle w:val="ssl2"/>
          <w:szCs w:val="24"/>
          <w:lang w:val="fr-FR"/>
        </w:rPr>
        <w:t xml:space="preserve">et </w:t>
      </w:r>
      <w:r w:rsidR="000052E7" w:rsidRPr="00235E23">
        <w:rPr>
          <w:rStyle w:val="ssl2"/>
          <w:szCs w:val="24"/>
          <w:lang w:val="fr-FR"/>
        </w:rPr>
        <w:t>s</w:t>
      </w:r>
      <w:r w:rsidR="006F6F9C" w:rsidRPr="00235E23">
        <w:rPr>
          <w:rStyle w:val="ssl2"/>
          <w:szCs w:val="24"/>
          <w:lang w:val="fr-FR"/>
        </w:rPr>
        <w:t>es règlements d’application n’imposent à l’État aucune obligation positive</w:t>
      </w:r>
      <w:r w:rsidRPr="00235E23">
        <w:rPr>
          <w:rStyle w:val="ssl2"/>
          <w:szCs w:val="24"/>
          <w:lang w:val="fr-FR"/>
        </w:rPr>
        <w:t xml:space="preserve">, </w:t>
      </w:r>
      <w:r w:rsidR="002D37AB" w:rsidRPr="00235E23">
        <w:rPr>
          <w:rStyle w:val="ssl2"/>
          <w:szCs w:val="24"/>
          <w:lang w:val="fr-FR"/>
        </w:rPr>
        <w:t xml:space="preserve">elle ne lui confère que des pouvoirs de contrôle facultatifs. </w:t>
      </w:r>
      <w:r w:rsidR="00161609" w:rsidRPr="00235E23">
        <w:rPr>
          <w:rStyle w:val="ssl2"/>
          <w:szCs w:val="24"/>
          <w:lang w:val="fr-FR"/>
        </w:rPr>
        <w:t xml:space="preserve"> </w:t>
      </w:r>
      <w:r w:rsidR="002D37AB" w:rsidRPr="00235E23">
        <w:rPr>
          <w:rStyle w:val="ssl2"/>
          <w:szCs w:val="24"/>
          <w:lang w:val="fr-FR"/>
        </w:rPr>
        <w:t xml:space="preserve">Il en va de même pour la </w:t>
      </w:r>
      <w:r w:rsidRPr="00235E23">
        <w:rPr>
          <w:rStyle w:val="ssl2"/>
          <w:i/>
          <w:szCs w:val="24"/>
          <w:lang w:val="fr-FR"/>
        </w:rPr>
        <w:t>Regional Health Authorities Act</w:t>
      </w:r>
      <w:r w:rsidR="002D37AB" w:rsidRPr="00235E23">
        <w:rPr>
          <w:rStyle w:val="ssl2"/>
          <w:szCs w:val="24"/>
          <w:lang w:val="fr-FR"/>
        </w:rPr>
        <w:t>, la</w:t>
      </w:r>
      <w:r w:rsidRPr="00235E23">
        <w:rPr>
          <w:lang w:val="fr-FR"/>
        </w:rPr>
        <w:t xml:space="preserve"> </w:t>
      </w:r>
      <w:r w:rsidRPr="00235E23">
        <w:rPr>
          <w:i/>
          <w:lang w:val="fr-FR"/>
        </w:rPr>
        <w:t>Hospitals Act</w:t>
      </w:r>
      <w:r w:rsidRPr="00235E23">
        <w:rPr>
          <w:lang w:val="fr-FR"/>
        </w:rPr>
        <w:t xml:space="preserve"> </w:t>
      </w:r>
      <w:r w:rsidR="002D37AB" w:rsidRPr="00235E23">
        <w:rPr>
          <w:lang w:val="fr-FR"/>
        </w:rPr>
        <w:t xml:space="preserve">et leurs règlements d’application.  De plus, </w:t>
      </w:r>
      <w:r w:rsidR="00F448BF" w:rsidRPr="00235E23">
        <w:rPr>
          <w:lang w:val="fr-FR"/>
        </w:rPr>
        <w:t>en l’absence d’une obligation d’origine législative, le fait que l’</w:t>
      </w:r>
      <w:r w:rsidRPr="00235E23">
        <w:rPr>
          <w:rStyle w:val="ssl2"/>
          <w:lang w:val="fr-FR"/>
        </w:rPr>
        <w:t>Alberta</w:t>
      </w:r>
      <w:r w:rsidR="00F448BF" w:rsidRPr="00235E23">
        <w:rPr>
          <w:rStyle w:val="ssl2"/>
          <w:lang w:val="fr-FR"/>
        </w:rPr>
        <w:t xml:space="preserve"> peut avoir vérifié, supervisé, contrôlé et généralement géré les frais </w:t>
      </w:r>
      <w:r w:rsidR="00F448BF" w:rsidRPr="00235E23">
        <w:rPr>
          <w:rStyle w:val="ssl2"/>
          <w:lang w:val="fr-FR"/>
        </w:rPr>
        <w:lastRenderedPageBreak/>
        <w:t>d’hébergement</w:t>
      </w:r>
      <w:r w:rsidRPr="00235E23">
        <w:rPr>
          <w:rStyle w:val="ssl2"/>
          <w:lang w:val="fr-FR"/>
        </w:rPr>
        <w:t xml:space="preserve"> </w:t>
      </w:r>
      <w:r w:rsidR="00A0347D" w:rsidRPr="00235E23">
        <w:rPr>
          <w:rStyle w:val="ssl2"/>
          <w:lang w:val="fr-FR"/>
        </w:rPr>
        <w:t xml:space="preserve">contestés ne crée pas un lien de proximité suffisant pour imposer une obligation de diligence </w:t>
      </w:r>
      <w:r w:rsidRPr="00235E23">
        <w:rPr>
          <w:rStyle w:val="ssl2"/>
          <w:i/>
          <w:lang w:val="fr-FR"/>
        </w:rPr>
        <w:t>prima facie</w:t>
      </w:r>
      <w:r w:rsidRPr="00235E23">
        <w:rPr>
          <w:rStyle w:val="ssl2"/>
          <w:lang w:val="fr-FR"/>
        </w:rPr>
        <w:t xml:space="preserve">. </w:t>
      </w:r>
      <w:r w:rsidR="00A0347D" w:rsidRPr="00235E23">
        <w:rPr>
          <w:rStyle w:val="ssl2"/>
          <w:lang w:val="fr-FR"/>
        </w:rPr>
        <w:t xml:space="preserve"> Les actes allégués relèvent de l’administration du régime.  </w:t>
      </w:r>
      <w:r w:rsidR="001335B1" w:rsidRPr="00235E23">
        <w:rPr>
          <w:rStyle w:val="ssl2"/>
          <w:lang w:val="fr-FR"/>
        </w:rPr>
        <w:t>L</w:t>
      </w:r>
      <w:r w:rsidR="001335B1" w:rsidRPr="00235E23">
        <w:rPr>
          <w:rStyle w:val="ssl2"/>
          <w:szCs w:val="24"/>
        </w:rPr>
        <w:t>a simple prestation d’un service ne suffit pas, à elle seule, pour établir une relation de proximité entre le gouvernement et les demandeurs.</w:t>
      </w:r>
    </w:p>
    <w:p w:rsidR="00ED4A87" w:rsidRPr="00235E23" w:rsidRDefault="00ED4A87" w:rsidP="00967C4A">
      <w:pPr>
        <w:pStyle w:val="SCCNormalDoubleSpacing"/>
        <w:spacing w:after="480"/>
        <w:rPr>
          <w:szCs w:val="24"/>
          <w:lang w:val="fr-FR"/>
        </w:rPr>
      </w:pPr>
      <w:r w:rsidRPr="00235E23">
        <w:rPr>
          <w:rStyle w:val="ssl2"/>
        </w:rPr>
        <w:tab/>
      </w:r>
      <w:r w:rsidR="001335B1" w:rsidRPr="00235E23">
        <w:rPr>
          <w:szCs w:val="24"/>
          <w:lang w:val="fr-FR"/>
        </w:rPr>
        <w:t>L’allégation de mauvaise foi, telle qu’elle est invoquée, est liée au manquement allégué à l’obligation de diligence et doit être écartée si l’allégation de négligence est radiée.</w:t>
      </w:r>
      <w:r w:rsidR="001335B1" w:rsidRPr="00235E23">
        <w:rPr>
          <w:rStyle w:val="ssl2"/>
          <w:lang w:val="fr-FR"/>
        </w:rPr>
        <w:t xml:space="preserve">  L</w:t>
      </w:r>
      <w:r w:rsidR="001335B1" w:rsidRPr="00235E23">
        <w:rPr>
          <w:szCs w:val="24"/>
          <w:lang w:val="fr-FR"/>
        </w:rPr>
        <w:t xml:space="preserve">es faits nécessaires pour étayer </w:t>
      </w:r>
      <w:r w:rsidR="00161609" w:rsidRPr="00235E23">
        <w:rPr>
          <w:szCs w:val="24"/>
          <w:lang w:val="fr-FR"/>
        </w:rPr>
        <w:t xml:space="preserve">l’argument que l’allégation de mauvaise foi révèle l’existence du délit de faute dans l’exercice d’une charge publique </w:t>
      </w:r>
      <w:r w:rsidR="001335B1" w:rsidRPr="00235E23">
        <w:rPr>
          <w:szCs w:val="24"/>
          <w:lang w:val="fr-FR"/>
        </w:rPr>
        <w:t>ne peuvent se dégager des allégations de négligence et d’obligation fiducia</w:t>
      </w:r>
      <w:r w:rsidR="00161609" w:rsidRPr="00235E23">
        <w:rPr>
          <w:szCs w:val="24"/>
          <w:lang w:val="fr-FR"/>
        </w:rPr>
        <w:t>ir</w:t>
      </w:r>
      <w:r w:rsidR="001335B1" w:rsidRPr="00235E23">
        <w:rPr>
          <w:szCs w:val="24"/>
          <w:lang w:val="fr-FR"/>
        </w:rPr>
        <w:t xml:space="preserve">e, et la question n’a pas été soulevée devant les tribunaux inférieurs. </w:t>
      </w:r>
    </w:p>
    <w:p w:rsidR="004959FC" w:rsidRPr="00235E23" w:rsidRDefault="004959FC" w:rsidP="00967C4A">
      <w:pPr>
        <w:pStyle w:val="SCCNormalDoubleSpacing"/>
        <w:spacing w:after="480"/>
        <w:rPr>
          <w:rStyle w:val="ssl2"/>
        </w:rPr>
      </w:pPr>
      <w:r w:rsidRPr="00235E23">
        <w:rPr>
          <w:szCs w:val="24"/>
          <w:lang w:val="fr-FR"/>
        </w:rPr>
        <w:tab/>
      </w:r>
      <w:r w:rsidRPr="00235E23">
        <w:rPr>
          <w:rStyle w:val="ssl2"/>
          <w:lang w:val="fr-FR"/>
        </w:rPr>
        <w:t xml:space="preserve">Il n’est pas clair </w:t>
      </w:r>
      <w:r w:rsidRPr="00235E23">
        <w:rPr>
          <w:szCs w:val="24"/>
        </w:rPr>
        <w:t>et évident que l’allégation d’enrichissement injustifié ne révèle aucune cause d’action.  L’allégation repose sur un fondement juridique différent des allégations de manquement à l’obligation fiducia</w:t>
      </w:r>
      <w:r w:rsidR="00161609" w:rsidRPr="00235E23">
        <w:rPr>
          <w:szCs w:val="24"/>
        </w:rPr>
        <w:t>ir</w:t>
      </w:r>
      <w:r w:rsidRPr="00235E23">
        <w:rPr>
          <w:szCs w:val="24"/>
        </w:rPr>
        <w:t xml:space="preserve">e ou de négligence.  </w:t>
      </w:r>
      <w:r w:rsidRPr="00235E23">
        <w:rPr>
          <w:szCs w:val="24"/>
          <w:lang w:val="fr-FR"/>
        </w:rPr>
        <w:t xml:space="preserve">Bien que </w:t>
      </w:r>
      <w:r w:rsidRPr="00235E23">
        <w:rPr>
          <w:szCs w:val="24"/>
        </w:rPr>
        <w:t xml:space="preserve">les recours de droit public constituent la démarche à suivre pour présenter une demande de restitution de taxes perçues en vertu d’une loi </w:t>
      </w:r>
      <w:r w:rsidRPr="00235E23">
        <w:rPr>
          <w:i/>
          <w:szCs w:val="24"/>
        </w:rPr>
        <w:t>ultra vires</w:t>
      </w:r>
      <w:r w:rsidRPr="00235E23">
        <w:rPr>
          <w:szCs w:val="24"/>
        </w:rPr>
        <w:t xml:space="preserve">, il est possible d’intenter une action en enrichissement injustifié dans d’autres circonstances.  </w:t>
      </w:r>
      <w:r w:rsidR="00E4743A" w:rsidRPr="00235E23">
        <w:rPr>
          <w:szCs w:val="24"/>
        </w:rPr>
        <w:t>En l’espèce</w:t>
      </w:r>
      <w:r w:rsidRPr="00235E23">
        <w:rPr>
          <w:rStyle w:val="ssl2"/>
        </w:rPr>
        <w:t xml:space="preserve">, </w:t>
      </w:r>
      <w:r w:rsidR="00E4743A" w:rsidRPr="00235E23">
        <w:rPr>
          <w:szCs w:val="24"/>
        </w:rPr>
        <w:t xml:space="preserve">on ne réclame pas des taxes payées en vertu d’une loi </w:t>
      </w:r>
      <w:r w:rsidR="00E4743A" w:rsidRPr="00235E23">
        <w:rPr>
          <w:i/>
          <w:szCs w:val="24"/>
        </w:rPr>
        <w:t>ultra vires</w:t>
      </w:r>
      <w:r w:rsidR="00E4743A" w:rsidRPr="00235E23">
        <w:rPr>
          <w:szCs w:val="24"/>
        </w:rPr>
        <w:t xml:space="preserve">, et </w:t>
      </w:r>
      <w:r w:rsidR="00E4743A" w:rsidRPr="00235E23">
        <w:rPr>
          <w:rStyle w:val="ssl2"/>
        </w:rPr>
        <w:t xml:space="preserve">il faudrait permettre que la demande fasse l’objet d’un procès </w:t>
      </w:r>
      <w:r w:rsidR="009462B8" w:rsidRPr="00235E23">
        <w:rPr>
          <w:rStyle w:val="ssl2"/>
        </w:rPr>
        <w:t>où son bien</w:t>
      </w:r>
      <w:r w:rsidR="00235E23" w:rsidRPr="00235E23">
        <w:rPr>
          <w:rStyle w:val="ssl2"/>
        </w:rPr>
        <w:noBreakHyphen/>
      </w:r>
      <w:r w:rsidR="009462B8" w:rsidRPr="00235E23">
        <w:rPr>
          <w:rStyle w:val="ssl2"/>
        </w:rPr>
        <w:t xml:space="preserve">fondé pourra être examiné de façon plus approfondie en fonction de la preuve présentée. </w:t>
      </w:r>
    </w:p>
    <w:p w:rsidR="004959FC" w:rsidRPr="00235E23" w:rsidRDefault="004959FC" w:rsidP="00967C4A">
      <w:pPr>
        <w:pStyle w:val="SCCNormalDoubleSpacing"/>
        <w:spacing w:after="480"/>
        <w:rPr>
          <w:rStyle w:val="ssl2"/>
          <w:lang w:val="fr-FR"/>
        </w:rPr>
      </w:pPr>
      <w:r w:rsidRPr="00235E23">
        <w:rPr>
          <w:rStyle w:val="ssl2"/>
        </w:rPr>
        <w:lastRenderedPageBreak/>
        <w:tab/>
      </w:r>
      <w:r w:rsidR="00B86FE8" w:rsidRPr="00235E23">
        <w:rPr>
          <w:rStyle w:val="ssl2"/>
        </w:rPr>
        <w:t>La province ne conteste pas directement l’allégation qu</w:t>
      </w:r>
      <w:r w:rsidR="00814979" w:rsidRPr="00235E23">
        <w:rPr>
          <w:rStyle w:val="ssl2"/>
        </w:rPr>
        <w:t xml:space="preserve">e l’obligation faite aux membres du groupe de payer les frais de soins de santé contrevient au </w:t>
      </w:r>
      <w:r w:rsidR="00235E23" w:rsidRPr="00235E23">
        <w:rPr>
          <w:rStyle w:val="ssl2"/>
        </w:rPr>
        <w:t>par. </w:t>
      </w:r>
      <w:r w:rsidRPr="00235E23">
        <w:rPr>
          <w:rStyle w:val="ssl2"/>
          <w:lang w:val="fr-FR"/>
        </w:rPr>
        <w:t xml:space="preserve">15(1) </w:t>
      </w:r>
      <w:r w:rsidR="00814979" w:rsidRPr="00235E23">
        <w:rPr>
          <w:rStyle w:val="ssl2"/>
          <w:lang w:val="fr-FR"/>
        </w:rPr>
        <w:t xml:space="preserve">de la </w:t>
      </w:r>
      <w:r w:rsidRPr="00235E23">
        <w:rPr>
          <w:rStyle w:val="ssl2"/>
          <w:i/>
          <w:lang w:val="fr-FR"/>
        </w:rPr>
        <w:t>Charte</w:t>
      </w:r>
      <w:r w:rsidRPr="00235E23">
        <w:rPr>
          <w:rStyle w:val="ssl2"/>
          <w:lang w:val="fr-FR"/>
        </w:rPr>
        <w:t xml:space="preserve">. </w:t>
      </w:r>
      <w:r w:rsidR="003C52B1" w:rsidRPr="00235E23">
        <w:rPr>
          <w:rStyle w:val="ssl2"/>
          <w:lang w:val="fr-FR"/>
        </w:rPr>
        <w:t xml:space="preserve"> </w:t>
      </w:r>
      <w:r w:rsidR="00814979" w:rsidRPr="00235E23">
        <w:rPr>
          <w:rStyle w:val="ssl2"/>
          <w:lang w:val="fr-FR"/>
        </w:rPr>
        <w:t>Compte tenu du maintien de l’allégation d’enrichissement injustifié en particulier, il faut permettre que l’allégation fondée sur l’</w:t>
      </w:r>
      <w:r w:rsidR="00235E23" w:rsidRPr="00235E23">
        <w:rPr>
          <w:rStyle w:val="ssl2"/>
          <w:lang w:val="fr-FR"/>
        </w:rPr>
        <w:t>art. </w:t>
      </w:r>
      <w:r w:rsidRPr="00235E23">
        <w:rPr>
          <w:rStyle w:val="ssl2"/>
          <w:lang w:val="fr-FR"/>
        </w:rPr>
        <w:t xml:space="preserve">15 </w:t>
      </w:r>
      <w:r w:rsidR="00814979" w:rsidRPr="00235E23">
        <w:rPr>
          <w:rStyle w:val="ssl2"/>
          <w:lang w:val="fr-FR"/>
        </w:rPr>
        <w:t xml:space="preserve">soit examinée dans le cadre du recours collectif. </w:t>
      </w:r>
    </w:p>
    <w:p w:rsidR="005A5A55" w:rsidRPr="00235E23" w:rsidRDefault="005A5A55" w:rsidP="00967C4A">
      <w:pPr>
        <w:pStyle w:val="SCCNormalDoubleSpacing"/>
        <w:spacing w:after="480"/>
        <w:rPr>
          <w:lang w:val="fr-FR"/>
        </w:rPr>
      </w:pPr>
      <w:r w:rsidRPr="00235E23">
        <w:rPr>
          <w:rStyle w:val="ssl2"/>
          <w:lang w:val="fr-FR"/>
        </w:rPr>
        <w:tab/>
      </w:r>
      <w:r w:rsidR="0096429F" w:rsidRPr="00235E23">
        <w:rPr>
          <w:rStyle w:val="ssl2"/>
          <w:lang w:val="fr-FR"/>
        </w:rPr>
        <w:t>On ne doit pas annuler le recours parce qu’un recours collectif demeure la meilleure procédure</w:t>
      </w:r>
      <w:r w:rsidRPr="00235E23">
        <w:rPr>
          <w:rStyle w:val="ssl2"/>
          <w:lang w:val="fr-FR"/>
        </w:rPr>
        <w:t xml:space="preserve">. </w:t>
      </w:r>
      <w:r w:rsidR="0096429F" w:rsidRPr="00235E23">
        <w:rPr>
          <w:rStyle w:val="ssl2"/>
          <w:lang w:val="fr-FR"/>
        </w:rPr>
        <w:t xml:space="preserve"> </w:t>
      </w:r>
      <w:r w:rsidR="00A56DEF" w:rsidRPr="00235E23">
        <w:rPr>
          <w:rStyle w:val="ssl2"/>
          <w:lang w:val="fr-FR"/>
        </w:rPr>
        <w:t xml:space="preserve">L’allégation, telle que formulée, </w:t>
      </w:r>
      <w:r w:rsidR="00AA1687" w:rsidRPr="00235E23">
        <w:rPr>
          <w:szCs w:val="24"/>
        </w:rPr>
        <w:t>n’exige pas que l’on apprécie individuellement le lien entre des frais d’hébergement et de repas précis pour qu’il soit possible de conclure à une quelconque responsabilité envers le groupe</w:t>
      </w:r>
      <w:r w:rsidR="00AA1687" w:rsidRPr="00235E23">
        <w:rPr>
          <w:szCs w:val="24"/>
          <w:lang w:val="fr-FR"/>
        </w:rPr>
        <w:t xml:space="preserve"> dans </w:t>
      </w:r>
      <w:r w:rsidR="00A42845" w:rsidRPr="00235E23">
        <w:rPr>
          <w:szCs w:val="24"/>
          <w:lang w:val="fr-FR"/>
        </w:rPr>
        <w:t>son ensemble</w:t>
      </w:r>
      <w:r w:rsidRPr="00235E23">
        <w:rPr>
          <w:szCs w:val="24"/>
          <w:lang w:val="fr-FR"/>
        </w:rPr>
        <w:t>,</w:t>
      </w:r>
      <w:r w:rsidR="00A42845" w:rsidRPr="00235E23">
        <w:rPr>
          <w:szCs w:val="24"/>
          <w:lang w:val="fr-FR"/>
        </w:rPr>
        <w:t xml:space="preserve"> et la </w:t>
      </w:r>
      <w:r w:rsidRPr="00235E23">
        <w:rPr>
          <w:i/>
          <w:szCs w:val="24"/>
          <w:lang w:val="fr-FR"/>
        </w:rPr>
        <w:t>Class Proceedings Act</w:t>
      </w:r>
      <w:r w:rsidRPr="00235E23">
        <w:rPr>
          <w:szCs w:val="24"/>
          <w:lang w:val="fr-FR"/>
        </w:rPr>
        <w:t xml:space="preserve"> </w:t>
      </w:r>
      <w:r w:rsidR="00A42845" w:rsidRPr="00235E23">
        <w:rPr>
          <w:szCs w:val="24"/>
          <w:lang w:val="fr-FR"/>
        </w:rPr>
        <w:t xml:space="preserve">prévoit, en matière de réparation, suffisamment de souplesse pour régler tout problème éventuel dans l’appréciation, l’octroi et la répartition des </w:t>
      </w:r>
      <w:r w:rsidRPr="00235E23">
        <w:rPr>
          <w:szCs w:val="24"/>
          <w:lang w:val="fr-FR"/>
        </w:rPr>
        <w:t>d</w:t>
      </w:r>
      <w:r w:rsidR="00A42845" w:rsidRPr="00235E23">
        <w:rPr>
          <w:szCs w:val="24"/>
          <w:lang w:val="fr-FR"/>
        </w:rPr>
        <w:t>o</w:t>
      </w:r>
      <w:r w:rsidRPr="00235E23">
        <w:rPr>
          <w:szCs w:val="24"/>
          <w:lang w:val="fr-FR"/>
        </w:rPr>
        <w:t>m</w:t>
      </w:r>
      <w:r w:rsidR="00A42845" w:rsidRPr="00235E23">
        <w:rPr>
          <w:szCs w:val="24"/>
          <w:lang w:val="fr-FR"/>
        </w:rPr>
        <w:t>m</w:t>
      </w:r>
      <w:r w:rsidRPr="00235E23">
        <w:rPr>
          <w:szCs w:val="24"/>
          <w:lang w:val="fr-FR"/>
        </w:rPr>
        <w:t>ages</w:t>
      </w:r>
      <w:r w:rsidR="00235E23" w:rsidRPr="00235E23">
        <w:rPr>
          <w:szCs w:val="24"/>
          <w:lang w:val="fr-FR"/>
        </w:rPr>
        <w:noBreakHyphen/>
      </w:r>
      <w:r w:rsidR="00A42845" w:rsidRPr="00235E23">
        <w:rPr>
          <w:szCs w:val="24"/>
          <w:lang w:val="fr-FR"/>
        </w:rPr>
        <w:t>intérêts</w:t>
      </w:r>
      <w:r w:rsidRPr="00235E23">
        <w:rPr>
          <w:szCs w:val="24"/>
          <w:lang w:val="fr-FR"/>
        </w:rPr>
        <w:t>.</w:t>
      </w:r>
    </w:p>
    <w:p w:rsidR="007E1C47" w:rsidRPr="00235E23" w:rsidRDefault="0043088E" w:rsidP="007271BD">
      <w:pPr>
        <w:pStyle w:val="SCCNormalDoubleSpacing"/>
        <w:keepNext/>
        <w:spacing w:after="480"/>
        <w:rPr>
          <w:b/>
          <w:szCs w:val="24"/>
        </w:rPr>
      </w:pPr>
      <w:r w:rsidRPr="00235E23">
        <w:rPr>
          <w:b/>
          <w:szCs w:val="24"/>
        </w:rPr>
        <w:t>Jurisprudence</w:t>
      </w:r>
    </w:p>
    <w:p w:rsidR="00274CAB" w:rsidRPr="00235E23" w:rsidRDefault="002E6705" w:rsidP="00001A74">
      <w:pPr>
        <w:pStyle w:val="SCCNormalDoubleSpacing"/>
        <w:widowControl w:val="0"/>
        <w:spacing w:after="480"/>
        <w:rPr>
          <w:szCs w:val="24"/>
        </w:rPr>
      </w:pPr>
      <w:r w:rsidRPr="00235E23">
        <w:rPr>
          <w:szCs w:val="24"/>
        </w:rPr>
        <w:tab/>
      </w:r>
      <w:r w:rsidR="00B271FB" w:rsidRPr="00235E23">
        <w:rPr>
          <w:b/>
          <w:szCs w:val="24"/>
        </w:rPr>
        <w:t>Distinction d’avec les arrêts</w:t>
      </w:r>
      <w:r w:rsidR="00235E23" w:rsidRPr="00235E23">
        <w:rPr>
          <w:b/>
          <w:szCs w:val="24"/>
        </w:rPr>
        <w:t> :</w:t>
      </w:r>
      <w:r w:rsidR="00B271FB" w:rsidRPr="00235E23">
        <w:rPr>
          <w:szCs w:val="24"/>
        </w:rPr>
        <w:t xml:space="preserve"> </w:t>
      </w:r>
      <w:r w:rsidR="00B271FB" w:rsidRPr="00235E23">
        <w:rPr>
          <w:i/>
          <w:szCs w:val="24"/>
        </w:rPr>
        <w:t>Guerin c. La Reine</w:t>
      </w:r>
      <w:r w:rsidR="00B271FB" w:rsidRPr="00235E23">
        <w:rPr>
          <w:szCs w:val="24"/>
        </w:rPr>
        <w:t xml:space="preserve">, </w:t>
      </w:r>
      <w:r w:rsidR="00B271FB" w:rsidRPr="00235E23">
        <w:rPr>
          <w:rStyle w:val="reference"/>
          <w:szCs w:val="24"/>
        </w:rPr>
        <w:t>[1984] 2 R.C.S. 335;</w:t>
      </w:r>
      <w:r w:rsidR="00B271FB" w:rsidRPr="00235E23">
        <w:rPr>
          <w:szCs w:val="24"/>
        </w:rPr>
        <w:t xml:space="preserve"> </w:t>
      </w:r>
      <w:r w:rsidR="00B271FB" w:rsidRPr="00235E23">
        <w:rPr>
          <w:i/>
          <w:szCs w:val="24"/>
        </w:rPr>
        <w:t>Authorson c. Canada (Attorney General)</w:t>
      </w:r>
      <w:r w:rsidR="00B271FB" w:rsidRPr="00235E23">
        <w:rPr>
          <w:szCs w:val="24"/>
        </w:rPr>
        <w:t xml:space="preserve"> (2000), 53 O.R. (3d) 221, conf. par (2002), 58 O.R. (3d) 417, inf. pour d’autres motifs</w:t>
      </w:r>
      <w:r w:rsidR="001B6F13" w:rsidRPr="00235E23">
        <w:rPr>
          <w:szCs w:val="24"/>
        </w:rPr>
        <w:t>,</w:t>
      </w:r>
      <w:r w:rsidR="00B271FB" w:rsidRPr="00235E23">
        <w:rPr>
          <w:szCs w:val="24"/>
        </w:rPr>
        <w:t xml:space="preserve"> 2003 CSC 39, [2003] 2 R.C.S. 40; </w:t>
      </w:r>
      <w:r w:rsidR="00B271FB" w:rsidRPr="00235E23">
        <w:rPr>
          <w:rStyle w:val="ssl2"/>
          <w:i/>
          <w:szCs w:val="24"/>
        </w:rPr>
        <w:t xml:space="preserve">Brewer </w:t>
      </w:r>
      <w:r w:rsidR="00B271FB" w:rsidRPr="00235E23">
        <w:rPr>
          <w:i/>
          <w:szCs w:val="24"/>
        </w:rPr>
        <w:t>Bros. c. Canada (Procureur général)</w:t>
      </w:r>
      <w:r w:rsidR="00B271FB" w:rsidRPr="00235E23">
        <w:rPr>
          <w:szCs w:val="24"/>
        </w:rPr>
        <w:t xml:space="preserve">, </w:t>
      </w:r>
      <w:r w:rsidR="00B271FB" w:rsidRPr="00235E23">
        <w:rPr>
          <w:rStyle w:val="ssl2"/>
          <w:szCs w:val="24"/>
        </w:rPr>
        <w:t xml:space="preserve">[1992] 1 C.F. 25; </w:t>
      </w:r>
      <w:r w:rsidR="00B271FB" w:rsidRPr="00235E23">
        <w:rPr>
          <w:i/>
          <w:szCs w:val="24"/>
        </w:rPr>
        <w:t>Succession Odhavji c. Woodhouse</w:t>
      </w:r>
      <w:r w:rsidR="00B271FB" w:rsidRPr="00235E23">
        <w:rPr>
          <w:szCs w:val="24"/>
        </w:rPr>
        <w:t xml:space="preserve">, 2003 CSC 69, [2003] 3 R.C.S. 263; </w:t>
      </w:r>
      <w:r w:rsidR="00B271FB" w:rsidRPr="00235E23">
        <w:rPr>
          <w:i/>
          <w:szCs w:val="24"/>
        </w:rPr>
        <w:t xml:space="preserve">Kingstreet Investments Ltd. </w:t>
      </w:r>
      <w:r w:rsidR="00B271FB" w:rsidRPr="00235E23">
        <w:rPr>
          <w:i/>
          <w:iCs/>
          <w:szCs w:val="24"/>
        </w:rPr>
        <w:t xml:space="preserve">c. </w:t>
      </w:r>
      <w:r w:rsidR="00B271FB" w:rsidRPr="00235E23">
        <w:rPr>
          <w:i/>
          <w:szCs w:val="24"/>
        </w:rPr>
        <w:t>Nouveau</w:t>
      </w:r>
      <w:r w:rsidR="00235E23" w:rsidRPr="00235E23">
        <w:rPr>
          <w:i/>
          <w:szCs w:val="24"/>
        </w:rPr>
        <w:noBreakHyphen/>
      </w:r>
      <w:r w:rsidR="00B271FB" w:rsidRPr="00235E23">
        <w:rPr>
          <w:i/>
          <w:szCs w:val="24"/>
        </w:rPr>
        <w:t>Brunswick (Finances)</w:t>
      </w:r>
      <w:r w:rsidR="00B271FB" w:rsidRPr="00235E23">
        <w:rPr>
          <w:szCs w:val="24"/>
        </w:rPr>
        <w:t xml:space="preserve">, 2007 CSC 1, [2007] 1 R.C.S. 3; </w:t>
      </w:r>
      <w:r w:rsidR="00B271FB" w:rsidRPr="00235E23">
        <w:rPr>
          <w:b/>
          <w:szCs w:val="24"/>
        </w:rPr>
        <w:t>a</w:t>
      </w:r>
      <w:r w:rsidR="0043088E" w:rsidRPr="00235E23">
        <w:rPr>
          <w:b/>
          <w:szCs w:val="24"/>
        </w:rPr>
        <w:t>rrêts mentionnés</w:t>
      </w:r>
      <w:r w:rsidR="00235E23" w:rsidRPr="00235E23">
        <w:rPr>
          <w:b/>
          <w:szCs w:val="24"/>
        </w:rPr>
        <w:t> :</w:t>
      </w:r>
      <w:r w:rsidR="00172A04" w:rsidRPr="00235E23">
        <w:rPr>
          <w:szCs w:val="24"/>
        </w:rPr>
        <w:t xml:space="preserve"> </w:t>
      </w:r>
      <w:r w:rsidR="00274CAB" w:rsidRPr="00235E23">
        <w:rPr>
          <w:i/>
          <w:szCs w:val="24"/>
        </w:rPr>
        <w:t xml:space="preserve">Hollick </w:t>
      </w:r>
      <w:r w:rsidR="006B6440" w:rsidRPr="00235E23">
        <w:rPr>
          <w:i/>
          <w:szCs w:val="24"/>
        </w:rPr>
        <w:t>c.</w:t>
      </w:r>
      <w:r w:rsidR="00274CAB" w:rsidRPr="00235E23">
        <w:rPr>
          <w:i/>
          <w:szCs w:val="24"/>
        </w:rPr>
        <w:t xml:space="preserve"> Toronto (</w:t>
      </w:r>
      <w:r w:rsidR="006B6440" w:rsidRPr="00235E23">
        <w:rPr>
          <w:i/>
          <w:szCs w:val="24"/>
        </w:rPr>
        <w:t>Ville</w:t>
      </w:r>
      <w:r w:rsidR="00274CAB" w:rsidRPr="00235E23">
        <w:rPr>
          <w:i/>
          <w:szCs w:val="24"/>
        </w:rPr>
        <w:t>)</w:t>
      </w:r>
      <w:r w:rsidR="00274CAB" w:rsidRPr="00235E23">
        <w:rPr>
          <w:szCs w:val="24"/>
        </w:rPr>
        <w:t xml:space="preserve">, 2001 </w:t>
      </w:r>
      <w:r w:rsidR="006B6440" w:rsidRPr="00235E23">
        <w:rPr>
          <w:szCs w:val="24"/>
        </w:rPr>
        <w:t>CSC</w:t>
      </w:r>
      <w:r w:rsidR="00274CAB" w:rsidRPr="00235E23">
        <w:rPr>
          <w:szCs w:val="24"/>
        </w:rPr>
        <w:t xml:space="preserve"> 68, [2001] 3 </w:t>
      </w:r>
      <w:r w:rsidR="006B6440" w:rsidRPr="00235E23">
        <w:rPr>
          <w:szCs w:val="24"/>
        </w:rPr>
        <w:t>R.C.S.</w:t>
      </w:r>
      <w:r w:rsidR="00274CAB" w:rsidRPr="00235E23">
        <w:rPr>
          <w:szCs w:val="24"/>
        </w:rPr>
        <w:t xml:space="preserve"> 158; </w:t>
      </w:r>
      <w:r w:rsidR="00274CAB" w:rsidRPr="00235E23">
        <w:rPr>
          <w:i/>
          <w:szCs w:val="24"/>
        </w:rPr>
        <w:t xml:space="preserve">Hunt </w:t>
      </w:r>
      <w:r w:rsidR="006B6440" w:rsidRPr="00235E23">
        <w:rPr>
          <w:i/>
          <w:szCs w:val="24"/>
        </w:rPr>
        <w:t>c.</w:t>
      </w:r>
      <w:r w:rsidR="00274CAB" w:rsidRPr="00235E23">
        <w:rPr>
          <w:i/>
          <w:szCs w:val="24"/>
        </w:rPr>
        <w:t xml:space="preserve"> Carey Canada </w:t>
      </w:r>
      <w:r w:rsidR="00274CAB" w:rsidRPr="00235E23">
        <w:rPr>
          <w:i/>
          <w:szCs w:val="24"/>
        </w:rPr>
        <w:lastRenderedPageBreak/>
        <w:t>Inc.</w:t>
      </w:r>
      <w:r w:rsidR="00274CAB" w:rsidRPr="00235E23">
        <w:rPr>
          <w:szCs w:val="24"/>
        </w:rPr>
        <w:t xml:space="preserve">, [1990] 2 </w:t>
      </w:r>
      <w:r w:rsidR="006B6440" w:rsidRPr="00235E23">
        <w:rPr>
          <w:szCs w:val="24"/>
        </w:rPr>
        <w:t>R.C.S.</w:t>
      </w:r>
      <w:r w:rsidR="00274CAB" w:rsidRPr="00235E23">
        <w:rPr>
          <w:szCs w:val="24"/>
        </w:rPr>
        <w:t xml:space="preserve"> 959; </w:t>
      </w:r>
      <w:r w:rsidR="00274CAB" w:rsidRPr="00235E23">
        <w:rPr>
          <w:i/>
          <w:szCs w:val="24"/>
        </w:rPr>
        <w:t>Frame</w:t>
      </w:r>
      <w:r w:rsidR="00274CAB" w:rsidRPr="00235E23">
        <w:rPr>
          <w:szCs w:val="24"/>
        </w:rPr>
        <w:t xml:space="preserve"> </w:t>
      </w:r>
      <w:r w:rsidR="006B6440" w:rsidRPr="00235E23">
        <w:rPr>
          <w:i/>
          <w:iCs/>
          <w:spacing w:val="-3"/>
          <w:szCs w:val="24"/>
        </w:rPr>
        <w:t>c.</w:t>
      </w:r>
      <w:r w:rsidR="00274CAB" w:rsidRPr="00235E23">
        <w:rPr>
          <w:spacing w:val="-3"/>
          <w:szCs w:val="24"/>
        </w:rPr>
        <w:t xml:space="preserve"> </w:t>
      </w:r>
      <w:r w:rsidR="00274CAB" w:rsidRPr="00235E23">
        <w:rPr>
          <w:i/>
          <w:spacing w:val="-3"/>
          <w:szCs w:val="24"/>
        </w:rPr>
        <w:t>Smith</w:t>
      </w:r>
      <w:r w:rsidR="00274CAB" w:rsidRPr="00235E23">
        <w:rPr>
          <w:spacing w:val="-3"/>
          <w:szCs w:val="24"/>
        </w:rPr>
        <w:t xml:space="preserve">, [1987] 2 </w:t>
      </w:r>
      <w:r w:rsidR="006B6440" w:rsidRPr="00235E23">
        <w:rPr>
          <w:spacing w:val="-3"/>
          <w:szCs w:val="24"/>
        </w:rPr>
        <w:t>R.C.S.</w:t>
      </w:r>
      <w:r w:rsidR="00274CAB" w:rsidRPr="00235E23">
        <w:rPr>
          <w:spacing w:val="-3"/>
          <w:szCs w:val="24"/>
        </w:rPr>
        <w:t xml:space="preserve"> 99; </w:t>
      </w:r>
      <w:r w:rsidR="00B271FB" w:rsidRPr="00235E23">
        <w:rPr>
          <w:i/>
          <w:spacing w:val="-3"/>
          <w:szCs w:val="24"/>
        </w:rPr>
        <w:t>Lac Minerals Ltd. c. International Corona Resources Ltd.</w:t>
      </w:r>
      <w:r w:rsidR="00B271FB" w:rsidRPr="00235E23">
        <w:rPr>
          <w:spacing w:val="-3"/>
          <w:szCs w:val="24"/>
        </w:rPr>
        <w:t xml:space="preserve">, [1989] 2 R.C.S. 574; </w:t>
      </w:r>
      <w:r w:rsidR="00274CAB" w:rsidRPr="00235E23">
        <w:rPr>
          <w:i/>
          <w:szCs w:val="24"/>
        </w:rPr>
        <w:t xml:space="preserve">Galambos </w:t>
      </w:r>
      <w:r w:rsidR="006B6440" w:rsidRPr="00235E23">
        <w:rPr>
          <w:i/>
          <w:szCs w:val="24"/>
        </w:rPr>
        <w:t>c.</w:t>
      </w:r>
      <w:r w:rsidR="00274CAB" w:rsidRPr="00235E23">
        <w:rPr>
          <w:i/>
          <w:szCs w:val="24"/>
        </w:rPr>
        <w:t xml:space="preserve"> Perez</w:t>
      </w:r>
      <w:r w:rsidR="00274CAB" w:rsidRPr="00235E23">
        <w:rPr>
          <w:szCs w:val="24"/>
        </w:rPr>
        <w:t xml:space="preserve">, 2009 </w:t>
      </w:r>
      <w:r w:rsidR="006B6440" w:rsidRPr="00235E23">
        <w:rPr>
          <w:szCs w:val="24"/>
        </w:rPr>
        <w:t>CSC</w:t>
      </w:r>
      <w:r w:rsidR="00274CAB" w:rsidRPr="00235E23">
        <w:rPr>
          <w:szCs w:val="24"/>
        </w:rPr>
        <w:t xml:space="preserve"> 48, [2009] 3 </w:t>
      </w:r>
      <w:r w:rsidR="006B6440" w:rsidRPr="00235E23">
        <w:rPr>
          <w:szCs w:val="24"/>
        </w:rPr>
        <w:t>R.C.S.</w:t>
      </w:r>
      <w:r w:rsidR="00274CAB" w:rsidRPr="00235E23">
        <w:rPr>
          <w:szCs w:val="24"/>
        </w:rPr>
        <w:t xml:space="preserve"> 247; </w:t>
      </w:r>
      <w:r w:rsidR="00274CAB" w:rsidRPr="00235E23">
        <w:rPr>
          <w:i/>
          <w:szCs w:val="24"/>
        </w:rPr>
        <w:t>Hodgkinson</w:t>
      </w:r>
      <w:r w:rsidR="00274CAB" w:rsidRPr="00235E23">
        <w:rPr>
          <w:szCs w:val="24"/>
        </w:rPr>
        <w:t xml:space="preserve"> </w:t>
      </w:r>
      <w:r w:rsidR="006B6440" w:rsidRPr="00235E23">
        <w:rPr>
          <w:i/>
          <w:iCs/>
          <w:szCs w:val="24"/>
        </w:rPr>
        <w:t>c.</w:t>
      </w:r>
      <w:r w:rsidR="00274CAB" w:rsidRPr="00235E23">
        <w:rPr>
          <w:i/>
          <w:iCs/>
          <w:szCs w:val="24"/>
        </w:rPr>
        <w:t xml:space="preserve"> Simms</w:t>
      </w:r>
      <w:r w:rsidR="00274CAB" w:rsidRPr="00235E23">
        <w:rPr>
          <w:szCs w:val="24"/>
        </w:rPr>
        <w:t xml:space="preserve">, [1994] 3 </w:t>
      </w:r>
      <w:r w:rsidR="006B6440" w:rsidRPr="00235E23">
        <w:rPr>
          <w:szCs w:val="24"/>
        </w:rPr>
        <w:t>R.C.S.</w:t>
      </w:r>
      <w:r w:rsidR="00274CAB" w:rsidRPr="00235E23">
        <w:rPr>
          <w:szCs w:val="24"/>
        </w:rPr>
        <w:t xml:space="preserve"> 377; </w:t>
      </w:r>
      <w:r w:rsidR="006B6440" w:rsidRPr="00235E23">
        <w:rPr>
          <w:i/>
          <w:szCs w:val="24"/>
        </w:rPr>
        <w:t>Bande indienne</w:t>
      </w:r>
      <w:r w:rsidR="006B6440" w:rsidRPr="00235E23">
        <w:rPr>
          <w:szCs w:val="24"/>
        </w:rPr>
        <w:t xml:space="preserve"> </w:t>
      </w:r>
      <w:r w:rsidR="00274CAB" w:rsidRPr="00235E23">
        <w:rPr>
          <w:i/>
          <w:szCs w:val="24"/>
        </w:rPr>
        <w:t xml:space="preserve">Wewaykum </w:t>
      </w:r>
      <w:r w:rsidR="006B6440" w:rsidRPr="00235E23">
        <w:rPr>
          <w:i/>
          <w:szCs w:val="24"/>
        </w:rPr>
        <w:t>c.</w:t>
      </w:r>
      <w:r w:rsidR="00274CAB" w:rsidRPr="00235E23">
        <w:rPr>
          <w:i/>
          <w:szCs w:val="24"/>
        </w:rPr>
        <w:t xml:space="preserve"> Canada</w:t>
      </w:r>
      <w:r w:rsidR="00274CAB" w:rsidRPr="00235E23">
        <w:rPr>
          <w:szCs w:val="24"/>
        </w:rPr>
        <w:t xml:space="preserve">, 2002 </w:t>
      </w:r>
      <w:r w:rsidR="006B6440" w:rsidRPr="00235E23">
        <w:rPr>
          <w:szCs w:val="24"/>
        </w:rPr>
        <w:t>CSC</w:t>
      </w:r>
      <w:r w:rsidR="00274CAB" w:rsidRPr="00235E23">
        <w:rPr>
          <w:szCs w:val="24"/>
        </w:rPr>
        <w:t xml:space="preserve"> 79, [2002] 4 </w:t>
      </w:r>
      <w:r w:rsidR="006B6440" w:rsidRPr="00235E23">
        <w:rPr>
          <w:szCs w:val="24"/>
        </w:rPr>
        <w:t>R.C.S.</w:t>
      </w:r>
      <w:r w:rsidR="00274CAB" w:rsidRPr="00235E23">
        <w:rPr>
          <w:szCs w:val="24"/>
        </w:rPr>
        <w:t xml:space="preserve"> 245; </w:t>
      </w:r>
      <w:r w:rsidR="00274CAB" w:rsidRPr="00235E23">
        <w:rPr>
          <w:i/>
          <w:szCs w:val="24"/>
        </w:rPr>
        <w:t xml:space="preserve">Hogan </w:t>
      </w:r>
      <w:r w:rsidR="006B6440" w:rsidRPr="00235E23">
        <w:rPr>
          <w:i/>
          <w:szCs w:val="24"/>
        </w:rPr>
        <w:t>c.</w:t>
      </w:r>
      <w:r w:rsidR="00274CAB" w:rsidRPr="00235E23">
        <w:rPr>
          <w:i/>
          <w:szCs w:val="24"/>
        </w:rPr>
        <w:t xml:space="preserve"> Newfoundland (Attorney General)</w:t>
      </w:r>
      <w:r w:rsidR="00274CAB" w:rsidRPr="00235E23">
        <w:rPr>
          <w:szCs w:val="24"/>
        </w:rPr>
        <w:t xml:space="preserve"> (2000), 183 D.L.R. (4th) 225; </w:t>
      </w:r>
      <w:r w:rsidR="00274CAB" w:rsidRPr="00235E23">
        <w:rPr>
          <w:i/>
          <w:szCs w:val="24"/>
        </w:rPr>
        <w:t xml:space="preserve">R. </w:t>
      </w:r>
      <w:r w:rsidR="006B6440" w:rsidRPr="00235E23">
        <w:rPr>
          <w:i/>
          <w:szCs w:val="24"/>
        </w:rPr>
        <w:t>c.</w:t>
      </w:r>
      <w:r w:rsidR="00274CAB" w:rsidRPr="00235E23">
        <w:rPr>
          <w:i/>
          <w:szCs w:val="24"/>
        </w:rPr>
        <w:t xml:space="preserve"> Sparrow</w:t>
      </w:r>
      <w:r w:rsidR="00274CAB" w:rsidRPr="00235E23">
        <w:rPr>
          <w:szCs w:val="24"/>
        </w:rPr>
        <w:t xml:space="preserve">, [1990] 1 </w:t>
      </w:r>
      <w:r w:rsidR="006B6440" w:rsidRPr="00235E23">
        <w:rPr>
          <w:szCs w:val="24"/>
        </w:rPr>
        <w:t>R.C.S.</w:t>
      </w:r>
      <w:r w:rsidR="00274CAB" w:rsidRPr="00235E23">
        <w:rPr>
          <w:szCs w:val="24"/>
        </w:rPr>
        <w:t xml:space="preserve"> 1075; </w:t>
      </w:r>
      <w:r w:rsidR="00274CAB" w:rsidRPr="00235E23">
        <w:rPr>
          <w:i/>
          <w:szCs w:val="24"/>
        </w:rPr>
        <w:t xml:space="preserve">Sagharian (Litigation Guardian of) </w:t>
      </w:r>
      <w:r w:rsidR="006B6440" w:rsidRPr="00235E23">
        <w:rPr>
          <w:i/>
          <w:szCs w:val="24"/>
        </w:rPr>
        <w:t>c.</w:t>
      </w:r>
      <w:r w:rsidR="00274CAB" w:rsidRPr="00235E23">
        <w:rPr>
          <w:i/>
          <w:szCs w:val="24"/>
        </w:rPr>
        <w:t xml:space="preserve"> Ontario (Minister of Education)</w:t>
      </w:r>
      <w:r w:rsidR="00274CAB" w:rsidRPr="00235E23">
        <w:rPr>
          <w:szCs w:val="24"/>
        </w:rPr>
        <w:t xml:space="preserve">, 2008 ONCA 411, 172 C.R.R. (2d) 105; </w:t>
      </w:r>
      <w:r w:rsidR="00274CAB" w:rsidRPr="00235E23">
        <w:rPr>
          <w:i/>
          <w:szCs w:val="24"/>
        </w:rPr>
        <w:t xml:space="preserve">Harris </w:t>
      </w:r>
      <w:r w:rsidR="006B6440" w:rsidRPr="00235E23">
        <w:rPr>
          <w:i/>
          <w:szCs w:val="24"/>
        </w:rPr>
        <w:t>c.</w:t>
      </w:r>
      <w:r w:rsidR="00274CAB" w:rsidRPr="00235E23">
        <w:rPr>
          <w:i/>
          <w:szCs w:val="24"/>
        </w:rPr>
        <w:t xml:space="preserve"> Canada</w:t>
      </w:r>
      <w:r w:rsidR="00274CAB" w:rsidRPr="00235E23">
        <w:rPr>
          <w:szCs w:val="24"/>
        </w:rPr>
        <w:t xml:space="preserve">, 2001 </w:t>
      </w:r>
      <w:r w:rsidR="003D1DDE" w:rsidRPr="00235E23">
        <w:rPr>
          <w:szCs w:val="24"/>
        </w:rPr>
        <w:t>CFPI</w:t>
      </w:r>
      <w:r w:rsidR="00274CAB" w:rsidRPr="00235E23">
        <w:rPr>
          <w:szCs w:val="24"/>
        </w:rPr>
        <w:t xml:space="preserve"> 1408, [2002] 2 </w:t>
      </w:r>
      <w:r w:rsidR="003D1DDE" w:rsidRPr="00235E23">
        <w:rPr>
          <w:szCs w:val="24"/>
        </w:rPr>
        <w:t>C.</w:t>
      </w:r>
      <w:r w:rsidR="00274CAB" w:rsidRPr="00235E23">
        <w:rPr>
          <w:szCs w:val="24"/>
        </w:rPr>
        <w:t xml:space="preserve">F. 484; </w:t>
      </w:r>
      <w:r w:rsidR="00274CAB" w:rsidRPr="00235E23">
        <w:rPr>
          <w:i/>
          <w:szCs w:val="24"/>
        </w:rPr>
        <w:t xml:space="preserve">K.L.B. </w:t>
      </w:r>
      <w:r w:rsidR="006B6440" w:rsidRPr="00235E23">
        <w:rPr>
          <w:i/>
          <w:szCs w:val="24"/>
        </w:rPr>
        <w:t>c.</w:t>
      </w:r>
      <w:r w:rsidR="00274CAB" w:rsidRPr="00235E23">
        <w:rPr>
          <w:i/>
          <w:szCs w:val="24"/>
        </w:rPr>
        <w:t xml:space="preserve"> </w:t>
      </w:r>
      <w:r w:rsidR="006B6440" w:rsidRPr="00235E23">
        <w:rPr>
          <w:i/>
          <w:szCs w:val="24"/>
        </w:rPr>
        <w:t>Colombie</w:t>
      </w:r>
      <w:r w:rsidR="00235E23" w:rsidRPr="00235E23">
        <w:rPr>
          <w:i/>
          <w:szCs w:val="24"/>
        </w:rPr>
        <w:noBreakHyphen/>
      </w:r>
      <w:r w:rsidR="006B6440" w:rsidRPr="00235E23">
        <w:rPr>
          <w:i/>
          <w:szCs w:val="24"/>
        </w:rPr>
        <w:t>Britannique</w:t>
      </w:r>
      <w:r w:rsidR="00274CAB" w:rsidRPr="00235E23">
        <w:rPr>
          <w:szCs w:val="24"/>
        </w:rPr>
        <w:t xml:space="preserve">, 2003 </w:t>
      </w:r>
      <w:r w:rsidR="006B6440" w:rsidRPr="00235E23">
        <w:rPr>
          <w:szCs w:val="24"/>
        </w:rPr>
        <w:t>CSC</w:t>
      </w:r>
      <w:r w:rsidR="00274CAB" w:rsidRPr="00235E23">
        <w:rPr>
          <w:szCs w:val="24"/>
        </w:rPr>
        <w:t xml:space="preserve"> 51, [2003] 2 </w:t>
      </w:r>
      <w:r w:rsidR="006B6440" w:rsidRPr="00235E23">
        <w:rPr>
          <w:szCs w:val="24"/>
        </w:rPr>
        <w:t>R.C.S.</w:t>
      </w:r>
      <w:r w:rsidR="00274CAB" w:rsidRPr="00235E23">
        <w:rPr>
          <w:szCs w:val="24"/>
        </w:rPr>
        <w:t xml:space="preserve"> 403; </w:t>
      </w:r>
      <w:r w:rsidR="00274CAB" w:rsidRPr="00235E23">
        <w:rPr>
          <w:i/>
          <w:szCs w:val="24"/>
        </w:rPr>
        <w:t xml:space="preserve">Bennett </w:t>
      </w:r>
      <w:r w:rsidR="006B6440" w:rsidRPr="00235E23">
        <w:rPr>
          <w:i/>
          <w:szCs w:val="24"/>
        </w:rPr>
        <w:t>c.</w:t>
      </w:r>
      <w:r w:rsidR="00274CAB" w:rsidRPr="00235E23">
        <w:rPr>
          <w:i/>
          <w:szCs w:val="24"/>
        </w:rPr>
        <w:t xml:space="preserve"> British Columbia</w:t>
      </w:r>
      <w:r w:rsidR="00274CAB" w:rsidRPr="00235E23">
        <w:rPr>
          <w:szCs w:val="24"/>
        </w:rPr>
        <w:t xml:space="preserve">, 2009 BCSC 1358 (CanLII); </w:t>
      </w:r>
      <w:r w:rsidR="00274CAB" w:rsidRPr="00235E23">
        <w:rPr>
          <w:i/>
          <w:szCs w:val="24"/>
        </w:rPr>
        <w:t xml:space="preserve">Drady </w:t>
      </w:r>
      <w:r w:rsidR="006B6440" w:rsidRPr="00235E23">
        <w:rPr>
          <w:i/>
          <w:szCs w:val="24"/>
        </w:rPr>
        <w:t>c.</w:t>
      </w:r>
      <w:r w:rsidR="00274CAB" w:rsidRPr="00235E23">
        <w:rPr>
          <w:i/>
          <w:szCs w:val="24"/>
        </w:rPr>
        <w:t xml:space="preserve"> Canada</w:t>
      </w:r>
      <w:r w:rsidR="00274CAB" w:rsidRPr="00235E23">
        <w:rPr>
          <w:szCs w:val="24"/>
        </w:rPr>
        <w:t xml:space="preserve">, 2007 CanLII 27970, </w:t>
      </w:r>
      <w:r w:rsidR="006B6440" w:rsidRPr="00235E23">
        <w:rPr>
          <w:szCs w:val="24"/>
        </w:rPr>
        <w:t>conf. par</w:t>
      </w:r>
      <w:r w:rsidR="00274CAB" w:rsidRPr="00235E23">
        <w:rPr>
          <w:szCs w:val="24"/>
        </w:rPr>
        <w:t xml:space="preserve"> 2008 ONCA 659, 300 D.L.R. (4th) 443, </w:t>
      </w:r>
      <w:r w:rsidR="006B6440" w:rsidRPr="00235E23">
        <w:rPr>
          <w:szCs w:val="24"/>
        </w:rPr>
        <w:t>autorisation d’appel refusée</w:t>
      </w:r>
      <w:r w:rsidR="001B6F13" w:rsidRPr="00235E23">
        <w:rPr>
          <w:szCs w:val="24"/>
        </w:rPr>
        <w:t>,</w:t>
      </w:r>
      <w:r w:rsidR="00274CAB" w:rsidRPr="00235E23">
        <w:rPr>
          <w:szCs w:val="24"/>
        </w:rPr>
        <w:t xml:space="preserve"> [2009] 1 </w:t>
      </w:r>
      <w:r w:rsidR="006B6440" w:rsidRPr="00235E23">
        <w:rPr>
          <w:szCs w:val="24"/>
        </w:rPr>
        <w:t>R.C.S.</w:t>
      </w:r>
      <w:r w:rsidR="00274CAB" w:rsidRPr="00235E23">
        <w:rPr>
          <w:szCs w:val="24"/>
        </w:rPr>
        <w:t xml:space="preserve"> viii; </w:t>
      </w:r>
      <w:r w:rsidR="00274CAB" w:rsidRPr="00235E23">
        <w:rPr>
          <w:i/>
          <w:szCs w:val="24"/>
        </w:rPr>
        <w:t xml:space="preserve">Gorecki </w:t>
      </w:r>
      <w:r w:rsidR="006B6440" w:rsidRPr="00235E23">
        <w:rPr>
          <w:i/>
          <w:szCs w:val="24"/>
        </w:rPr>
        <w:t>c.</w:t>
      </w:r>
      <w:r w:rsidR="00274CAB" w:rsidRPr="00235E23">
        <w:rPr>
          <w:i/>
          <w:szCs w:val="24"/>
        </w:rPr>
        <w:t xml:space="preserve"> Canada (Attorney General)</w:t>
      </w:r>
      <w:r w:rsidR="00274CAB" w:rsidRPr="00235E23">
        <w:rPr>
          <w:szCs w:val="24"/>
        </w:rPr>
        <w:t xml:space="preserve"> (2006), </w:t>
      </w:r>
      <w:r w:rsidR="00274CAB" w:rsidRPr="00235E23">
        <w:rPr>
          <w:rStyle w:val="ssl2"/>
          <w:szCs w:val="24"/>
        </w:rPr>
        <w:t xml:space="preserve">208 O.A.C. 368; </w:t>
      </w:r>
      <w:r w:rsidR="00461082" w:rsidRPr="00235E23">
        <w:rPr>
          <w:i/>
          <w:iCs/>
          <w:spacing w:val="4"/>
          <w:szCs w:val="24"/>
        </w:rPr>
        <w:t>Anns c. Merton London Borough Council</w:t>
      </w:r>
      <w:r w:rsidR="00461082" w:rsidRPr="00235E23">
        <w:rPr>
          <w:iCs/>
          <w:spacing w:val="4"/>
          <w:szCs w:val="24"/>
        </w:rPr>
        <w:t xml:space="preserve">, </w:t>
      </w:r>
      <w:r w:rsidR="00461082" w:rsidRPr="00235E23">
        <w:rPr>
          <w:szCs w:val="24"/>
        </w:rPr>
        <w:t xml:space="preserve">[1978] A.C. 728; </w:t>
      </w:r>
      <w:r w:rsidR="00461082" w:rsidRPr="00235E23">
        <w:rPr>
          <w:i/>
          <w:szCs w:val="24"/>
        </w:rPr>
        <w:t>Ville de Kamloops c. Nielsen</w:t>
      </w:r>
      <w:r w:rsidR="00461082" w:rsidRPr="00235E23">
        <w:rPr>
          <w:szCs w:val="24"/>
        </w:rPr>
        <w:t xml:space="preserve">, [1984] 2 R.C.S. 2; </w:t>
      </w:r>
      <w:r w:rsidR="00274CAB" w:rsidRPr="00235E23">
        <w:rPr>
          <w:i/>
          <w:szCs w:val="24"/>
        </w:rPr>
        <w:t xml:space="preserve">Cooper </w:t>
      </w:r>
      <w:r w:rsidR="006B6440" w:rsidRPr="00235E23">
        <w:rPr>
          <w:i/>
          <w:szCs w:val="24"/>
        </w:rPr>
        <w:t>c.</w:t>
      </w:r>
      <w:r w:rsidR="00274CAB" w:rsidRPr="00235E23">
        <w:rPr>
          <w:i/>
          <w:szCs w:val="24"/>
        </w:rPr>
        <w:t xml:space="preserve"> Hobart</w:t>
      </w:r>
      <w:r w:rsidR="00274CAB" w:rsidRPr="00235E23">
        <w:rPr>
          <w:szCs w:val="24"/>
        </w:rPr>
        <w:t xml:space="preserve">, 2001 </w:t>
      </w:r>
      <w:r w:rsidR="006B6440" w:rsidRPr="00235E23">
        <w:rPr>
          <w:szCs w:val="24"/>
        </w:rPr>
        <w:t>CSC</w:t>
      </w:r>
      <w:r w:rsidR="00274CAB" w:rsidRPr="00235E23">
        <w:rPr>
          <w:szCs w:val="24"/>
        </w:rPr>
        <w:t xml:space="preserve"> 79, [2001] 3 </w:t>
      </w:r>
      <w:r w:rsidR="006B6440" w:rsidRPr="00235E23">
        <w:rPr>
          <w:szCs w:val="24"/>
        </w:rPr>
        <w:t>R.C.S.</w:t>
      </w:r>
      <w:r w:rsidR="00274CAB" w:rsidRPr="00235E23">
        <w:rPr>
          <w:szCs w:val="24"/>
        </w:rPr>
        <w:t xml:space="preserve"> 537; </w:t>
      </w:r>
      <w:r w:rsidR="003C79EB" w:rsidRPr="00235E23">
        <w:rPr>
          <w:i/>
          <w:szCs w:val="24"/>
        </w:rPr>
        <w:t>Renvoi relatif à</w:t>
      </w:r>
      <w:r w:rsidR="003C79EB" w:rsidRPr="00235E23">
        <w:rPr>
          <w:szCs w:val="24"/>
        </w:rPr>
        <w:t xml:space="preserve"> </w:t>
      </w:r>
      <w:r w:rsidR="00274CAB" w:rsidRPr="00235E23">
        <w:rPr>
          <w:i/>
          <w:szCs w:val="24"/>
        </w:rPr>
        <w:t xml:space="preserve">Broome </w:t>
      </w:r>
      <w:r w:rsidR="006B6440" w:rsidRPr="00235E23">
        <w:rPr>
          <w:i/>
          <w:szCs w:val="24"/>
        </w:rPr>
        <w:t>c.</w:t>
      </w:r>
      <w:r w:rsidR="00274CAB" w:rsidRPr="00235E23">
        <w:rPr>
          <w:i/>
          <w:szCs w:val="24"/>
        </w:rPr>
        <w:t xml:space="preserve"> </w:t>
      </w:r>
      <w:r w:rsidR="003C79EB" w:rsidRPr="00235E23">
        <w:rPr>
          <w:i/>
          <w:szCs w:val="24"/>
        </w:rPr>
        <w:t>Île</w:t>
      </w:r>
      <w:r w:rsidR="00235E23" w:rsidRPr="00235E23">
        <w:rPr>
          <w:i/>
          <w:szCs w:val="24"/>
        </w:rPr>
        <w:noBreakHyphen/>
      </w:r>
      <w:r w:rsidR="003C79EB" w:rsidRPr="00235E23">
        <w:rPr>
          <w:i/>
          <w:szCs w:val="24"/>
        </w:rPr>
        <w:t>du</w:t>
      </w:r>
      <w:r w:rsidR="00235E23" w:rsidRPr="00235E23">
        <w:rPr>
          <w:i/>
          <w:szCs w:val="24"/>
        </w:rPr>
        <w:noBreakHyphen/>
      </w:r>
      <w:r w:rsidR="003C79EB" w:rsidRPr="00235E23">
        <w:rPr>
          <w:i/>
          <w:szCs w:val="24"/>
        </w:rPr>
        <w:t>Prince</w:t>
      </w:r>
      <w:r w:rsidR="00235E23" w:rsidRPr="00235E23">
        <w:rPr>
          <w:i/>
          <w:szCs w:val="24"/>
        </w:rPr>
        <w:noBreakHyphen/>
      </w:r>
      <w:r w:rsidR="003C79EB" w:rsidRPr="00235E23">
        <w:rPr>
          <w:i/>
          <w:szCs w:val="24"/>
        </w:rPr>
        <w:t>Édouard</w:t>
      </w:r>
      <w:r w:rsidR="00274CAB" w:rsidRPr="00235E23">
        <w:rPr>
          <w:szCs w:val="24"/>
        </w:rPr>
        <w:t xml:space="preserve">, 2010 </w:t>
      </w:r>
      <w:r w:rsidR="006B6440" w:rsidRPr="00235E23">
        <w:rPr>
          <w:szCs w:val="24"/>
        </w:rPr>
        <w:t>CSC</w:t>
      </w:r>
      <w:r w:rsidR="00274CAB" w:rsidRPr="00235E23">
        <w:rPr>
          <w:szCs w:val="24"/>
        </w:rPr>
        <w:t xml:space="preserve"> 11, [2010] 1 </w:t>
      </w:r>
      <w:r w:rsidR="006B6440" w:rsidRPr="00235E23">
        <w:rPr>
          <w:szCs w:val="24"/>
        </w:rPr>
        <w:t>R.C.S.</w:t>
      </w:r>
      <w:r w:rsidR="00274CAB" w:rsidRPr="00235E23">
        <w:rPr>
          <w:szCs w:val="24"/>
        </w:rPr>
        <w:t xml:space="preserve"> 360; </w:t>
      </w:r>
      <w:r w:rsidR="00274CAB" w:rsidRPr="00235E23">
        <w:rPr>
          <w:i/>
          <w:szCs w:val="24"/>
        </w:rPr>
        <w:t xml:space="preserve">Childs </w:t>
      </w:r>
      <w:r w:rsidR="006B6440" w:rsidRPr="00235E23">
        <w:rPr>
          <w:i/>
          <w:szCs w:val="24"/>
        </w:rPr>
        <w:t>c.</w:t>
      </w:r>
      <w:r w:rsidR="00274CAB" w:rsidRPr="00235E23">
        <w:rPr>
          <w:i/>
          <w:szCs w:val="24"/>
        </w:rPr>
        <w:t xml:space="preserve"> Desormeaux</w:t>
      </w:r>
      <w:r w:rsidR="00274CAB" w:rsidRPr="00235E23">
        <w:rPr>
          <w:szCs w:val="24"/>
        </w:rPr>
        <w:t xml:space="preserve">, 2006 </w:t>
      </w:r>
      <w:r w:rsidR="006B6440" w:rsidRPr="00235E23">
        <w:rPr>
          <w:szCs w:val="24"/>
        </w:rPr>
        <w:t>CSC</w:t>
      </w:r>
      <w:r w:rsidR="00274CAB" w:rsidRPr="00235E23">
        <w:rPr>
          <w:szCs w:val="24"/>
        </w:rPr>
        <w:t xml:space="preserve"> 18, [2006] 1 </w:t>
      </w:r>
      <w:r w:rsidR="006B6440" w:rsidRPr="00235E23">
        <w:rPr>
          <w:szCs w:val="24"/>
        </w:rPr>
        <w:t>R.C.S.</w:t>
      </w:r>
      <w:r w:rsidR="00274CAB" w:rsidRPr="00235E23">
        <w:rPr>
          <w:szCs w:val="24"/>
        </w:rPr>
        <w:t xml:space="preserve"> 643; </w:t>
      </w:r>
      <w:r w:rsidR="00274CAB" w:rsidRPr="00235E23">
        <w:rPr>
          <w:i/>
          <w:szCs w:val="24"/>
        </w:rPr>
        <w:t>Syl Apps Secure Trea</w:t>
      </w:r>
      <w:r w:rsidR="00C7399C" w:rsidRPr="00235E23">
        <w:rPr>
          <w:i/>
          <w:szCs w:val="24"/>
        </w:rPr>
        <w:t>t</w:t>
      </w:r>
      <w:r w:rsidR="00274CAB" w:rsidRPr="00235E23">
        <w:rPr>
          <w:i/>
          <w:szCs w:val="24"/>
        </w:rPr>
        <w:t xml:space="preserve">ment Centre </w:t>
      </w:r>
      <w:r w:rsidR="006B6440" w:rsidRPr="00235E23">
        <w:rPr>
          <w:i/>
          <w:szCs w:val="24"/>
        </w:rPr>
        <w:t>c.</w:t>
      </w:r>
      <w:r w:rsidR="00274CAB" w:rsidRPr="00235E23">
        <w:rPr>
          <w:i/>
          <w:szCs w:val="24"/>
        </w:rPr>
        <w:t xml:space="preserve"> B.D.</w:t>
      </w:r>
      <w:r w:rsidR="00274CAB" w:rsidRPr="00235E23">
        <w:rPr>
          <w:szCs w:val="24"/>
        </w:rPr>
        <w:t xml:space="preserve">, 2007 </w:t>
      </w:r>
      <w:r w:rsidR="006B6440" w:rsidRPr="00235E23">
        <w:rPr>
          <w:szCs w:val="24"/>
        </w:rPr>
        <w:t>CSC</w:t>
      </w:r>
      <w:r w:rsidR="00274CAB" w:rsidRPr="00235E23">
        <w:rPr>
          <w:szCs w:val="24"/>
        </w:rPr>
        <w:t xml:space="preserve"> 38, [2007] 3 </w:t>
      </w:r>
      <w:r w:rsidR="003C79EB" w:rsidRPr="00235E23">
        <w:rPr>
          <w:szCs w:val="24"/>
        </w:rPr>
        <w:t>R.C.</w:t>
      </w:r>
      <w:r w:rsidR="00274CAB" w:rsidRPr="00235E23">
        <w:rPr>
          <w:szCs w:val="24"/>
        </w:rPr>
        <w:t xml:space="preserve">S. 83; </w:t>
      </w:r>
      <w:r w:rsidR="00274CAB" w:rsidRPr="00235E23">
        <w:rPr>
          <w:i/>
          <w:iCs/>
          <w:szCs w:val="24"/>
        </w:rPr>
        <w:t xml:space="preserve">Welbridge Holdings Ltd. </w:t>
      </w:r>
      <w:r w:rsidR="006B6440" w:rsidRPr="00235E23">
        <w:rPr>
          <w:i/>
          <w:iCs/>
          <w:szCs w:val="24"/>
        </w:rPr>
        <w:t>c.</w:t>
      </w:r>
      <w:r w:rsidR="00274CAB" w:rsidRPr="00235E23">
        <w:rPr>
          <w:i/>
          <w:iCs/>
          <w:szCs w:val="24"/>
        </w:rPr>
        <w:t xml:space="preserve"> Greater Winnipeg</w:t>
      </w:r>
      <w:r w:rsidR="00274CAB" w:rsidRPr="00235E23">
        <w:rPr>
          <w:szCs w:val="24"/>
        </w:rPr>
        <w:t xml:space="preserve">, [1971] </w:t>
      </w:r>
      <w:r w:rsidR="006B6440" w:rsidRPr="00235E23">
        <w:rPr>
          <w:szCs w:val="24"/>
        </w:rPr>
        <w:t>R.C.S.</w:t>
      </w:r>
      <w:r w:rsidR="00274CAB" w:rsidRPr="00235E23">
        <w:rPr>
          <w:szCs w:val="24"/>
        </w:rPr>
        <w:t xml:space="preserve"> 957; </w:t>
      </w:r>
      <w:r w:rsidR="00274CAB" w:rsidRPr="00235E23">
        <w:rPr>
          <w:i/>
          <w:szCs w:val="24"/>
        </w:rPr>
        <w:t>Ultramares Cor</w:t>
      </w:r>
      <w:r w:rsidR="00235E23" w:rsidRPr="00235E23">
        <w:rPr>
          <w:i/>
          <w:szCs w:val="24"/>
        </w:rPr>
        <w:t>p. </w:t>
      </w:r>
      <w:r w:rsidR="006B6440" w:rsidRPr="00235E23">
        <w:rPr>
          <w:i/>
          <w:szCs w:val="24"/>
        </w:rPr>
        <w:t>c.</w:t>
      </w:r>
      <w:r w:rsidR="00274CAB" w:rsidRPr="00235E23">
        <w:rPr>
          <w:i/>
          <w:szCs w:val="24"/>
        </w:rPr>
        <w:t xml:space="preserve"> Touche</w:t>
      </w:r>
      <w:r w:rsidR="00274CAB" w:rsidRPr="00235E23">
        <w:rPr>
          <w:szCs w:val="24"/>
        </w:rPr>
        <w:t xml:space="preserve">, 174 N.E. 441 (1931); </w:t>
      </w:r>
      <w:r w:rsidR="00274CAB" w:rsidRPr="00235E23">
        <w:rPr>
          <w:i/>
          <w:szCs w:val="24"/>
        </w:rPr>
        <w:t xml:space="preserve">Design Services Ltd. </w:t>
      </w:r>
      <w:r w:rsidR="006B6440" w:rsidRPr="00235E23">
        <w:rPr>
          <w:i/>
          <w:szCs w:val="24"/>
        </w:rPr>
        <w:t>c.</w:t>
      </w:r>
      <w:r w:rsidR="00274CAB" w:rsidRPr="00235E23">
        <w:rPr>
          <w:i/>
          <w:szCs w:val="24"/>
        </w:rPr>
        <w:t xml:space="preserve"> Canada</w:t>
      </w:r>
      <w:r w:rsidR="00274CAB" w:rsidRPr="00235E23">
        <w:rPr>
          <w:szCs w:val="24"/>
        </w:rPr>
        <w:t xml:space="preserve">, 2008 </w:t>
      </w:r>
      <w:r w:rsidR="006B6440" w:rsidRPr="00235E23">
        <w:rPr>
          <w:szCs w:val="24"/>
        </w:rPr>
        <w:t>CSC</w:t>
      </w:r>
      <w:r w:rsidR="00274CAB" w:rsidRPr="00235E23">
        <w:rPr>
          <w:szCs w:val="24"/>
        </w:rPr>
        <w:t xml:space="preserve"> 22, [2008] 1 </w:t>
      </w:r>
      <w:r w:rsidR="006B6440" w:rsidRPr="00235E23">
        <w:rPr>
          <w:szCs w:val="24"/>
        </w:rPr>
        <w:t>R.C.S.</w:t>
      </w:r>
      <w:r w:rsidR="00274CAB" w:rsidRPr="00235E23">
        <w:rPr>
          <w:szCs w:val="24"/>
        </w:rPr>
        <w:t xml:space="preserve"> 737; </w:t>
      </w:r>
      <w:r w:rsidR="00274CAB" w:rsidRPr="00235E23">
        <w:rPr>
          <w:i/>
          <w:szCs w:val="24"/>
        </w:rPr>
        <w:t>Garland</w:t>
      </w:r>
      <w:r w:rsidR="00274CAB" w:rsidRPr="00235E23">
        <w:rPr>
          <w:szCs w:val="24"/>
        </w:rPr>
        <w:t xml:space="preserve"> </w:t>
      </w:r>
      <w:r w:rsidR="006B6440" w:rsidRPr="00235E23">
        <w:rPr>
          <w:i/>
          <w:szCs w:val="24"/>
        </w:rPr>
        <w:t>c.</w:t>
      </w:r>
      <w:r w:rsidR="00274CAB" w:rsidRPr="00235E23">
        <w:rPr>
          <w:i/>
          <w:szCs w:val="24"/>
        </w:rPr>
        <w:t xml:space="preserve"> Consumers’ Gas Co.</w:t>
      </w:r>
      <w:r w:rsidR="00274CAB" w:rsidRPr="00235E23">
        <w:rPr>
          <w:szCs w:val="24"/>
        </w:rPr>
        <w:t xml:space="preserve">, 2004 </w:t>
      </w:r>
      <w:r w:rsidR="006B6440" w:rsidRPr="00235E23">
        <w:rPr>
          <w:szCs w:val="24"/>
        </w:rPr>
        <w:t>CSC</w:t>
      </w:r>
      <w:r w:rsidR="00274CAB" w:rsidRPr="00235E23">
        <w:rPr>
          <w:szCs w:val="24"/>
        </w:rPr>
        <w:t xml:space="preserve"> 25, [2004] 1 </w:t>
      </w:r>
      <w:r w:rsidR="006B6440" w:rsidRPr="00235E23">
        <w:rPr>
          <w:szCs w:val="24"/>
        </w:rPr>
        <w:t>R.C.S.</w:t>
      </w:r>
      <w:r w:rsidR="00274CAB" w:rsidRPr="00235E23">
        <w:rPr>
          <w:szCs w:val="24"/>
        </w:rPr>
        <w:t xml:space="preserve"> 629; </w:t>
      </w:r>
      <w:r w:rsidR="00274CAB" w:rsidRPr="00235E23">
        <w:rPr>
          <w:i/>
          <w:szCs w:val="24"/>
        </w:rPr>
        <w:t xml:space="preserve">Air Canada </w:t>
      </w:r>
      <w:r w:rsidR="006B6440" w:rsidRPr="00235E23">
        <w:rPr>
          <w:i/>
          <w:szCs w:val="24"/>
        </w:rPr>
        <w:t>c.</w:t>
      </w:r>
      <w:r w:rsidR="00274CAB" w:rsidRPr="00235E23">
        <w:rPr>
          <w:i/>
          <w:szCs w:val="24"/>
        </w:rPr>
        <w:t xml:space="preserve"> </w:t>
      </w:r>
      <w:r w:rsidR="003C79EB" w:rsidRPr="00235E23">
        <w:rPr>
          <w:i/>
          <w:szCs w:val="24"/>
        </w:rPr>
        <w:t>Colombie</w:t>
      </w:r>
      <w:r w:rsidR="00235E23" w:rsidRPr="00235E23">
        <w:rPr>
          <w:i/>
          <w:szCs w:val="24"/>
        </w:rPr>
        <w:noBreakHyphen/>
      </w:r>
      <w:r w:rsidR="003C79EB" w:rsidRPr="00235E23">
        <w:rPr>
          <w:i/>
          <w:szCs w:val="24"/>
        </w:rPr>
        <w:t>Britannique</w:t>
      </w:r>
      <w:r w:rsidR="00274CAB" w:rsidRPr="00235E23">
        <w:rPr>
          <w:szCs w:val="24"/>
        </w:rPr>
        <w:t xml:space="preserve">, [1989] 1 </w:t>
      </w:r>
      <w:r w:rsidR="006B6440" w:rsidRPr="00235E23">
        <w:rPr>
          <w:szCs w:val="24"/>
        </w:rPr>
        <w:t>R.C.S.</w:t>
      </w:r>
      <w:r w:rsidR="00274CAB" w:rsidRPr="00235E23">
        <w:rPr>
          <w:szCs w:val="24"/>
        </w:rPr>
        <w:t xml:space="preserve"> 1161; </w:t>
      </w:r>
      <w:r w:rsidR="003C79EB" w:rsidRPr="00235E23">
        <w:rPr>
          <w:i/>
          <w:szCs w:val="24"/>
        </w:rPr>
        <w:t xml:space="preserve">Succession </w:t>
      </w:r>
      <w:r w:rsidR="00274CAB" w:rsidRPr="00235E23">
        <w:rPr>
          <w:i/>
          <w:szCs w:val="24"/>
        </w:rPr>
        <w:t>Eurig (Re)</w:t>
      </w:r>
      <w:r w:rsidR="00274CAB" w:rsidRPr="00235E23">
        <w:rPr>
          <w:szCs w:val="24"/>
        </w:rPr>
        <w:t xml:space="preserve">, [1998] 2 </w:t>
      </w:r>
      <w:r w:rsidR="006B6440" w:rsidRPr="00235E23">
        <w:rPr>
          <w:szCs w:val="24"/>
        </w:rPr>
        <w:t>R.C.S.</w:t>
      </w:r>
      <w:r w:rsidR="00274CAB" w:rsidRPr="00235E23">
        <w:rPr>
          <w:szCs w:val="24"/>
        </w:rPr>
        <w:t xml:space="preserve"> 565; </w:t>
      </w:r>
      <w:r w:rsidR="00274CAB" w:rsidRPr="00235E23">
        <w:rPr>
          <w:i/>
          <w:szCs w:val="24"/>
        </w:rPr>
        <w:t xml:space="preserve">Pacific National Investments Ltd. </w:t>
      </w:r>
      <w:r w:rsidR="006B6440" w:rsidRPr="00235E23">
        <w:rPr>
          <w:i/>
          <w:szCs w:val="24"/>
        </w:rPr>
        <w:t>c.</w:t>
      </w:r>
      <w:r w:rsidR="00274CAB" w:rsidRPr="00235E23">
        <w:rPr>
          <w:i/>
          <w:szCs w:val="24"/>
        </w:rPr>
        <w:t xml:space="preserve"> Victoria (</w:t>
      </w:r>
      <w:r w:rsidR="003C79EB" w:rsidRPr="00235E23">
        <w:rPr>
          <w:i/>
          <w:szCs w:val="24"/>
        </w:rPr>
        <w:t>Ville</w:t>
      </w:r>
      <w:r w:rsidR="00274CAB" w:rsidRPr="00235E23">
        <w:rPr>
          <w:i/>
          <w:szCs w:val="24"/>
        </w:rPr>
        <w:t>)</w:t>
      </w:r>
      <w:r w:rsidR="00274CAB" w:rsidRPr="00235E23">
        <w:rPr>
          <w:szCs w:val="24"/>
        </w:rPr>
        <w:t xml:space="preserve">, 2004 </w:t>
      </w:r>
      <w:r w:rsidR="006B6440" w:rsidRPr="00235E23">
        <w:rPr>
          <w:szCs w:val="24"/>
        </w:rPr>
        <w:t>CSC</w:t>
      </w:r>
      <w:r w:rsidR="00274CAB" w:rsidRPr="00235E23">
        <w:rPr>
          <w:szCs w:val="24"/>
        </w:rPr>
        <w:t xml:space="preserve"> 75, [2004] 3 </w:t>
      </w:r>
      <w:r w:rsidR="006B6440" w:rsidRPr="00235E23">
        <w:rPr>
          <w:szCs w:val="24"/>
        </w:rPr>
        <w:t>R.C.S.</w:t>
      </w:r>
      <w:r w:rsidR="00274CAB" w:rsidRPr="00235E23">
        <w:rPr>
          <w:szCs w:val="24"/>
        </w:rPr>
        <w:t xml:space="preserve"> 575; </w:t>
      </w:r>
      <w:r w:rsidR="00274CAB" w:rsidRPr="00235E23">
        <w:rPr>
          <w:i/>
          <w:szCs w:val="24"/>
        </w:rPr>
        <w:t xml:space="preserve">620 Connaught Ltd. </w:t>
      </w:r>
      <w:r w:rsidR="006B6440" w:rsidRPr="00235E23">
        <w:rPr>
          <w:i/>
          <w:szCs w:val="24"/>
        </w:rPr>
        <w:t>c</w:t>
      </w:r>
      <w:r w:rsidR="00274CAB" w:rsidRPr="00235E23">
        <w:rPr>
          <w:i/>
          <w:szCs w:val="24"/>
        </w:rPr>
        <w:t>. Canada (</w:t>
      </w:r>
      <w:r w:rsidR="006B6440" w:rsidRPr="00235E23">
        <w:rPr>
          <w:i/>
          <w:szCs w:val="24"/>
        </w:rPr>
        <w:t>Procureur géné</w:t>
      </w:r>
      <w:r w:rsidR="00274CAB" w:rsidRPr="00235E23">
        <w:rPr>
          <w:i/>
          <w:szCs w:val="24"/>
        </w:rPr>
        <w:t>ral)</w:t>
      </w:r>
      <w:r w:rsidR="00274CAB" w:rsidRPr="00235E23">
        <w:rPr>
          <w:szCs w:val="24"/>
        </w:rPr>
        <w:t xml:space="preserve">, 2008 </w:t>
      </w:r>
      <w:r w:rsidR="006B6440" w:rsidRPr="00235E23">
        <w:rPr>
          <w:szCs w:val="24"/>
        </w:rPr>
        <w:t>CSC</w:t>
      </w:r>
      <w:r w:rsidR="00274CAB" w:rsidRPr="00235E23">
        <w:rPr>
          <w:szCs w:val="24"/>
        </w:rPr>
        <w:t xml:space="preserve"> 7, [2008] 1 </w:t>
      </w:r>
      <w:r w:rsidR="006B6440" w:rsidRPr="00235E23">
        <w:rPr>
          <w:szCs w:val="24"/>
        </w:rPr>
        <w:t>R.C.S.</w:t>
      </w:r>
      <w:r w:rsidR="00274CAB" w:rsidRPr="00235E23">
        <w:rPr>
          <w:szCs w:val="24"/>
        </w:rPr>
        <w:t xml:space="preserve"> 131</w:t>
      </w:r>
      <w:r w:rsidR="00C276FC" w:rsidRPr="00235E23">
        <w:rPr>
          <w:szCs w:val="24"/>
        </w:rPr>
        <w:t xml:space="preserve">; </w:t>
      </w:r>
      <w:r w:rsidR="00C276FC" w:rsidRPr="00235E23">
        <w:rPr>
          <w:i/>
          <w:szCs w:val="24"/>
        </w:rPr>
        <w:t>Peel (Municipalité régionale) c. Canada</w:t>
      </w:r>
      <w:r w:rsidR="00C276FC" w:rsidRPr="00235E23">
        <w:rPr>
          <w:szCs w:val="24"/>
        </w:rPr>
        <w:t xml:space="preserve">, [1992] 3 </w:t>
      </w:r>
      <w:r w:rsidR="00C276FC" w:rsidRPr="00235E23">
        <w:rPr>
          <w:szCs w:val="24"/>
        </w:rPr>
        <w:lastRenderedPageBreak/>
        <w:t>R.C.S. 762</w:t>
      </w:r>
      <w:r w:rsidR="00274CAB" w:rsidRPr="00235E23">
        <w:rPr>
          <w:szCs w:val="24"/>
        </w:rPr>
        <w:t>.</w:t>
      </w:r>
    </w:p>
    <w:p w:rsidR="00231F3A" w:rsidRPr="00235E23" w:rsidRDefault="0043088E" w:rsidP="007271BD">
      <w:pPr>
        <w:pStyle w:val="SCCNormalDoubleSpacing"/>
        <w:keepNext/>
        <w:spacing w:after="720" w:line="240" w:lineRule="auto"/>
        <w:rPr>
          <w:b/>
          <w:szCs w:val="24"/>
        </w:rPr>
      </w:pPr>
      <w:r w:rsidRPr="00235E23">
        <w:rPr>
          <w:b/>
          <w:szCs w:val="24"/>
        </w:rPr>
        <w:t>Lois</w:t>
      </w:r>
      <w:r w:rsidR="002E6705" w:rsidRPr="00235E23">
        <w:rPr>
          <w:b/>
          <w:szCs w:val="24"/>
        </w:rPr>
        <w:t xml:space="preserve"> </w:t>
      </w:r>
      <w:r w:rsidR="008A6558" w:rsidRPr="00235E23">
        <w:rPr>
          <w:b/>
          <w:szCs w:val="24"/>
        </w:rPr>
        <w:t>et</w:t>
      </w:r>
      <w:r w:rsidR="002E6705" w:rsidRPr="00235E23">
        <w:rPr>
          <w:b/>
          <w:szCs w:val="24"/>
        </w:rPr>
        <w:t xml:space="preserve"> </w:t>
      </w:r>
      <w:r w:rsidRPr="00235E23">
        <w:rPr>
          <w:b/>
          <w:szCs w:val="24"/>
        </w:rPr>
        <w:t>rè</w:t>
      </w:r>
      <w:r w:rsidR="002E6705" w:rsidRPr="00235E23">
        <w:rPr>
          <w:b/>
          <w:szCs w:val="24"/>
        </w:rPr>
        <w:t>gl</w:t>
      </w:r>
      <w:r w:rsidRPr="00235E23">
        <w:rPr>
          <w:b/>
          <w:szCs w:val="24"/>
        </w:rPr>
        <w:t>ements</w:t>
      </w:r>
      <w:r w:rsidR="002E6705" w:rsidRPr="00235E23">
        <w:rPr>
          <w:b/>
          <w:szCs w:val="24"/>
        </w:rPr>
        <w:t xml:space="preserve"> </w:t>
      </w:r>
      <w:r w:rsidRPr="00235E23">
        <w:rPr>
          <w:b/>
          <w:szCs w:val="24"/>
        </w:rPr>
        <w:t>c</w:t>
      </w:r>
      <w:r w:rsidR="002E6705" w:rsidRPr="00235E23">
        <w:rPr>
          <w:b/>
          <w:szCs w:val="24"/>
        </w:rPr>
        <w:t>it</w:t>
      </w:r>
      <w:r w:rsidRPr="00235E23">
        <w:rPr>
          <w:b/>
          <w:szCs w:val="24"/>
        </w:rPr>
        <w:t>és</w:t>
      </w:r>
    </w:p>
    <w:p w:rsidR="00274CAB" w:rsidRPr="00235E23" w:rsidRDefault="00274CAB" w:rsidP="00697F86">
      <w:pPr>
        <w:pStyle w:val="SCCNormalDoubleSpacing"/>
        <w:spacing w:after="240" w:line="240" w:lineRule="auto"/>
        <w:ind w:left="547" w:hanging="547"/>
        <w:rPr>
          <w:szCs w:val="24"/>
          <w:lang w:val="fr-FR"/>
        </w:rPr>
      </w:pPr>
      <w:r w:rsidRPr="00794B24">
        <w:rPr>
          <w:i/>
          <w:szCs w:val="24"/>
        </w:rPr>
        <w:t>Alberta Health Care Insurance Act</w:t>
      </w:r>
      <w:r w:rsidRPr="00794B24">
        <w:rPr>
          <w:szCs w:val="24"/>
        </w:rPr>
        <w:t xml:space="preserve">, R.S.A. 2000, </w:t>
      </w:r>
      <w:r w:rsidR="00235E23" w:rsidRPr="00794B24">
        <w:rPr>
          <w:szCs w:val="24"/>
        </w:rPr>
        <w:t>ch. </w:t>
      </w:r>
      <w:r w:rsidRPr="00235E23">
        <w:rPr>
          <w:szCs w:val="24"/>
          <w:lang w:val="fr-FR"/>
        </w:rPr>
        <w:t>A</w:t>
      </w:r>
      <w:r w:rsidR="00235E23" w:rsidRPr="00235E23">
        <w:rPr>
          <w:szCs w:val="24"/>
          <w:lang w:val="fr-FR"/>
        </w:rPr>
        <w:noBreakHyphen/>
      </w:r>
      <w:r w:rsidRPr="00235E23">
        <w:rPr>
          <w:szCs w:val="24"/>
          <w:lang w:val="fr-FR"/>
        </w:rPr>
        <w:t xml:space="preserve">20, </w:t>
      </w:r>
      <w:r w:rsidR="00235E23" w:rsidRPr="00235E23">
        <w:rPr>
          <w:szCs w:val="24"/>
          <w:lang w:val="fr-FR"/>
        </w:rPr>
        <w:t>art. </w:t>
      </w:r>
      <w:r w:rsidR="00461082" w:rsidRPr="00235E23">
        <w:rPr>
          <w:szCs w:val="24"/>
          <w:lang w:val="fr-FR"/>
        </w:rPr>
        <w:t xml:space="preserve">3, </w:t>
      </w:r>
      <w:r w:rsidRPr="00235E23">
        <w:rPr>
          <w:szCs w:val="24"/>
          <w:lang w:val="fr-FR"/>
        </w:rPr>
        <w:t>4.</w:t>
      </w:r>
    </w:p>
    <w:p w:rsidR="00274CAB" w:rsidRPr="00235E23" w:rsidRDefault="009368A5" w:rsidP="00697F86">
      <w:pPr>
        <w:pStyle w:val="SCCNormalDoubleSpacing"/>
        <w:spacing w:after="240" w:line="240" w:lineRule="auto"/>
        <w:ind w:left="547" w:hanging="547"/>
        <w:rPr>
          <w:szCs w:val="24"/>
        </w:rPr>
      </w:pPr>
      <w:r w:rsidRPr="00235E23">
        <w:rPr>
          <w:i/>
          <w:szCs w:val="24"/>
        </w:rPr>
        <w:t>Charte canadienne des droits et libertés</w:t>
      </w:r>
      <w:r w:rsidR="00274CAB" w:rsidRPr="00235E23">
        <w:rPr>
          <w:szCs w:val="24"/>
        </w:rPr>
        <w:t xml:space="preserve">, </w:t>
      </w:r>
      <w:r w:rsidR="00235E23" w:rsidRPr="00235E23">
        <w:rPr>
          <w:szCs w:val="24"/>
        </w:rPr>
        <w:t>art. </w:t>
      </w:r>
      <w:r w:rsidR="005653E4" w:rsidRPr="00235E23">
        <w:rPr>
          <w:szCs w:val="24"/>
        </w:rPr>
        <w:t xml:space="preserve">1, </w:t>
      </w:r>
      <w:r w:rsidR="00274CAB" w:rsidRPr="00235E23">
        <w:rPr>
          <w:szCs w:val="24"/>
        </w:rPr>
        <w:t>15</w:t>
      </w:r>
      <w:r w:rsidR="005653E4" w:rsidRPr="00235E23">
        <w:rPr>
          <w:szCs w:val="24"/>
        </w:rPr>
        <w:t>, 24(1)</w:t>
      </w:r>
      <w:r w:rsidR="00274CAB" w:rsidRPr="00235E23">
        <w:rPr>
          <w:szCs w:val="24"/>
        </w:rPr>
        <w:t>.</w:t>
      </w:r>
    </w:p>
    <w:p w:rsidR="00274CAB" w:rsidRPr="00235E23" w:rsidRDefault="00274CAB" w:rsidP="00697F86">
      <w:pPr>
        <w:pStyle w:val="SCCNormalDoubleSpacing"/>
        <w:spacing w:after="240" w:line="240" w:lineRule="auto"/>
        <w:ind w:left="547" w:hanging="547"/>
        <w:rPr>
          <w:rStyle w:val="reference"/>
          <w:szCs w:val="24"/>
          <w:lang w:val="en-CA"/>
        </w:rPr>
      </w:pPr>
      <w:r w:rsidRPr="00235E23">
        <w:rPr>
          <w:i/>
          <w:szCs w:val="24"/>
          <w:lang w:val="en-CA"/>
        </w:rPr>
        <w:t>Class Proceedings Act</w:t>
      </w:r>
      <w:r w:rsidRPr="00235E23">
        <w:rPr>
          <w:szCs w:val="24"/>
          <w:lang w:val="en-CA"/>
        </w:rPr>
        <w:t xml:space="preserve">, </w:t>
      </w:r>
      <w:r w:rsidRPr="00235E23">
        <w:rPr>
          <w:rStyle w:val="reference"/>
          <w:szCs w:val="24"/>
          <w:lang w:val="en-CA"/>
        </w:rPr>
        <w:t xml:space="preserve">S.A. 2003, </w:t>
      </w:r>
      <w:r w:rsidR="00235E23" w:rsidRPr="00235E23">
        <w:rPr>
          <w:rStyle w:val="reference"/>
          <w:szCs w:val="24"/>
          <w:lang w:val="en-CA"/>
        </w:rPr>
        <w:t>ch. </w:t>
      </w:r>
      <w:r w:rsidRPr="00235E23">
        <w:rPr>
          <w:rStyle w:val="reference"/>
          <w:szCs w:val="24"/>
          <w:lang w:val="en-CA"/>
        </w:rPr>
        <w:t>C</w:t>
      </w:r>
      <w:r w:rsidR="00235E23" w:rsidRPr="00235E23">
        <w:rPr>
          <w:rStyle w:val="reference"/>
          <w:szCs w:val="24"/>
          <w:lang w:val="en-CA"/>
        </w:rPr>
        <w:noBreakHyphen/>
      </w:r>
      <w:r w:rsidRPr="00235E23">
        <w:rPr>
          <w:rStyle w:val="reference"/>
          <w:szCs w:val="24"/>
          <w:lang w:val="en-CA"/>
        </w:rPr>
        <w:t>16.5</w:t>
      </w:r>
      <w:r w:rsidR="00C276FC" w:rsidRPr="00235E23">
        <w:rPr>
          <w:rStyle w:val="reference"/>
          <w:szCs w:val="24"/>
          <w:lang w:val="en-CA"/>
        </w:rPr>
        <w:t xml:space="preserve">. </w:t>
      </w:r>
      <w:r w:rsidR="00235E23" w:rsidRPr="00235E23">
        <w:rPr>
          <w:rStyle w:val="reference"/>
          <w:szCs w:val="24"/>
          <w:lang w:val="en-CA"/>
        </w:rPr>
        <w:t>art. </w:t>
      </w:r>
      <w:r w:rsidR="00C276FC" w:rsidRPr="00235E23">
        <w:rPr>
          <w:rStyle w:val="reference"/>
          <w:szCs w:val="24"/>
          <w:lang w:val="en-CA"/>
        </w:rPr>
        <w:t>30</w:t>
      </w:r>
      <w:r w:rsidR="00835CB1" w:rsidRPr="00235E23">
        <w:rPr>
          <w:rStyle w:val="reference"/>
          <w:szCs w:val="24"/>
          <w:lang w:val="en-CA"/>
        </w:rPr>
        <w:t xml:space="preserve"> à </w:t>
      </w:r>
      <w:r w:rsidR="00C276FC" w:rsidRPr="00235E23">
        <w:rPr>
          <w:rStyle w:val="reference"/>
          <w:szCs w:val="24"/>
          <w:lang w:val="en-CA"/>
        </w:rPr>
        <w:t>33</w:t>
      </w:r>
      <w:r w:rsidRPr="00235E23">
        <w:rPr>
          <w:rStyle w:val="reference"/>
          <w:szCs w:val="24"/>
          <w:lang w:val="en-CA"/>
        </w:rPr>
        <w:t>.</w:t>
      </w:r>
    </w:p>
    <w:p w:rsidR="00274CAB" w:rsidRPr="00235E23" w:rsidRDefault="00274CAB" w:rsidP="00697F86">
      <w:pPr>
        <w:pStyle w:val="SCCNormalDoubleSpacing"/>
        <w:spacing w:after="240" w:line="240" w:lineRule="auto"/>
        <w:ind w:left="547" w:hanging="547"/>
        <w:rPr>
          <w:szCs w:val="24"/>
          <w:lang w:val="en-CA"/>
        </w:rPr>
      </w:pPr>
      <w:r w:rsidRPr="00235E23">
        <w:rPr>
          <w:i/>
          <w:szCs w:val="24"/>
          <w:lang w:val="en-CA"/>
        </w:rPr>
        <w:t>Hospitalization Benefits Regulation</w:t>
      </w:r>
      <w:r w:rsidRPr="00235E23">
        <w:rPr>
          <w:szCs w:val="24"/>
          <w:lang w:val="en-CA"/>
        </w:rPr>
        <w:t xml:space="preserve">, Alta. Reg. 244/90, </w:t>
      </w:r>
      <w:r w:rsidR="00235E23" w:rsidRPr="00235E23">
        <w:rPr>
          <w:szCs w:val="24"/>
          <w:lang w:val="en-CA"/>
        </w:rPr>
        <w:t>art. </w:t>
      </w:r>
      <w:r w:rsidR="00B82503" w:rsidRPr="00235E23">
        <w:rPr>
          <w:szCs w:val="24"/>
          <w:lang w:val="en-CA"/>
        </w:rPr>
        <w:t>5(1)</w:t>
      </w:r>
      <w:r w:rsidRPr="00235E23">
        <w:rPr>
          <w:szCs w:val="24"/>
          <w:lang w:val="en-CA"/>
        </w:rPr>
        <w:t>d).</w:t>
      </w:r>
    </w:p>
    <w:p w:rsidR="00274CAB" w:rsidRPr="00235E23" w:rsidRDefault="00274CAB" w:rsidP="00697F86">
      <w:pPr>
        <w:pStyle w:val="SCCNormalDoubleSpacing"/>
        <w:spacing w:after="240" w:line="240" w:lineRule="auto"/>
        <w:ind w:left="547" w:hanging="547"/>
        <w:rPr>
          <w:szCs w:val="24"/>
          <w:lang w:val="fr-FR"/>
        </w:rPr>
      </w:pPr>
      <w:r w:rsidRPr="00235E23">
        <w:rPr>
          <w:i/>
          <w:szCs w:val="24"/>
          <w:lang w:val="en-CA"/>
        </w:rPr>
        <w:t>Hospitals Act</w:t>
      </w:r>
      <w:r w:rsidRPr="00235E23">
        <w:rPr>
          <w:szCs w:val="24"/>
          <w:lang w:val="en-CA"/>
        </w:rPr>
        <w:t xml:space="preserve">, R.S.A. 2000, </w:t>
      </w:r>
      <w:r w:rsidR="00235E23" w:rsidRPr="00235E23">
        <w:rPr>
          <w:szCs w:val="24"/>
          <w:lang w:val="en-CA"/>
        </w:rPr>
        <w:t>ch. </w:t>
      </w:r>
      <w:r w:rsidRPr="00235E23">
        <w:rPr>
          <w:szCs w:val="24"/>
          <w:lang w:val="fr-FR"/>
        </w:rPr>
        <w:t>H</w:t>
      </w:r>
      <w:r w:rsidR="00235E23" w:rsidRPr="00235E23">
        <w:rPr>
          <w:szCs w:val="24"/>
          <w:lang w:val="fr-FR"/>
        </w:rPr>
        <w:noBreakHyphen/>
      </w:r>
      <w:r w:rsidRPr="00235E23">
        <w:rPr>
          <w:szCs w:val="24"/>
          <w:lang w:val="fr-FR"/>
        </w:rPr>
        <w:t xml:space="preserve">12, </w:t>
      </w:r>
      <w:r w:rsidR="00235E23" w:rsidRPr="00235E23">
        <w:rPr>
          <w:szCs w:val="24"/>
          <w:lang w:val="fr-FR"/>
        </w:rPr>
        <w:t>art. </w:t>
      </w:r>
      <w:r w:rsidR="00B82503" w:rsidRPr="00235E23">
        <w:rPr>
          <w:szCs w:val="24"/>
          <w:lang w:val="fr-FR"/>
        </w:rPr>
        <w:t xml:space="preserve">1c), </w:t>
      </w:r>
      <w:r w:rsidR="004D20E6" w:rsidRPr="00235E23">
        <w:rPr>
          <w:szCs w:val="24"/>
          <w:lang w:val="fr-FR"/>
        </w:rPr>
        <w:t xml:space="preserve">25 à 27, </w:t>
      </w:r>
      <w:r w:rsidR="00B82503" w:rsidRPr="00235E23">
        <w:rPr>
          <w:szCs w:val="24"/>
          <w:lang w:val="fr-FR"/>
        </w:rPr>
        <w:t xml:space="preserve">28(2), </w:t>
      </w:r>
      <w:r w:rsidR="004D20E6" w:rsidRPr="00235E23">
        <w:rPr>
          <w:szCs w:val="24"/>
          <w:lang w:val="fr-FR"/>
        </w:rPr>
        <w:t xml:space="preserve">29, </w:t>
      </w:r>
      <w:r w:rsidR="00B82503" w:rsidRPr="00235E23">
        <w:rPr>
          <w:szCs w:val="24"/>
          <w:lang w:val="fr-FR"/>
        </w:rPr>
        <w:t xml:space="preserve">37, </w:t>
      </w:r>
      <w:r w:rsidR="00512897" w:rsidRPr="00235E23">
        <w:rPr>
          <w:szCs w:val="24"/>
          <w:lang w:val="fr-FR"/>
        </w:rPr>
        <w:t xml:space="preserve">38(1), </w:t>
      </w:r>
      <w:r w:rsidR="00B82503" w:rsidRPr="00235E23">
        <w:rPr>
          <w:szCs w:val="24"/>
          <w:lang w:val="fr-FR"/>
        </w:rPr>
        <w:t>41, 43</w:t>
      </w:r>
      <w:r w:rsidR="00512897" w:rsidRPr="00235E23">
        <w:rPr>
          <w:szCs w:val="24"/>
          <w:lang w:val="fr-FR"/>
        </w:rPr>
        <w:t>(</w:t>
      </w:r>
      <w:r w:rsidR="003B6AD0" w:rsidRPr="00794B24">
        <w:rPr>
          <w:szCs w:val="24"/>
          <w:lang w:val="fr-FR"/>
        </w:rPr>
        <w:t>l</w:t>
      </w:r>
      <w:r w:rsidRPr="00235E23">
        <w:rPr>
          <w:szCs w:val="24"/>
          <w:lang w:val="fr-FR"/>
        </w:rPr>
        <w:t>).</w:t>
      </w:r>
    </w:p>
    <w:p w:rsidR="009368A5" w:rsidRPr="00235E23" w:rsidRDefault="009368A5" w:rsidP="00697F86">
      <w:pPr>
        <w:pStyle w:val="SCCNormalDoubleSpacing"/>
        <w:spacing w:after="240" w:line="240" w:lineRule="auto"/>
        <w:ind w:left="547" w:hanging="547"/>
        <w:rPr>
          <w:szCs w:val="24"/>
        </w:rPr>
      </w:pPr>
      <w:r w:rsidRPr="00235E23">
        <w:rPr>
          <w:i/>
          <w:szCs w:val="24"/>
        </w:rPr>
        <w:t>Loi canadienne sur la santé</w:t>
      </w:r>
      <w:r w:rsidRPr="00235E23">
        <w:rPr>
          <w:szCs w:val="24"/>
        </w:rPr>
        <w:t xml:space="preserve">, L.R.C. 1985, </w:t>
      </w:r>
      <w:r w:rsidR="00235E23" w:rsidRPr="00235E23">
        <w:rPr>
          <w:szCs w:val="24"/>
        </w:rPr>
        <w:t>ch. </w:t>
      </w:r>
      <w:r w:rsidRPr="00235E23">
        <w:rPr>
          <w:szCs w:val="24"/>
        </w:rPr>
        <w:t>C</w:t>
      </w:r>
      <w:r w:rsidR="00235E23" w:rsidRPr="00235E23">
        <w:rPr>
          <w:szCs w:val="24"/>
        </w:rPr>
        <w:noBreakHyphen/>
      </w:r>
      <w:r w:rsidRPr="00235E23">
        <w:rPr>
          <w:szCs w:val="24"/>
        </w:rPr>
        <w:t xml:space="preserve">6, </w:t>
      </w:r>
      <w:r w:rsidR="00235E23" w:rsidRPr="00235E23">
        <w:rPr>
          <w:szCs w:val="24"/>
        </w:rPr>
        <w:t>art. </w:t>
      </w:r>
      <w:r w:rsidR="00461082" w:rsidRPr="00235E23">
        <w:rPr>
          <w:szCs w:val="24"/>
        </w:rPr>
        <w:t xml:space="preserve">2, </w:t>
      </w:r>
      <w:r w:rsidRPr="00235E23">
        <w:rPr>
          <w:szCs w:val="24"/>
        </w:rPr>
        <w:t>19(2).</w:t>
      </w:r>
    </w:p>
    <w:p w:rsidR="009368A5" w:rsidRPr="00235E23" w:rsidRDefault="009368A5" w:rsidP="00697F86">
      <w:pPr>
        <w:pStyle w:val="SCCNormalDoubleSpacing"/>
        <w:spacing w:after="240" w:line="240" w:lineRule="auto"/>
        <w:ind w:left="547" w:hanging="547"/>
        <w:rPr>
          <w:szCs w:val="24"/>
          <w:lang w:val="fr-FR"/>
        </w:rPr>
      </w:pPr>
      <w:r w:rsidRPr="00235E23">
        <w:rPr>
          <w:i/>
          <w:szCs w:val="24"/>
          <w:lang w:val="fr-FR"/>
        </w:rPr>
        <w:t>Loi constitutionnelle de 1982</w:t>
      </w:r>
      <w:r w:rsidRPr="00235E23">
        <w:rPr>
          <w:szCs w:val="24"/>
          <w:lang w:val="fr-FR"/>
        </w:rPr>
        <w:t>.</w:t>
      </w:r>
    </w:p>
    <w:p w:rsidR="00274CAB" w:rsidRPr="00235E23" w:rsidRDefault="00274CAB" w:rsidP="00697F86">
      <w:pPr>
        <w:pStyle w:val="SCCNormalDoubleSpacing"/>
        <w:spacing w:after="240" w:line="240" w:lineRule="auto"/>
        <w:ind w:left="547" w:hanging="547"/>
        <w:rPr>
          <w:szCs w:val="24"/>
          <w:lang w:val="en-CA"/>
        </w:rPr>
      </w:pPr>
      <w:r w:rsidRPr="00235E23">
        <w:rPr>
          <w:i/>
          <w:szCs w:val="24"/>
          <w:lang w:val="en-CA"/>
        </w:rPr>
        <w:t>Nursing Homes Act</w:t>
      </w:r>
      <w:r w:rsidRPr="00235E23">
        <w:rPr>
          <w:szCs w:val="24"/>
          <w:lang w:val="en-CA"/>
        </w:rPr>
        <w:t xml:space="preserve">, R.S.A. 2000, </w:t>
      </w:r>
      <w:r w:rsidR="00235E23" w:rsidRPr="00235E23">
        <w:rPr>
          <w:szCs w:val="24"/>
          <w:lang w:val="en-CA"/>
        </w:rPr>
        <w:t>ch. </w:t>
      </w:r>
      <w:r w:rsidRPr="00235E23">
        <w:rPr>
          <w:szCs w:val="24"/>
          <w:lang w:val="en-CA"/>
        </w:rPr>
        <w:t>N</w:t>
      </w:r>
      <w:r w:rsidR="00235E23" w:rsidRPr="00235E23">
        <w:rPr>
          <w:szCs w:val="24"/>
          <w:lang w:val="en-CA"/>
        </w:rPr>
        <w:noBreakHyphen/>
      </w:r>
      <w:r w:rsidRPr="00235E23">
        <w:rPr>
          <w:szCs w:val="24"/>
          <w:lang w:val="en-CA"/>
        </w:rPr>
        <w:t xml:space="preserve">7, </w:t>
      </w:r>
      <w:r w:rsidR="00235E23" w:rsidRPr="00235E23">
        <w:rPr>
          <w:szCs w:val="24"/>
          <w:lang w:val="en-CA"/>
        </w:rPr>
        <w:t>art. </w:t>
      </w:r>
      <w:r w:rsidR="00B82503" w:rsidRPr="00235E23">
        <w:rPr>
          <w:szCs w:val="24"/>
          <w:lang w:val="en-CA"/>
        </w:rPr>
        <w:t>1</w:t>
      </w:r>
      <w:r w:rsidRPr="00235E23">
        <w:rPr>
          <w:szCs w:val="24"/>
          <w:lang w:val="en-CA"/>
        </w:rPr>
        <w:t>a) « </w:t>
      </w:r>
      <w:r w:rsidRPr="00794B24">
        <w:rPr>
          <w:i/>
          <w:szCs w:val="24"/>
          <w:lang w:val="en-CA"/>
        </w:rPr>
        <w:t>accommodation charge</w:t>
      </w:r>
      <w:r w:rsidRPr="00235E23">
        <w:rPr>
          <w:szCs w:val="24"/>
          <w:lang w:val="en-CA"/>
        </w:rPr>
        <w:t> »</w:t>
      </w:r>
      <w:r w:rsidR="00B82503" w:rsidRPr="00235E23">
        <w:rPr>
          <w:szCs w:val="24"/>
          <w:lang w:val="en-CA"/>
        </w:rPr>
        <w:t xml:space="preserve">, </w:t>
      </w:r>
      <w:r w:rsidR="00512897" w:rsidRPr="00235E23">
        <w:rPr>
          <w:szCs w:val="24"/>
          <w:lang w:val="en-CA"/>
        </w:rPr>
        <w:t>8</w:t>
      </w:r>
      <w:r w:rsidR="006045A7">
        <w:rPr>
          <w:szCs w:val="24"/>
          <w:lang w:val="en-CA"/>
        </w:rPr>
        <w:t>,</w:t>
      </w:r>
      <w:r w:rsidR="00512897" w:rsidRPr="00235E23">
        <w:rPr>
          <w:szCs w:val="24"/>
          <w:lang w:val="en-CA"/>
        </w:rPr>
        <w:t xml:space="preserve"> </w:t>
      </w:r>
      <w:r w:rsidRPr="00235E23">
        <w:rPr>
          <w:szCs w:val="24"/>
          <w:lang w:val="en-CA"/>
        </w:rPr>
        <w:t>10</w:t>
      </w:r>
      <w:r w:rsidR="006045A7">
        <w:rPr>
          <w:szCs w:val="24"/>
          <w:lang w:val="en-CA"/>
        </w:rPr>
        <w:t>(2)</w:t>
      </w:r>
      <w:r w:rsidRPr="00235E23">
        <w:rPr>
          <w:szCs w:val="24"/>
          <w:lang w:val="en-CA"/>
        </w:rPr>
        <w:t xml:space="preserve">, </w:t>
      </w:r>
      <w:r w:rsidR="004D20E6" w:rsidRPr="00235E23">
        <w:rPr>
          <w:szCs w:val="24"/>
          <w:lang w:val="en-CA"/>
        </w:rPr>
        <w:t xml:space="preserve">12, 19, </w:t>
      </w:r>
      <w:r w:rsidRPr="00235E23">
        <w:rPr>
          <w:szCs w:val="24"/>
          <w:lang w:val="en-CA"/>
        </w:rPr>
        <w:t>24.</w:t>
      </w:r>
    </w:p>
    <w:p w:rsidR="00274CAB" w:rsidRPr="00235E23" w:rsidRDefault="00274CAB" w:rsidP="00697F86">
      <w:pPr>
        <w:pStyle w:val="SCCNormalDoubleSpacing"/>
        <w:spacing w:after="240" w:line="240" w:lineRule="auto"/>
        <w:ind w:left="547" w:hanging="547"/>
        <w:rPr>
          <w:szCs w:val="24"/>
          <w:lang w:val="en-CA"/>
        </w:rPr>
      </w:pPr>
      <w:r w:rsidRPr="00235E23">
        <w:rPr>
          <w:i/>
          <w:szCs w:val="24"/>
          <w:lang w:val="en-CA"/>
        </w:rPr>
        <w:t>Nursing Homes General Regulation</w:t>
      </w:r>
      <w:r w:rsidRPr="00235E23">
        <w:rPr>
          <w:szCs w:val="24"/>
          <w:lang w:val="en-CA"/>
        </w:rPr>
        <w:t xml:space="preserve">, Alta. Reg. 232/85, </w:t>
      </w:r>
      <w:r w:rsidR="00235E23" w:rsidRPr="00235E23">
        <w:rPr>
          <w:szCs w:val="24"/>
          <w:lang w:val="en-CA"/>
        </w:rPr>
        <w:t>art. </w:t>
      </w:r>
      <w:r w:rsidR="002C11D4" w:rsidRPr="00235E23">
        <w:rPr>
          <w:szCs w:val="24"/>
          <w:lang w:val="en-CA"/>
        </w:rPr>
        <w:t>4</w:t>
      </w:r>
      <w:r w:rsidRPr="00235E23">
        <w:rPr>
          <w:szCs w:val="24"/>
          <w:lang w:val="en-CA"/>
        </w:rPr>
        <w:t>.</w:t>
      </w:r>
    </w:p>
    <w:p w:rsidR="00274CAB" w:rsidRPr="00235E23" w:rsidRDefault="00274CAB" w:rsidP="00697F86">
      <w:pPr>
        <w:pStyle w:val="SCCNormalDoubleSpacing"/>
        <w:spacing w:after="240" w:line="240" w:lineRule="auto"/>
        <w:ind w:left="547" w:hanging="547"/>
        <w:rPr>
          <w:szCs w:val="24"/>
          <w:lang w:val="en-CA"/>
        </w:rPr>
      </w:pPr>
      <w:r w:rsidRPr="00235E23">
        <w:rPr>
          <w:i/>
          <w:szCs w:val="24"/>
          <w:lang w:val="en-CA"/>
        </w:rPr>
        <w:t>Nursing Homes Operation Amendment Regulation</w:t>
      </w:r>
      <w:r w:rsidRPr="00235E23">
        <w:rPr>
          <w:szCs w:val="24"/>
          <w:lang w:val="en-CA"/>
        </w:rPr>
        <w:t xml:space="preserve">, Alta. Reg. 260/2003, </w:t>
      </w:r>
      <w:r w:rsidR="00235E23" w:rsidRPr="00235E23">
        <w:rPr>
          <w:szCs w:val="24"/>
          <w:lang w:val="en-CA"/>
        </w:rPr>
        <w:t>art. </w:t>
      </w:r>
      <w:r w:rsidRPr="00235E23">
        <w:rPr>
          <w:szCs w:val="24"/>
          <w:lang w:val="en-CA"/>
        </w:rPr>
        <w:t>2.</w:t>
      </w:r>
    </w:p>
    <w:p w:rsidR="00274CAB" w:rsidRPr="00235E23" w:rsidRDefault="00274CAB" w:rsidP="00697F86">
      <w:pPr>
        <w:pStyle w:val="SCCNormalDoubleSpacing"/>
        <w:spacing w:after="240" w:line="240" w:lineRule="auto"/>
        <w:ind w:left="547" w:hanging="547"/>
        <w:rPr>
          <w:szCs w:val="24"/>
          <w:lang w:val="en-CA"/>
        </w:rPr>
      </w:pPr>
      <w:r w:rsidRPr="00235E23">
        <w:rPr>
          <w:i/>
          <w:szCs w:val="24"/>
          <w:lang w:val="en-CA"/>
        </w:rPr>
        <w:t>Nursing Homes Operation Regulation</w:t>
      </w:r>
      <w:r w:rsidRPr="00235E23">
        <w:rPr>
          <w:szCs w:val="24"/>
          <w:lang w:val="en-CA"/>
        </w:rPr>
        <w:t xml:space="preserve">, Alta. Reg. 258/85, </w:t>
      </w:r>
      <w:r w:rsidR="00235E23" w:rsidRPr="00235E23">
        <w:rPr>
          <w:szCs w:val="24"/>
          <w:lang w:val="en-CA"/>
        </w:rPr>
        <w:t>art. </w:t>
      </w:r>
      <w:r w:rsidRPr="00235E23">
        <w:rPr>
          <w:szCs w:val="24"/>
          <w:lang w:val="en-CA"/>
        </w:rPr>
        <w:t>3(1)</w:t>
      </w:r>
      <w:r w:rsidR="002C11D4" w:rsidRPr="00235E23">
        <w:rPr>
          <w:szCs w:val="24"/>
          <w:lang w:val="en-CA"/>
        </w:rPr>
        <w:t>, 8, 9</w:t>
      </w:r>
      <w:r w:rsidRPr="00235E23">
        <w:rPr>
          <w:szCs w:val="24"/>
          <w:lang w:val="en-CA"/>
        </w:rPr>
        <w:t>.</w:t>
      </w:r>
    </w:p>
    <w:p w:rsidR="009368A5" w:rsidRPr="00235E23" w:rsidRDefault="009368A5" w:rsidP="00697F86">
      <w:pPr>
        <w:pStyle w:val="SCCNormalDoubleSpacing"/>
        <w:spacing w:after="240" w:line="240" w:lineRule="auto"/>
        <w:ind w:left="547" w:hanging="547"/>
        <w:rPr>
          <w:szCs w:val="24"/>
          <w:lang w:val="en-CA"/>
        </w:rPr>
      </w:pPr>
      <w:r w:rsidRPr="00235E23">
        <w:rPr>
          <w:i/>
          <w:szCs w:val="24"/>
        </w:rPr>
        <w:t>Proclamation royale</w:t>
      </w:r>
      <w:r w:rsidRPr="00235E23">
        <w:rPr>
          <w:szCs w:val="24"/>
        </w:rPr>
        <w:t xml:space="preserve"> (1763), L.R.C. 1985, a</w:t>
      </w:r>
      <w:r w:rsidR="00235E23" w:rsidRPr="00235E23">
        <w:rPr>
          <w:szCs w:val="24"/>
        </w:rPr>
        <w:t>pp. </w:t>
      </w:r>
      <w:r w:rsidRPr="00235E23">
        <w:rPr>
          <w:szCs w:val="24"/>
          <w:lang w:val="en-CA"/>
        </w:rPr>
        <w:t>II, n</w:t>
      </w:r>
      <w:r w:rsidRPr="00235E23">
        <w:rPr>
          <w:szCs w:val="24"/>
          <w:vertAlign w:val="superscript"/>
          <w:lang w:val="en-CA"/>
        </w:rPr>
        <w:t>o</w:t>
      </w:r>
      <w:r w:rsidRPr="00235E23">
        <w:rPr>
          <w:szCs w:val="24"/>
          <w:lang w:val="en-CA"/>
        </w:rPr>
        <w:t xml:space="preserve"> 1.</w:t>
      </w:r>
    </w:p>
    <w:p w:rsidR="009E0B3B" w:rsidRPr="00794B24" w:rsidRDefault="009E0B3B" w:rsidP="00967C4A">
      <w:pPr>
        <w:pStyle w:val="SCCNormalDoubleSpacing"/>
        <w:spacing w:after="720" w:line="240" w:lineRule="auto"/>
        <w:ind w:left="547" w:hanging="547"/>
        <w:rPr>
          <w:szCs w:val="24"/>
        </w:rPr>
      </w:pPr>
      <w:r w:rsidRPr="00235E23">
        <w:rPr>
          <w:i/>
          <w:szCs w:val="24"/>
          <w:lang w:val="en-CA"/>
        </w:rPr>
        <w:t>Regional Health Authorities Act</w:t>
      </w:r>
      <w:r w:rsidRPr="00235E23">
        <w:rPr>
          <w:szCs w:val="24"/>
          <w:lang w:val="en-CA"/>
        </w:rPr>
        <w:t xml:space="preserve">, R.S.A. 2000, </w:t>
      </w:r>
      <w:r w:rsidR="00235E23" w:rsidRPr="00235E23">
        <w:rPr>
          <w:szCs w:val="24"/>
          <w:lang w:val="en-CA"/>
        </w:rPr>
        <w:t>ch. </w:t>
      </w:r>
      <w:r w:rsidRPr="00794B24">
        <w:rPr>
          <w:szCs w:val="24"/>
        </w:rPr>
        <w:t>R</w:t>
      </w:r>
      <w:r w:rsidR="00235E23" w:rsidRPr="00794B24">
        <w:rPr>
          <w:szCs w:val="24"/>
        </w:rPr>
        <w:noBreakHyphen/>
      </w:r>
      <w:r w:rsidRPr="00794B24">
        <w:rPr>
          <w:szCs w:val="24"/>
        </w:rPr>
        <w:t xml:space="preserve">10, </w:t>
      </w:r>
      <w:r w:rsidR="00235E23" w:rsidRPr="00794B24">
        <w:rPr>
          <w:szCs w:val="24"/>
        </w:rPr>
        <w:t>art. </w:t>
      </w:r>
      <w:r w:rsidRPr="00794B24">
        <w:rPr>
          <w:szCs w:val="24"/>
        </w:rPr>
        <w:t>5, 9, 13, 14, 21.</w:t>
      </w:r>
    </w:p>
    <w:p w:rsidR="002E6705" w:rsidRPr="00235E23" w:rsidRDefault="0043088E" w:rsidP="00697F86">
      <w:pPr>
        <w:pStyle w:val="SCCNormalDoubleSpacing"/>
        <w:keepNext/>
        <w:spacing w:after="720" w:line="240" w:lineRule="auto"/>
        <w:rPr>
          <w:b/>
          <w:szCs w:val="24"/>
        </w:rPr>
      </w:pPr>
      <w:r w:rsidRPr="00235E23">
        <w:rPr>
          <w:b/>
          <w:szCs w:val="24"/>
        </w:rPr>
        <w:t>Doctrine</w:t>
      </w:r>
      <w:r w:rsidR="002E6705" w:rsidRPr="00235E23">
        <w:rPr>
          <w:b/>
          <w:szCs w:val="24"/>
        </w:rPr>
        <w:t xml:space="preserve"> </w:t>
      </w:r>
      <w:r w:rsidRPr="00235E23">
        <w:rPr>
          <w:b/>
          <w:szCs w:val="24"/>
        </w:rPr>
        <w:t>c</w:t>
      </w:r>
      <w:r w:rsidR="002E6705" w:rsidRPr="00235E23">
        <w:rPr>
          <w:b/>
          <w:szCs w:val="24"/>
        </w:rPr>
        <w:t>it</w:t>
      </w:r>
      <w:r w:rsidRPr="00235E23">
        <w:rPr>
          <w:b/>
          <w:szCs w:val="24"/>
        </w:rPr>
        <w:t>é</w:t>
      </w:r>
      <w:r w:rsidR="002E6705" w:rsidRPr="00235E23">
        <w:rPr>
          <w:b/>
          <w:szCs w:val="24"/>
        </w:rPr>
        <w:t>e</w:t>
      </w:r>
    </w:p>
    <w:p w:rsidR="0078038E" w:rsidRPr="00235E23" w:rsidRDefault="0078038E" w:rsidP="00733081">
      <w:pPr>
        <w:pStyle w:val="SCCNormalDoubleSpacing"/>
        <w:spacing w:after="240" w:line="240" w:lineRule="auto"/>
        <w:ind w:left="547" w:hanging="547"/>
        <w:rPr>
          <w:szCs w:val="24"/>
          <w:lang w:val="en-CA"/>
        </w:rPr>
      </w:pPr>
      <w:r w:rsidRPr="00E4433D">
        <w:rPr>
          <w:szCs w:val="24"/>
          <w:lang w:val="en-US"/>
        </w:rPr>
        <w:t xml:space="preserve">Ellis, Mark Vincent. </w:t>
      </w:r>
      <w:r w:rsidR="00001A74" w:rsidRPr="00E4433D">
        <w:rPr>
          <w:szCs w:val="24"/>
          <w:lang w:val="en-US"/>
        </w:rPr>
        <w:t xml:space="preserve"> </w:t>
      </w:r>
      <w:r w:rsidRPr="00235E23">
        <w:rPr>
          <w:i/>
          <w:szCs w:val="24"/>
          <w:lang w:val="en-CA"/>
        </w:rPr>
        <w:t>Fiduciary Duties in Canada</w:t>
      </w:r>
      <w:r w:rsidRPr="00235E23">
        <w:rPr>
          <w:szCs w:val="24"/>
          <w:lang w:val="en-CA"/>
        </w:rPr>
        <w:t>. Toronto</w:t>
      </w:r>
      <w:r w:rsidR="00235E23" w:rsidRPr="00235E23">
        <w:rPr>
          <w:szCs w:val="24"/>
          <w:lang w:val="en-CA"/>
        </w:rPr>
        <w:t> :</w:t>
      </w:r>
      <w:r w:rsidRPr="00235E23">
        <w:rPr>
          <w:szCs w:val="24"/>
          <w:lang w:val="en-CA"/>
        </w:rPr>
        <w:t xml:space="preserve"> Carswell, 1993 (loose</w:t>
      </w:r>
      <w:r w:rsidR="00235E23" w:rsidRPr="00235E23">
        <w:rPr>
          <w:szCs w:val="24"/>
          <w:lang w:val="en-CA"/>
        </w:rPr>
        <w:noBreakHyphen/>
      </w:r>
      <w:r w:rsidRPr="00235E23">
        <w:rPr>
          <w:szCs w:val="24"/>
          <w:lang w:val="en-CA"/>
        </w:rPr>
        <w:t>leaf updated 2011,</w:t>
      </w:r>
      <w:r w:rsidR="00001A74" w:rsidRPr="00235E23">
        <w:rPr>
          <w:szCs w:val="24"/>
          <w:lang w:val="en-CA"/>
        </w:rPr>
        <w:t xml:space="preserve"> release </w:t>
      </w:r>
      <w:r w:rsidRPr="00235E23">
        <w:rPr>
          <w:szCs w:val="24"/>
          <w:lang w:val="en-CA"/>
        </w:rPr>
        <w:t>1).</w:t>
      </w:r>
    </w:p>
    <w:p w:rsidR="00274CAB" w:rsidRPr="00235E23" w:rsidRDefault="00274CAB" w:rsidP="00733081">
      <w:pPr>
        <w:pStyle w:val="SCCNormalDoubleSpacing"/>
        <w:spacing w:after="240" w:line="240" w:lineRule="auto"/>
        <w:ind w:left="547" w:hanging="547"/>
        <w:rPr>
          <w:szCs w:val="24"/>
          <w:lang w:val="en-CA"/>
        </w:rPr>
      </w:pPr>
      <w:r w:rsidRPr="00235E23">
        <w:rPr>
          <w:szCs w:val="24"/>
          <w:lang w:val="en-CA"/>
        </w:rPr>
        <w:t xml:space="preserve">Finn, </w:t>
      </w:r>
      <w:r w:rsidR="00235E23" w:rsidRPr="00235E23">
        <w:rPr>
          <w:szCs w:val="24"/>
          <w:lang w:val="en-CA"/>
        </w:rPr>
        <w:t>P. </w:t>
      </w:r>
      <w:r w:rsidRPr="00235E23">
        <w:rPr>
          <w:szCs w:val="24"/>
          <w:lang w:val="en-CA"/>
        </w:rPr>
        <w:t xml:space="preserve">D. </w:t>
      </w:r>
      <w:r w:rsidR="00001A74" w:rsidRPr="00235E23">
        <w:rPr>
          <w:szCs w:val="24"/>
          <w:lang w:val="en-CA"/>
        </w:rPr>
        <w:t xml:space="preserve"> </w:t>
      </w:r>
      <w:r w:rsidRPr="00235E23">
        <w:rPr>
          <w:szCs w:val="24"/>
          <w:lang w:val="en-CA"/>
        </w:rPr>
        <w:t>« The Fiduciary Principle »</w:t>
      </w:r>
      <w:r w:rsidR="00733081" w:rsidRPr="00235E23">
        <w:rPr>
          <w:szCs w:val="24"/>
          <w:lang w:val="en-CA"/>
        </w:rPr>
        <w:t>,</w:t>
      </w:r>
      <w:r w:rsidRPr="00235E23">
        <w:rPr>
          <w:szCs w:val="24"/>
          <w:lang w:val="en-CA"/>
        </w:rPr>
        <w:t xml:space="preserve"> </w:t>
      </w:r>
      <w:r w:rsidR="0078038E" w:rsidRPr="00235E23">
        <w:rPr>
          <w:szCs w:val="24"/>
          <w:lang w:val="en-CA"/>
        </w:rPr>
        <w:t xml:space="preserve">in </w:t>
      </w:r>
      <w:r w:rsidR="00001A74" w:rsidRPr="00235E23">
        <w:rPr>
          <w:szCs w:val="24"/>
          <w:lang w:val="en-CA"/>
        </w:rPr>
        <w:t>T. </w:t>
      </w:r>
      <w:r w:rsidR="0078038E" w:rsidRPr="00235E23">
        <w:rPr>
          <w:szCs w:val="24"/>
          <w:lang w:val="en-CA"/>
        </w:rPr>
        <w:t xml:space="preserve">G. Youdan, ed., </w:t>
      </w:r>
      <w:r w:rsidR="0078038E" w:rsidRPr="00235E23">
        <w:rPr>
          <w:i/>
          <w:szCs w:val="24"/>
          <w:lang w:val="en-CA"/>
        </w:rPr>
        <w:t>Equity, Fiduciaries and Trusts</w:t>
      </w:r>
      <w:r w:rsidR="0078038E" w:rsidRPr="00235E23">
        <w:rPr>
          <w:szCs w:val="24"/>
          <w:lang w:val="en-CA"/>
        </w:rPr>
        <w:t xml:space="preserve">. </w:t>
      </w:r>
      <w:r w:rsidR="00001A74" w:rsidRPr="00235E23">
        <w:rPr>
          <w:szCs w:val="24"/>
          <w:lang w:val="en-CA"/>
        </w:rPr>
        <w:t xml:space="preserve"> </w:t>
      </w:r>
      <w:r w:rsidR="0078038E" w:rsidRPr="00235E23">
        <w:rPr>
          <w:szCs w:val="24"/>
          <w:lang w:val="en-CA"/>
        </w:rPr>
        <w:t>Toronto</w:t>
      </w:r>
      <w:r w:rsidR="00235E23" w:rsidRPr="00235E23">
        <w:rPr>
          <w:szCs w:val="24"/>
          <w:lang w:val="en-CA"/>
        </w:rPr>
        <w:t> :</w:t>
      </w:r>
      <w:r w:rsidR="0078038E" w:rsidRPr="00235E23">
        <w:rPr>
          <w:szCs w:val="24"/>
          <w:lang w:val="en-CA"/>
        </w:rPr>
        <w:t xml:space="preserve"> Carswell, 1989, 1.</w:t>
      </w:r>
    </w:p>
    <w:p w:rsidR="0078038E" w:rsidRPr="00235E23" w:rsidRDefault="0078038E" w:rsidP="00001A74">
      <w:pPr>
        <w:pStyle w:val="SCCNormalDoubleSpacing"/>
        <w:spacing w:after="720" w:line="240" w:lineRule="auto"/>
        <w:ind w:left="540" w:hanging="540"/>
        <w:rPr>
          <w:szCs w:val="24"/>
          <w:lang w:val="en-CA"/>
        </w:rPr>
      </w:pPr>
      <w:r w:rsidRPr="00235E23">
        <w:rPr>
          <w:szCs w:val="24"/>
          <w:lang w:val="en-CA"/>
        </w:rPr>
        <w:lastRenderedPageBreak/>
        <w:t>Maddaugh</w:t>
      </w:r>
      <w:r w:rsidR="00001A74" w:rsidRPr="00235E23">
        <w:rPr>
          <w:szCs w:val="24"/>
          <w:lang w:val="en-CA"/>
        </w:rPr>
        <w:t>, Peter D., and John </w:t>
      </w:r>
      <w:r w:rsidRPr="00235E23">
        <w:rPr>
          <w:szCs w:val="24"/>
          <w:lang w:val="en-CA"/>
        </w:rPr>
        <w:t xml:space="preserve">D. McCamus. </w:t>
      </w:r>
      <w:r w:rsidR="00001A74" w:rsidRPr="00235E23">
        <w:rPr>
          <w:szCs w:val="24"/>
          <w:lang w:val="en-CA"/>
        </w:rPr>
        <w:t xml:space="preserve"> </w:t>
      </w:r>
      <w:r w:rsidRPr="00235E23">
        <w:rPr>
          <w:i/>
          <w:szCs w:val="24"/>
          <w:lang w:val="en-CA"/>
        </w:rPr>
        <w:t>The Law of Restitution</w:t>
      </w:r>
      <w:r w:rsidRPr="00235E23">
        <w:rPr>
          <w:szCs w:val="24"/>
          <w:lang w:val="en-CA"/>
        </w:rPr>
        <w:t>. Aurora, Ont.</w:t>
      </w:r>
      <w:r w:rsidR="00235E23" w:rsidRPr="00235E23">
        <w:rPr>
          <w:szCs w:val="24"/>
          <w:lang w:val="en-CA"/>
        </w:rPr>
        <w:t> :</w:t>
      </w:r>
      <w:r w:rsidRPr="00235E23">
        <w:rPr>
          <w:szCs w:val="24"/>
          <w:lang w:val="en-CA"/>
        </w:rPr>
        <w:t xml:space="preserve"> Canada Law Book, 2004 (loose</w:t>
      </w:r>
      <w:r w:rsidR="00235E23" w:rsidRPr="00235E23">
        <w:rPr>
          <w:szCs w:val="24"/>
          <w:lang w:val="en-CA"/>
        </w:rPr>
        <w:noBreakHyphen/>
      </w:r>
      <w:r w:rsidRPr="00235E23">
        <w:rPr>
          <w:szCs w:val="24"/>
          <w:lang w:val="en-CA"/>
        </w:rPr>
        <w:t>leaf updated August 2010,</w:t>
      </w:r>
      <w:r w:rsidR="00001A74" w:rsidRPr="00235E23">
        <w:rPr>
          <w:szCs w:val="24"/>
          <w:lang w:val="en-CA"/>
        </w:rPr>
        <w:t xml:space="preserve"> release </w:t>
      </w:r>
      <w:r w:rsidRPr="00235E23">
        <w:rPr>
          <w:szCs w:val="24"/>
          <w:lang w:val="en-CA"/>
        </w:rPr>
        <w:t>6).</w:t>
      </w:r>
    </w:p>
    <w:p w:rsidR="00D5435D" w:rsidRPr="00466E7D" w:rsidRDefault="007A598C" w:rsidP="00001A74">
      <w:pPr>
        <w:pStyle w:val="SCCNormalDoubleSpacing"/>
        <w:spacing w:after="480"/>
        <w:rPr>
          <w:szCs w:val="24"/>
        </w:rPr>
      </w:pPr>
      <w:r w:rsidRPr="00235E23">
        <w:rPr>
          <w:szCs w:val="24"/>
          <w:lang w:val="en-CA"/>
        </w:rPr>
        <w:tab/>
      </w:r>
      <w:r w:rsidR="009B57B3" w:rsidRPr="00235E23">
        <w:rPr>
          <w:szCs w:val="24"/>
          <w:lang w:val="en-CA"/>
        </w:rPr>
        <w:t>P</w:t>
      </w:r>
      <w:r w:rsidR="0043088E" w:rsidRPr="00235E23">
        <w:rPr>
          <w:szCs w:val="24"/>
          <w:lang w:val="en-CA"/>
        </w:rPr>
        <w:t>OURVOI contre un arrêt de la</w:t>
      </w:r>
      <w:r w:rsidR="009B57B3" w:rsidRPr="00235E23">
        <w:rPr>
          <w:szCs w:val="24"/>
          <w:lang w:val="en-CA"/>
        </w:rPr>
        <w:t xml:space="preserve"> </w:t>
      </w:r>
      <w:r w:rsidRPr="00235E23">
        <w:rPr>
          <w:szCs w:val="24"/>
          <w:lang w:val="en-CA"/>
        </w:rPr>
        <w:t>Cour d’</w:t>
      </w:r>
      <w:r w:rsidR="009B57B3" w:rsidRPr="00235E23">
        <w:rPr>
          <w:szCs w:val="24"/>
          <w:lang w:val="en-CA"/>
        </w:rPr>
        <w:t>appel de l’Alberta</w:t>
      </w:r>
      <w:r w:rsidR="00DF183C" w:rsidRPr="00235E23">
        <w:rPr>
          <w:szCs w:val="24"/>
          <w:lang w:val="en-CA"/>
        </w:rPr>
        <w:t xml:space="preserve"> (les juges Conrad, Berger et Rowbotham), 2009 ABCA 403, 16 Alta. L.R. (5th) 1, 469 A.R. 270, 315 D.L.R. (4th) 59, [2010] 2 W.W.R. 197, </w:t>
      </w:r>
      <w:r w:rsidR="00495FBB" w:rsidRPr="00235E23">
        <w:rPr>
          <w:szCs w:val="24"/>
          <w:lang w:val="en-CA"/>
        </w:rPr>
        <w:t xml:space="preserve">203 C.R.R. (2d) 344, </w:t>
      </w:r>
      <w:r w:rsidR="00DF183C" w:rsidRPr="00235E23">
        <w:rPr>
          <w:szCs w:val="24"/>
          <w:lang w:val="en-CA"/>
        </w:rPr>
        <w:t xml:space="preserve">79 C.P.C. (6th) 19, 70 C.C.L.T. (3d) 30, 470 W.A.C. 270, [2009] A.J. </w:t>
      </w:r>
      <w:r w:rsidR="00235E23" w:rsidRPr="00235E23">
        <w:rPr>
          <w:szCs w:val="24"/>
          <w:lang w:val="en-CA"/>
        </w:rPr>
        <w:t>No. </w:t>
      </w:r>
      <w:r w:rsidR="00DF183C" w:rsidRPr="00235E23">
        <w:rPr>
          <w:szCs w:val="24"/>
          <w:lang w:val="en-CA"/>
        </w:rPr>
        <w:t xml:space="preserve">1336 (QL), 2009 CarswellAlta 1986, </w:t>
      </w:r>
      <w:r w:rsidR="00461082" w:rsidRPr="00235E23">
        <w:rPr>
          <w:szCs w:val="24"/>
          <w:lang w:val="en-CA"/>
        </w:rPr>
        <w:t xml:space="preserve">qui a infirmé en partie une </w:t>
      </w:r>
      <w:r w:rsidR="00DF183C" w:rsidRPr="00235E23">
        <w:rPr>
          <w:szCs w:val="24"/>
          <w:lang w:val="en-CA"/>
        </w:rPr>
        <w:t xml:space="preserve">décision de la juge Greckol, 2008 ABQB 490, 94 Alta. L.R. (4th) 10, 453 A.R. 1, [2008] 11 W.W.R. 70, 59 C.C.L.T. (3d) 23, 59 C.P.C. (6th) 243, [2008] A.J. </w:t>
      </w:r>
      <w:r w:rsidR="00235E23" w:rsidRPr="00235E23">
        <w:rPr>
          <w:szCs w:val="24"/>
          <w:lang w:val="en-CA"/>
        </w:rPr>
        <w:t>No. </w:t>
      </w:r>
      <w:r w:rsidR="00DF183C" w:rsidRPr="00235E23">
        <w:rPr>
          <w:szCs w:val="24"/>
          <w:lang w:val="en-CA"/>
        </w:rPr>
        <w:t>909 (QL), 2008 CarswellAlta 1104.</w:t>
      </w:r>
      <w:r w:rsidR="003B57D4" w:rsidRPr="00235E23">
        <w:rPr>
          <w:szCs w:val="24"/>
          <w:lang w:val="en-CA"/>
        </w:rPr>
        <w:t xml:space="preserve"> </w:t>
      </w:r>
      <w:r w:rsidR="003B57D4" w:rsidRPr="00466E7D">
        <w:rPr>
          <w:szCs w:val="24"/>
        </w:rPr>
        <w:t>Pourvoi accueilli en partie.</w:t>
      </w:r>
    </w:p>
    <w:p w:rsidR="00276C6F" w:rsidRPr="00235E23" w:rsidRDefault="00AC6E90" w:rsidP="00001A74">
      <w:pPr>
        <w:pStyle w:val="SCCNormalDoubleSpacing"/>
        <w:spacing w:after="480"/>
        <w:rPr>
          <w:szCs w:val="24"/>
        </w:rPr>
      </w:pPr>
      <w:r w:rsidRPr="00466E7D">
        <w:rPr>
          <w:rStyle w:val="SCCCounselNameChar"/>
          <w:szCs w:val="24"/>
        </w:rPr>
        <w:tab/>
      </w:r>
      <w:r w:rsidR="00001A74" w:rsidRPr="00235E23">
        <w:rPr>
          <w:rStyle w:val="SCCCounselNameChar"/>
          <w:szCs w:val="24"/>
        </w:rPr>
        <w:t>G. </w:t>
      </w:r>
      <w:r w:rsidRPr="00235E23">
        <w:rPr>
          <w:rStyle w:val="SCCCounselNameChar"/>
          <w:szCs w:val="24"/>
        </w:rPr>
        <w:t>Alan Meikle</w:t>
      </w:r>
      <w:r w:rsidRPr="00235E23">
        <w:rPr>
          <w:rStyle w:val="SCCCounselNameChar"/>
          <w:i w:val="0"/>
          <w:szCs w:val="24"/>
        </w:rPr>
        <w:t xml:space="preserve">, </w:t>
      </w:r>
      <w:r w:rsidR="007A598C" w:rsidRPr="00235E23">
        <w:rPr>
          <w:rStyle w:val="SCCCounselNameChar"/>
          <w:szCs w:val="24"/>
        </w:rPr>
        <w:t>c.r.</w:t>
      </w:r>
      <w:r w:rsidRPr="00235E23">
        <w:rPr>
          <w:rStyle w:val="SCCCounselSeparatorChar"/>
          <w:szCs w:val="24"/>
        </w:rPr>
        <w:t xml:space="preserve">, </w:t>
      </w:r>
      <w:r w:rsidR="00001A74" w:rsidRPr="00235E23">
        <w:rPr>
          <w:rStyle w:val="SCCCounselNameChar"/>
          <w:szCs w:val="24"/>
        </w:rPr>
        <w:t>Ward </w:t>
      </w:r>
      <w:r w:rsidRPr="00235E23">
        <w:rPr>
          <w:rStyle w:val="SCCCounselNameChar"/>
          <w:szCs w:val="24"/>
        </w:rPr>
        <w:t>K. Branch</w:t>
      </w:r>
      <w:r w:rsidRPr="00235E23">
        <w:rPr>
          <w:rStyle w:val="SCCCounselSeparatorChar"/>
          <w:szCs w:val="24"/>
        </w:rPr>
        <w:t xml:space="preserve"> et </w:t>
      </w:r>
      <w:r w:rsidRPr="00235E23">
        <w:rPr>
          <w:rStyle w:val="SCCCounselNameChar"/>
          <w:szCs w:val="24"/>
        </w:rPr>
        <w:t>Michael Sobkin</w:t>
      </w:r>
      <w:r w:rsidR="007A598C" w:rsidRPr="00235E23">
        <w:rPr>
          <w:rStyle w:val="SCCCounselPartyRoleChar"/>
          <w:szCs w:val="24"/>
        </w:rPr>
        <w:t>, pour l’</w:t>
      </w:r>
      <w:r w:rsidRPr="00235E23">
        <w:rPr>
          <w:rStyle w:val="SCCCounselPartyRoleChar"/>
          <w:szCs w:val="24"/>
        </w:rPr>
        <w:t>appelante.</w:t>
      </w:r>
    </w:p>
    <w:p w:rsidR="00276C6F" w:rsidRPr="00235E23" w:rsidRDefault="00001A74" w:rsidP="00001A74">
      <w:pPr>
        <w:pStyle w:val="SCCNormalDoubleSpacing"/>
        <w:spacing w:after="480"/>
        <w:rPr>
          <w:szCs w:val="24"/>
        </w:rPr>
      </w:pPr>
      <w:r w:rsidRPr="00235E23">
        <w:rPr>
          <w:rStyle w:val="SCCCounselNameChar"/>
          <w:szCs w:val="24"/>
        </w:rPr>
        <w:tab/>
        <w:t>Allan </w:t>
      </w:r>
      <w:r w:rsidR="00AC6E90" w:rsidRPr="00235E23">
        <w:rPr>
          <w:rStyle w:val="SCCCounselNameChar"/>
          <w:szCs w:val="24"/>
        </w:rPr>
        <w:t>A. Garber</w:t>
      </w:r>
      <w:r w:rsidR="00AC6E90" w:rsidRPr="00235E23">
        <w:rPr>
          <w:rStyle w:val="SCCCounselSeparatorChar"/>
          <w:szCs w:val="24"/>
        </w:rPr>
        <w:t xml:space="preserve"> et </w:t>
      </w:r>
      <w:r w:rsidRPr="00235E23">
        <w:rPr>
          <w:rStyle w:val="SCCCounselNameChar"/>
          <w:szCs w:val="24"/>
        </w:rPr>
        <w:t>Nathan </w:t>
      </w:r>
      <w:r w:rsidR="00AC6E90" w:rsidRPr="00235E23">
        <w:rPr>
          <w:rStyle w:val="SCCCounselNameChar"/>
          <w:szCs w:val="24"/>
        </w:rPr>
        <w:t>J. Whitling</w:t>
      </w:r>
      <w:r w:rsidR="00AC6E90" w:rsidRPr="00235E23">
        <w:rPr>
          <w:rStyle w:val="SCCCounselPartyRoleChar"/>
          <w:szCs w:val="24"/>
        </w:rPr>
        <w:t>, pour l</w:t>
      </w:r>
      <w:r w:rsidR="007A598C" w:rsidRPr="00235E23">
        <w:rPr>
          <w:rStyle w:val="SCCCounselPartyRoleChar"/>
          <w:szCs w:val="24"/>
        </w:rPr>
        <w:t xml:space="preserve">es </w:t>
      </w:r>
      <w:r w:rsidR="00AC6E90" w:rsidRPr="00235E23">
        <w:rPr>
          <w:rStyle w:val="SCCCounselPartyRoleChar"/>
          <w:szCs w:val="24"/>
        </w:rPr>
        <w:t>intimé</w:t>
      </w:r>
      <w:r w:rsidR="007A598C" w:rsidRPr="00235E23">
        <w:rPr>
          <w:rStyle w:val="SCCCounselPartyRoleChar"/>
          <w:szCs w:val="24"/>
        </w:rPr>
        <w:t>s</w:t>
      </w:r>
      <w:r w:rsidR="00AC6E90" w:rsidRPr="00235E23">
        <w:rPr>
          <w:rStyle w:val="SCCCounselPartyRoleChar"/>
          <w:szCs w:val="24"/>
        </w:rPr>
        <w:t>.</w:t>
      </w:r>
    </w:p>
    <w:p w:rsidR="00276C6F" w:rsidRPr="00235E23" w:rsidRDefault="00AC6E90" w:rsidP="00001A74">
      <w:pPr>
        <w:pStyle w:val="SCCNormalDoubleSpacing"/>
        <w:spacing w:after="480"/>
        <w:rPr>
          <w:szCs w:val="24"/>
        </w:rPr>
      </w:pPr>
      <w:r w:rsidRPr="00235E23">
        <w:rPr>
          <w:rStyle w:val="SCCCounselNameChar"/>
          <w:szCs w:val="24"/>
        </w:rPr>
        <w:tab/>
        <w:t>Christine Mohr</w:t>
      </w:r>
      <w:r w:rsidR="00602AB9" w:rsidRPr="00235E23">
        <w:rPr>
          <w:rStyle w:val="SCCCounselNameChar"/>
          <w:i w:val="0"/>
          <w:szCs w:val="24"/>
        </w:rPr>
        <w:t>,</w:t>
      </w:r>
      <w:r w:rsidRPr="00235E23">
        <w:rPr>
          <w:rStyle w:val="SCCCounselPartyRoleChar"/>
          <w:szCs w:val="24"/>
        </w:rPr>
        <w:t xml:space="preserve"> pour l</w:t>
      </w:r>
      <w:r w:rsidR="007A598C" w:rsidRPr="00235E23">
        <w:rPr>
          <w:rStyle w:val="SCCCounselPartyRoleChar"/>
          <w:szCs w:val="24"/>
        </w:rPr>
        <w:t>’</w:t>
      </w:r>
      <w:r w:rsidRPr="00235E23">
        <w:rPr>
          <w:rStyle w:val="SCCCounselPartyRoleChar"/>
          <w:szCs w:val="24"/>
        </w:rPr>
        <w:t xml:space="preserve">intervenant </w:t>
      </w:r>
      <w:r w:rsidR="007A598C" w:rsidRPr="00235E23">
        <w:rPr>
          <w:rStyle w:val="SCCCounselPartyRoleChar"/>
          <w:szCs w:val="24"/>
        </w:rPr>
        <w:t>le p</w:t>
      </w:r>
      <w:r w:rsidRPr="00235E23">
        <w:rPr>
          <w:rStyle w:val="SCCCounselPartyRoleChar"/>
          <w:szCs w:val="24"/>
        </w:rPr>
        <w:t>rocureur général du Canada.</w:t>
      </w:r>
    </w:p>
    <w:p w:rsidR="00276C6F" w:rsidRPr="00235E23" w:rsidRDefault="00AC6E90" w:rsidP="00001A74">
      <w:pPr>
        <w:pStyle w:val="SCCNormalDoubleSpacing"/>
        <w:spacing w:after="480"/>
        <w:rPr>
          <w:szCs w:val="24"/>
        </w:rPr>
      </w:pPr>
      <w:r w:rsidRPr="00235E23">
        <w:rPr>
          <w:rStyle w:val="SCCCounselNameChar"/>
          <w:szCs w:val="24"/>
        </w:rPr>
        <w:tab/>
        <w:t>Anthony Fraser</w:t>
      </w:r>
      <w:r w:rsidRPr="00235E23">
        <w:rPr>
          <w:rStyle w:val="SCCCounselPartyRoleChar"/>
          <w:szCs w:val="24"/>
        </w:rPr>
        <w:t>, pour l</w:t>
      </w:r>
      <w:r w:rsidR="007A598C" w:rsidRPr="00235E23">
        <w:rPr>
          <w:rStyle w:val="SCCCounselPartyRoleChar"/>
          <w:szCs w:val="24"/>
        </w:rPr>
        <w:t>’</w:t>
      </w:r>
      <w:r w:rsidRPr="00235E23">
        <w:rPr>
          <w:rStyle w:val="SCCCounselPartyRoleChar"/>
          <w:szCs w:val="24"/>
        </w:rPr>
        <w:t xml:space="preserve">intervenant </w:t>
      </w:r>
      <w:r w:rsidR="007A598C" w:rsidRPr="00235E23">
        <w:rPr>
          <w:rStyle w:val="SCCCounselPartyRoleChar"/>
          <w:szCs w:val="24"/>
        </w:rPr>
        <w:t>le p</w:t>
      </w:r>
      <w:r w:rsidRPr="00235E23">
        <w:rPr>
          <w:rStyle w:val="SCCCounselPartyRoleChar"/>
          <w:szCs w:val="24"/>
        </w:rPr>
        <w:t>rocureur général de la Colombie</w:t>
      </w:r>
      <w:r w:rsidR="00235E23" w:rsidRPr="00235E23">
        <w:rPr>
          <w:rStyle w:val="SCCCounselPartyRoleChar"/>
          <w:szCs w:val="24"/>
        </w:rPr>
        <w:noBreakHyphen/>
      </w:r>
      <w:r w:rsidRPr="00235E23">
        <w:rPr>
          <w:rStyle w:val="SCCCounselPartyRoleChar"/>
          <w:szCs w:val="24"/>
        </w:rPr>
        <w:t>Britannique.</w:t>
      </w:r>
    </w:p>
    <w:p w:rsidR="00794B24" w:rsidRDefault="00794B24" w:rsidP="00466E7D">
      <w:pPr>
        <w:tabs>
          <w:tab w:val="left" w:pos="-1440"/>
          <w:tab w:val="left" w:pos="-720"/>
          <w:tab w:val="left" w:pos="1170"/>
        </w:tabs>
        <w:spacing w:before="720" w:after="480" w:line="480" w:lineRule="auto"/>
        <w:jc w:val="both"/>
        <w:rPr>
          <w:szCs w:val="24"/>
        </w:rPr>
      </w:pPr>
      <w:r>
        <w:rPr>
          <w:szCs w:val="24"/>
        </w:rPr>
        <w:tab/>
        <w:t>Version française du jugement de la Cour rendu par</w:t>
      </w:r>
    </w:p>
    <w:p w:rsidR="00466E7D" w:rsidRPr="00954404" w:rsidRDefault="00794B24" w:rsidP="00466E7D">
      <w:pPr>
        <w:pStyle w:val="ParaNoNdepar-AltN"/>
        <w:rPr>
          <w:rFonts w:cs="Times New Roman"/>
          <w:szCs w:val="24"/>
          <w:lang w:val="fr-CA"/>
        </w:rPr>
      </w:pPr>
      <w:r w:rsidRPr="00794B24">
        <w:rPr>
          <w:smallCaps/>
          <w:szCs w:val="24"/>
          <w:lang w:val="fr-CA"/>
        </w:rPr>
        <w:lastRenderedPageBreak/>
        <w:t>La Juge en chef</w:t>
      </w:r>
      <w:r w:rsidRPr="00794B24">
        <w:rPr>
          <w:szCs w:val="24"/>
          <w:lang w:val="fr-CA"/>
        </w:rPr>
        <w:t xml:space="preserve"> — </w:t>
      </w:r>
      <w:r w:rsidR="00466E7D" w:rsidRPr="00954404">
        <w:rPr>
          <w:rFonts w:cs="Times New Roman"/>
          <w:szCs w:val="24"/>
          <w:lang w:val="fr-CA"/>
        </w:rPr>
        <w:t>Une triste réalité sociale attend les personnes qui, lorsqu</w:t>
      </w:r>
      <w:r w:rsidR="00466E7D">
        <w:rPr>
          <w:rFonts w:cs="Times New Roman"/>
          <w:szCs w:val="24"/>
          <w:lang w:val="fr-CA"/>
        </w:rPr>
        <w:t>’</w:t>
      </w:r>
      <w:r w:rsidR="00466E7D" w:rsidRPr="00954404">
        <w:rPr>
          <w:rFonts w:cs="Times New Roman"/>
          <w:szCs w:val="24"/>
          <w:lang w:val="fr-CA"/>
        </w:rPr>
        <w:t>elles avancent en âge, deviennent incapables de prendre soin d</w:t>
      </w:r>
      <w:r w:rsidR="00466E7D">
        <w:rPr>
          <w:rFonts w:cs="Times New Roman"/>
          <w:szCs w:val="24"/>
          <w:lang w:val="fr-CA"/>
        </w:rPr>
        <w:t>’</w:t>
      </w:r>
      <w:r w:rsidR="00466E7D" w:rsidRPr="00954404">
        <w:rPr>
          <w:rFonts w:cs="Times New Roman"/>
          <w:szCs w:val="24"/>
          <w:lang w:val="fr-CA"/>
        </w:rPr>
        <w:t>elles</w:t>
      </w:r>
      <w:r w:rsidR="00466E7D">
        <w:rPr>
          <w:rFonts w:cs="Times New Roman"/>
          <w:szCs w:val="24"/>
          <w:lang w:val="fr-CA"/>
        </w:rPr>
        <w:noBreakHyphen/>
      </w:r>
      <w:r w:rsidR="00466E7D" w:rsidRPr="00954404">
        <w:rPr>
          <w:rFonts w:cs="Times New Roman"/>
          <w:szCs w:val="24"/>
          <w:lang w:val="fr-CA"/>
        </w:rPr>
        <w:t>mêmes et doivent vivre dans des établissements spéciaux qui fournissent, dans une mesure plus ou moins grande, de l</w:t>
      </w:r>
      <w:r w:rsidR="00466E7D">
        <w:rPr>
          <w:rFonts w:cs="Times New Roman"/>
          <w:szCs w:val="24"/>
          <w:lang w:val="fr-CA"/>
        </w:rPr>
        <w:t>’</w:t>
      </w:r>
      <w:r w:rsidR="00466E7D" w:rsidRPr="00954404">
        <w:rPr>
          <w:rFonts w:cs="Times New Roman"/>
          <w:szCs w:val="24"/>
          <w:lang w:val="fr-CA"/>
        </w:rPr>
        <w:t>aide et des soins de santé.  En Alberta, des soins de longue durée sont prodigués aux personnes âgées dans des foyers de soins infirmiers et des hôpitaux de soins prolongés.  En principe, le gouvernement de l</w:t>
      </w:r>
      <w:r w:rsidR="00466E7D">
        <w:rPr>
          <w:rFonts w:cs="Times New Roman"/>
          <w:szCs w:val="24"/>
          <w:lang w:val="fr-CA"/>
        </w:rPr>
        <w:t>’</w:t>
      </w:r>
      <w:r w:rsidR="00466E7D" w:rsidRPr="00954404">
        <w:rPr>
          <w:rFonts w:cs="Times New Roman"/>
          <w:szCs w:val="24"/>
          <w:lang w:val="fr-CA"/>
        </w:rPr>
        <w:t>Alberta prend à sa charge les frais médicaux des pensionnaires, mais on peut demander aux pensionnaires de payer des frais d</w:t>
      </w:r>
      <w:r w:rsidR="00466E7D">
        <w:rPr>
          <w:rFonts w:cs="Times New Roman"/>
          <w:szCs w:val="24"/>
          <w:lang w:val="fr-CA"/>
        </w:rPr>
        <w:t>’</w:t>
      </w:r>
      <w:r w:rsidR="00466E7D" w:rsidRPr="00954404">
        <w:rPr>
          <w:rFonts w:cs="Times New Roman"/>
          <w:szCs w:val="24"/>
          <w:lang w:val="fr-CA"/>
        </w:rPr>
        <w:t>hébergement pour défrayer le coût de leur logement et de leurs repas.  En l</w:t>
      </w:r>
      <w:r w:rsidR="00466E7D">
        <w:rPr>
          <w:rFonts w:cs="Times New Roman"/>
          <w:szCs w:val="24"/>
          <w:lang w:val="fr-CA"/>
        </w:rPr>
        <w:t>’</w:t>
      </w:r>
      <w:r w:rsidR="00466E7D" w:rsidRPr="00954404">
        <w:rPr>
          <w:rFonts w:cs="Times New Roman"/>
          <w:szCs w:val="24"/>
          <w:lang w:val="fr-CA"/>
        </w:rPr>
        <w:t>espèce, 12 500 pensionnaires d</w:t>
      </w:r>
      <w:r w:rsidR="00466E7D">
        <w:rPr>
          <w:rFonts w:cs="Times New Roman"/>
          <w:szCs w:val="24"/>
          <w:lang w:val="fr-CA"/>
        </w:rPr>
        <w:t>’</w:t>
      </w:r>
      <w:r w:rsidR="00466E7D" w:rsidRPr="00954404">
        <w:rPr>
          <w:rFonts w:cs="Times New Roman"/>
          <w:szCs w:val="24"/>
          <w:lang w:val="fr-CA"/>
        </w:rPr>
        <w:t>établissements de soins de longue durée (« ESLD ») de l</w:t>
      </w:r>
      <w:r w:rsidR="00466E7D">
        <w:rPr>
          <w:rFonts w:cs="Times New Roman"/>
          <w:szCs w:val="24"/>
          <w:lang w:val="fr-CA"/>
        </w:rPr>
        <w:t>’</w:t>
      </w:r>
      <w:r w:rsidR="00466E7D" w:rsidRPr="00954404">
        <w:rPr>
          <w:rFonts w:cs="Times New Roman"/>
          <w:szCs w:val="24"/>
          <w:lang w:val="fr-CA"/>
        </w:rPr>
        <w:t>Alberta intentent un recours collectif et allèguent que le gouvernement a artificiellement augmenté la contribution des pensionnaires en vue de financer les frais médicaux qui relèvent normalement du gouvernement.</w:t>
      </w:r>
    </w:p>
    <w:p w:rsidR="00466E7D" w:rsidRPr="00954404" w:rsidRDefault="00466E7D" w:rsidP="00466E7D">
      <w:pPr>
        <w:pStyle w:val="ParaNoNdepar-AltN"/>
        <w:rPr>
          <w:rFonts w:cs="Times New Roman"/>
          <w:b/>
          <w:szCs w:val="24"/>
          <w:lang w:val="fr-CA"/>
        </w:rPr>
      </w:pPr>
      <w:r w:rsidRPr="00954404">
        <w:rPr>
          <w:rFonts w:cs="Times New Roman"/>
          <w:szCs w:val="24"/>
          <w:lang w:val="fr-CA"/>
        </w:rPr>
        <w:t>Le groupe a déposé une déclaration dans laquelle il allègue que, par sa conduite, le gouvernement a manqué à son obligation fiduciaire, a fait preuve de négligence et de mauvaise foi dans l</w:t>
      </w:r>
      <w:r>
        <w:rPr>
          <w:rFonts w:cs="Times New Roman"/>
          <w:szCs w:val="24"/>
          <w:lang w:val="fr-CA"/>
        </w:rPr>
        <w:t>’</w:t>
      </w:r>
      <w:r w:rsidRPr="00954404">
        <w:rPr>
          <w:rFonts w:cs="Times New Roman"/>
          <w:szCs w:val="24"/>
          <w:lang w:val="fr-CA"/>
        </w:rPr>
        <w:t>exercice d</w:t>
      </w:r>
      <w:r>
        <w:rPr>
          <w:rFonts w:cs="Times New Roman"/>
          <w:szCs w:val="24"/>
          <w:lang w:val="fr-CA"/>
        </w:rPr>
        <w:t>’</w:t>
      </w:r>
      <w:r w:rsidRPr="00954404">
        <w:rPr>
          <w:rFonts w:cs="Times New Roman"/>
          <w:szCs w:val="24"/>
          <w:lang w:val="fr-CA"/>
        </w:rPr>
        <w:t>un pouvoir discrétionnaire ou s</w:t>
      </w:r>
      <w:r>
        <w:rPr>
          <w:rFonts w:cs="Times New Roman"/>
          <w:szCs w:val="24"/>
          <w:lang w:val="fr-CA"/>
        </w:rPr>
        <w:t>’</w:t>
      </w:r>
      <w:r w:rsidRPr="00954404">
        <w:rPr>
          <w:rFonts w:cs="Times New Roman"/>
          <w:szCs w:val="24"/>
          <w:lang w:val="fr-CA"/>
        </w:rPr>
        <w:t>est enrichi de façon injustifiée.  Le groupe demande le remboursement des sommes payées en sus des frais d</w:t>
      </w:r>
      <w:r>
        <w:rPr>
          <w:rFonts w:cs="Times New Roman"/>
          <w:szCs w:val="24"/>
          <w:lang w:val="fr-CA"/>
        </w:rPr>
        <w:t>’</w:t>
      </w:r>
      <w:r w:rsidRPr="00954404">
        <w:rPr>
          <w:rFonts w:cs="Times New Roman"/>
          <w:szCs w:val="24"/>
          <w:lang w:val="fr-CA"/>
        </w:rPr>
        <w:t>hébergement permis, ou des dommages</w:t>
      </w:r>
      <w:r>
        <w:rPr>
          <w:rFonts w:cs="Times New Roman"/>
          <w:szCs w:val="24"/>
          <w:lang w:val="fr-CA"/>
        </w:rPr>
        <w:noBreakHyphen/>
      </w:r>
      <w:r w:rsidRPr="00954404">
        <w:rPr>
          <w:rFonts w:cs="Times New Roman"/>
          <w:szCs w:val="24"/>
          <w:lang w:val="fr-CA"/>
        </w:rPr>
        <w:t>intérêts équivalant à ces sommes.  L</w:t>
      </w:r>
      <w:r>
        <w:rPr>
          <w:rFonts w:cs="Times New Roman"/>
          <w:szCs w:val="24"/>
          <w:lang w:val="fr-CA"/>
        </w:rPr>
        <w:t>’</w:t>
      </w:r>
      <w:r w:rsidRPr="00954404">
        <w:rPr>
          <w:rFonts w:cs="Times New Roman"/>
          <w:szCs w:val="24"/>
          <w:lang w:val="fr-CA"/>
        </w:rPr>
        <w:t>action a été autorisée sur le fondement de ces allégations.  Le groupe présente également une demande fondée sur le droit à l</w:t>
      </w:r>
      <w:r>
        <w:rPr>
          <w:rFonts w:cs="Times New Roman"/>
          <w:szCs w:val="24"/>
          <w:lang w:val="fr-CA"/>
        </w:rPr>
        <w:t>’</w:t>
      </w:r>
      <w:r w:rsidRPr="00954404">
        <w:rPr>
          <w:rFonts w:cs="Times New Roman"/>
          <w:szCs w:val="24"/>
          <w:lang w:val="fr-CA"/>
        </w:rPr>
        <w:t>égalité garanti par l</w:t>
      </w:r>
      <w:r>
        <w:rPr>
          <w:rFonts w:cs="Times New Roman"/>
          <w:szCs w:val="24"/>
          <w:lang w:val="fr-CA"/>
        </w:rPr>
        <w:t>’art. </w:t>
      </w:r>
      <w:r w:rsidRPr="00954404">
        <w:rPr>
          <w:rFonts w:cs="Times New Roman"/>
          <w:szCs w:val="24"/>
          <w:lang w:val="fr-CA"/>
        </w:rPr>
        <w:t xml:space="preserve">15 de la </w:t>
      </w:r>
      <w:r w:rsidRPr="00954404">
        <w:rPr>
          <w:rFonts w:cs="Times New Roman"/>
          <w:i/>
          <w:szCs w:val="24"/>
          <w:lang w:val="fr-CA"/>
        </w:rPr>
        <w:t>Charte canadienne des droits et libertés</w:t>
      </w:r>
      <w:r w:rsidRPr="00954404">
        <w:rPr>
          <w:rFonts w:cs="Times New Roman"/>
          <w:szCs w:val="24"/>
          <w:lang w:val="fr-CA"/>
        </w:rPr>
        <w:t>.  L</w:t>
      </w:r>
      <w:r>
        <w:rPr>
          <w:rFonts w:cs="Times New Roman"/>
          <w:szCs w:val="24"/>
          <w:lang w:val="fr-CA"/>
        </w:rPr>
        <w:t>’</w:t>
      </w:r>
      <w:r w:rsidRPr="00954404">
        <w:rPr>
          <w:rFonts w:cs="Times New Roman"/>
          <w:szCs w:val="24"/>
          <w:lang w:val="fr-CA"/>
        </w:rPr>
        <w:t xml:space="preserve">Alberta ne sollicite pas la radiation de </w:t>
      </w:r>
      <w:r w:rsidRPr="00954404">
        <w:rPr>
          <w:rFonts w:cs="Times New Roman"/>
          <w:szCs w:val="24"/>
          <w:lang w:val="fr-CA"/>
        </w:rPr>
        <w:lastRenderedPageBreak/>
        <w:t>cette dernière demande, mais prétend que le groupe n</w:t>
      </w:r>
      <w:r>
        <w:rPr>
          <w:rFonts w:cs="Times New Roman"/>
          <w:szCs w:val="24"/>
          <w:lang w:val="fr-CA"/>
        </w:rPr>
        <w:t>’</w:t>
      </w:r>
      <w:r w:rsidRPr="00954404">
        <w:rPr>
          <w:rFonts w:cs="Times New Roman"/>
          <w:szCs w:val="24"/>
          <w:lang w:val="fr-CA"/>
        </w:rPr>
        <w:t>est pas justifié de présenter cette demande dans le cadre d</w:t>
      </w:r>
      <w:r>
        <w:rPr>
          <w:rFonts w:cs="Times New Roman"/>
          <w:szCs w:val="24"/>
          <w:lang w:val="fr-CA"/>
        </w:rPr>
        <w:t>’</w:t>
      </w:r>
      <w:r w:rsidRPr="00954404">
        <w:rPr>
          <w:rFonts w:cs="Times New Roman"/>
          <w:szCs w:val="24"/>
          <w:lang w:val="fr-CA"/>
        </w:rPr>
        <w:t xml:space="preserve">un recours collectif. </w:t>
      </w:r>
    </w:p>
    <w:p w:rsidR="00466E7D" w:rsidRPr="00954404" w:rsidRDefault="00466E7D" w:rsidP="00466E7D">
      <w:pPr>
        <w:pStyle w:val="ParaNoNdepar-AltN"/>
        <w:rPr>
          <w:rFonts w:cs="Times New Roman"/>
          <w:b/>
          <w:szCs w:val="24"/>
          <w:lang w:val="fr-CA"/>
        </w:rPr>
      </w:pPr>
      <w:r w:rsidRPr="00954404">
        <w:rPr>
          <w:rFonts w:cs="Times New Roman"/>
          <w:szCs w:val="24"/>
          <w:lang w:val="fr-CA"/>
        </w:rPr>
        <w:t>À l</w:t>
      </w:r>
      <w:r>
        <w:rPr>
          <w:rFonts w:cs="Times New Roman"/>
          <w:szCs w:val="24"/>
          <w:lang w:val="fr-CA"/>
        </w:rPr>
        <w:t>’</w:t>
      </w:r>
      <w:r w:rsidRPr="00954404">
        <w:rPr>
          <w:rFonts w:cs="Times New Roman"/>
          <w:szCs w:val="24"/>
          <w:lang w:val="fr-CA"/>
        </w:rPr>
        <w:t>étape de l</w:t>
      </w:r>
      <w:r>
        <w:rPr>
          <w:rFonts w:cs="Times New Roman"/>
          <w:szCs w:val="24"/>
          <w:lang w:val="fr-CA"/>
        </w:rPr>
        <w:t>’</w:t>
      </w:r>
      <w:r w:rsidRPr="00954404">
        <w:rPr>
          <w:rFonts w:cs="Times New Roman"/>
          <w:szCs w:val="24"/>
          <w:lang w:val="fr-CA"/>
        </w:rPr>
        <w:t>autorisation du recours collectif, la province de l</w:t>
      </w:r>
      <w:r>
        <w:rPr>
          <w:rFonts w:cs="Times New Roman"/>
          <w:szCs w:val="24"/>
          <w:lang w:val="fr-CA"/>
        </w:rPr>
        <w:t>’</w:t>
      </w:r>
      <w:r w:rsidRPr="00954404">
        <w:rPr>
          <w:rFonts w:cs="Times New Roman"/>
          <w:szCs w:val="24"/>
          <w:lang w:val="fr-CA"/>
        </w:rPr>
        <w:t>Alberta a contesté les allégations d</w:t>
      </w:r>
      <w:r>
        <w:rPr>
          <w:rFonts w:cs="Times New Roman"/>
          <w:szCs w:val="24"/>
          <w:lang w:val="fr-CA"/>
        </w:rPr>
        <w:t>’</w:t>
      </w:r>
      <w:r w:rsidRPr="00954404">
        <w:rPr>
          <w:rFonts w:cs="Times New Roman"/>
          <w:szCs w:val="24"/>
          <w:lang w:val="fr-CA"/>
        </w:rPr>
        <w:t>obligation fiduciaire, de négligence et de mauvaise foi dans l</w:t>
      </w:r>
      <w:r>
        <w:rPr>
          <w:rFonts w:cs="Times New Roman"/>
          <w:szCs w:val="24"/>
          <w:lang w:val="fr-CA"/>
        </w:rPr>
        <w:t>’</w:t>
      </w:r>
      <w:r w:rsidRPr="00954404">
        <w:rPr>
          <w:rFonts w:cs="Times New Roman"/>
          <w:szCs w:val="24"/>
          <w:lang w:val="fr-CA"/>
        </w:rPr>
        <w:t>exercice d</w:t>
      </w:r>
      <w:r>
        <w:rPr>
          <w:rFonts w:cs="Times New Roman"/>
          <w:szCs w:val="24"/>
          <w:lang w:val="fr-CA"/>
        </w:rPr>
        <w:t>’</w:t>
      </w:r>
      <w:r w:rsidRPr="00954404">
        <w:rPr>
          <w:rFonts w:cs="Times New Roman"/>
          <w:szCs w:val="24"/>
          <w:lang w:val="fr-CA"/>
        </w:rPr>
        <w:t>un pouvoir discrétionnaire.  La juge saisie de la demande d</w:t>
      </w:r>
      <w:r>
        <w:rPr>
          <w:rFonts w:cs="Times New Roman"/>
          <w:szCs w:val="24"/>
          <w:lang w:val="fr-CA"/>
        </w:rPr>
        <w:t>’</w:t>
      </w:r>
      <w:r w:rsidRPr="00954404">
        <w:rPr>
          <w:rFonts w:cs="Times New Roman"/>
          <w:szCs w:val="24"/>
          <w:lang w:val="fr-CA"/>
        </w:rPr>
        <w:t>autorisation du recours a radié l</w:t>
      </w:r>
      <w:r>
        <w:rPr>
          <w:rFonts w:cs="Times New Roman"/>
          <w:szCs w:val="24"/>
          <w:lang w:val="fr-CA"/>
        </w:rPr>
        <w:t>’</w:t>
      </w:r>
      <w:r w:rsidRPr="00954404">
        <w:rPr>
          <w:rFonts w:cs="Times New Roman"/>
          <w:szCs w:val="24"/>
          <w:lang w:val="fr-CA"/>
        </w:rPr>
        <w:t>allégation relative au manquement à l</w:t>
      </w:r>
      <w:r>
        <w:rPr>
          <w:rFonts w:cs="Times New Roman"/>
          <w:szCs w:val="24"/>
          <w:lang w:val="fr-CA"/>
        </w:rPr>
        <w:t>’</w:t>
      </w:r>
      <w:r w:rsidRPr="00954404">
        <w:rPr>
          <w:rFonts w:cs="Times New Roman"/>
          <w:szCs w:val="24"/>
          <w:lang w:val="fr-CA"/>
        </w:rPr>
        <w:t>obligation fiduciaire, et a partiellement limité l</w:t>
      </w:r>
      <w:r>
        <w:rPr>
          <w:rFonts w:cs="Times New Roman"/>
          <w:szCs w:val="24"/>
          <w:lang w:val="fr-CA"/>
        </w:rPr>
        <w:t>’</w:t>
      </w:r>
      <w:r w:rsidRPr="00954404">
        <w:rPr>
          <w:rFonts w:cs="Times New Roman"/>
          <w:szCs w:val="24"/>
          <w:lang w:val="fr-CA"/>
        </w:rPr>
        <w:t>application de l</w:t>
      </w:r>
      <w:r>
        <w:rPr>
          <w:rFonts w:cs="Times New Roman"/>
          <w:szCs w:val="24"/>
          <w:lang w:val="fr-CA"/>
        </w:rPr>
        <w:t>’</w:t>
      </w:r>
      <w:r w:rsidRPr="00954404">
        <w:rPr>
          <w:rFonts w:cs="Times New Roman"/>
          <w:szCs w:val="24"/>
          <w:lang w:val="fr-CA"/>
        </w:rPr>
        <w:t>obligation de diligence procédant du droit de la négligence (2008 ABQB 490, 94 Alta. L.R. (4th) 10).  La Cour d</w:t>
      </w:r>
      <w:r>
        <w:rPr>
          <w:rFonts w:cs="Times New Roman"/>
          <w:szCs w:val="24"/>
          <w:lang w:val="fr-CA"/>
        </w:rPr>
        <w:t>’</w:t>
      </w:r>
      <w:r w:rsidRPr="00954404">
        <w:rPr>
          <w:rFonts w:cs="Times New Roman"/>
          <w:szCs w:val="24"/>
          <w:lang w:val="fr-CA"/>
        </w:rPr>
        <w:t>appel a confirmé le droit du groupe de demandeurs d</w:t>
      </w:r>
      <w:r>
        <w:rPr>
          <w:rFonts w:cs="Times New Roman"/>
          <w:szCs w:val="24"/>
          <w:lang w:val="fr-CA"/>
        </w:rPr>
        <w:t>’</w:t>
      </w:r>
      <w:r w:rsidRPr="00954404">
        <w:rPr>
          <w:rFonts w:cs="Times New Roman"/>
          <w:szCs w:val="24"/>
          <w:lang w:val="fr-CA"/>
        </w:rPr>
        <w:t>invoquer les trois causes d</w:t>
      </w:r>
      <w:r>
        <w:rPr>
          <w:rFonts w:cs="Times New Roman"/>
          <w:szCs w:val="24"/>
          <w:lang w:val="fr-CA"/>
        </w:rPr>
        <w:t>’</w:t>
      </w:r>
      <w:r w:rsidRPr="00954404">
        <w:rPr>
          <w:rFonts w:cs="Times New Roman"/>
          <w:szCs w:val="24"/>
          <w:lang w:val="fr-CA"/>
        </w:rPr>
        <w:t>action (2009 ABCA 403, 16 Alta. L.R. (5th) 1).  La Couronne du chef de l</w:t>
      </w:r>
      <w:r>
        <w:rPr>
          <w:rFonts w:cs="Times New Roman"/>
          <w:szCs w:val="24"/>
          <w:lang w:val="fr-CA"/>
        </w:rPr>
        <w:t>’</w:t>
      </w:r>
      <w:r w:rsidRPr="00954404">
        <w:rPr>
          <w:rFonts w:cs="Times New Roman"/>
          <w:szCs w:val="24"/>
          <w:lang w:val="fr-CA"/>
        </w:rPr>
        <w:t>Alberta forme maintenant un appel devant notre Cour et prétend que toutes les allégations devraient être radiées et que l</w:t>
      </w:r>
      <w:r>
        <w:rPr>
          <w:rFonts w:cs="Times New Roman"/>
          <w:szCs w:val="24"/>
          <w:lang w:val="fr-CA"/>
        </w:rPr>
        <w:t>’</w:t>
      </w:r>
      <w:r w:rsidRPr="00954404">
        <w:rPr>
          <w:rFonts w:cs="Times New Roman"/>
          <w:szCs w:val="24"/>
          <w:lang w:val="fr-CA"/>
        </w:rPr>
        <w:t>autorisation accordée devrait être annulée.</w:t>
      </w:r>
      <w:r w:rsidRPr="00954404">
        <w:rPr>
          <w:rFonts w:cs="Times New Roman"/>
          <w:b/>
          <w:szCs w:val="24"/>
          <w:lang w:val="fr-CA"/>
        </w:rPr>
        <w:t xml:space="preserve"> </w:t>
      </w:r>
    </w:p>
    <w:p w:rsidR="00466E7D" w:rsidRPr="00954404" w:rsidRDefault="00466E7D" w:rsidP="00466E7D">
      <w:pPr>
        <w:pStyle w:val="ParaNoNdepar-AltN"/>
        <w:rPr>
          <w:rFonts w:cs="Times New Roman"/>
          <w:szCs w:val="24"/>
          <w:lang w:val="fr-CA"/>
        </w:rPr>
      </w:pPr>
      <w:r w:rsidRPr="00954404">
        <w:rPr>
          <w:rFonts w:cs="Times New Roman"/>
          <w:szCs w:val="24"/>
          <w:lang w:val="fr-CA"/>
        </w:rPr>
        <w:t>La présente décision ne tranche pas le bien</w:t>
      </w:r>
      <w:r>
        <w:rPr>
          <w:rFonts w:cs="Times New Roman"/>
          <w:szCs w:val="24"/>
          <w:lang w:val="fr-CA"/>
        </w:rPr>
        <w:noBreakHyphen/>
      </w:r>
      <w:r w:rsidRPr="00954404">
        <w:rPr>
          <w:rFonts w:cs="Times New Roman"/>
          <w:szCs w:val="24"/>
          <w:lang w:val="fr-CA"/>
        </w:rPr>
        <w:t>fondé de l</w:t>
      </w:r>
      <w:r>
        <w:rPr>
          <w:rFonts w:cs="Times New Roman"/>
          <w:szCs w:val="24"/>
          <w:lang w:val="fr-CA"/>
        </w:rPr>
        <w:t>’</w:t>
      </w:r>
      <w:r w:rsidRPr="00954404">
        <w:rPr>
          <w:rFonts w:cs="Times New Roman"/>
          <w:szCs w:val="24"/>
          <w:lang w:val="fr-CA"/>
        </w:rPr>
        <w:t>action mais examine le caractère justifiable en droit des causes d</w:t>
      </w:r>
      <w:r>
        <w:rPr>
          <w:rFonts w:cs="Times New Roman"/>
          <w:szCs w:val="24"/>
          <w:lang w:val="fr-CA"/>
        </w:rPr>
        <w:t>’</w:t>
      </w:r>
      <w:r w:rsidRPr="00954404">
        <w:rPr>
          <w:rFonts w:cs="Times New Roman"/>
          <w:szCs w:val="24"/>
          <w:lang w:val="fr-CA"/>
        </w:rPr>
        <w:t>action invoquées.  La question est celle de savoir si les actes de procédure, à supposer que les faits invoqués soient vrais, révèlent une cause d</w:t>
      </w:r>
      <w:r>
        <w:rPr>
          <w:rFonts w:cs="Times New Roman"/>
          <w:szCs w:val="24"/>
          <w:lang w:val="fr-CA"/>
        </w:rPr>
        <w:t>’</w:t>
      </w:r>
      <w:r w:rsidRPr="00954404">
        <w:rPr>
          <w:rFonts w:cs="Times New Roman"/>
          <w:szCs w:val="24"/>
          <w:lang w:val="fr-CA"/>
        </w:rPr>
        <w:t>action défendable.  S</w:t>
      </w:r>
      <w:r>
        <w:rPr>
          <w:rFonts w:cs="Times New Roman"/>
          <w:szCs w:val="24"/>
          <w:lang w:val="fr-CA"/>
        </w:rPr>
        <w:t>’</w:t>
      </w:r>
      <w:r w:rsidRPr="00954404">
        <w:rPr>
          <w:rFonts w:cs="Times New Roman"/>
          <w:szCs w:val="24"/>
          <w:lang w:val="fr-CA"/>
        </w:rPr>
        <w:t>il est évident et manifeste que la demande ne peut être accueillie, elle devrait être radiée.</w:t>
      </w:r>
    </w:p>
    <w:p w:rsidR="00466E7D" w:rsidRPr="00954404" w:rsidRDefault="00466E7D" w:rsidP="00466E7D">
      <w:pPr>
        <w:pStyle w:val="ParaNoNdepar-AltN"/>
        <w:rPr>
          <w:rFonts w:cs="Times New Roman"/>
          <w:szCs w:val="24"/>
          <w:lang w:val="fr-CA"/>
        </w:rPr>
      </w:pPr>
      <w:r w:rsidRPr="00954404">
        <w:rPr>
          <w:rFonts w:cs="Times New Roman"/>
          <w:szCs w:val="24"/>
          <w:lang w:val="fr-CA"/>
        </w:rPr>
        <w:t>Je conclus que les allégations relatives à l</w:t>
      </w:r>
      <w:r>
        <w:rPr>
          <w:rFonts w:cs="Times New Roman"/>
          <w:szCs w:val="24"/>
          <w:lang w:val="fr-CA"/>
        </w:rPr>
        <w:t>’</w:t>
      </w:r>
      <w:r w:rsidRPr="00954404">
        <w:rPr>
          <w:rFonts w:cs="Times New Roman"/>
          <w:szCs w:val="24"/>
          <w:lang w:val="fr-CA"/>
        </w:rPr>
        <w:t>obligation fiduciaire, à la négligence et à la mauvaise foi dans l</w:t>
      </w:r>
      <w:r>
        <w:rPr>
          <w:rFonts w:cs="Times New Roman"/>
          <w:szCs w:val="24"/>
          <w:lang w:val="fr-CA"/>
        </w:rPr>
        <w:t>’</w:t>
      </w:r>
      <w:r w:rsidRPr="00954404">
        <w:rPr>
          <w:rFonts w:cs="Times New Roman"/>
          <w:szCs w:val="24"/>
          <w:lang w:val="fr-CA"/>
        </w:rPr>
        <w:t>exercice d</w:t>
      </w:r>
      <w:r>
        <w:rPr>
          <w:rFonts w:cs="Times New Roman"/>
          <w:szCs w:val="24"/>
          <w:lang w:val="fr-CA"/>
        </w:rPr>
        <w:t>’</w:t>
      </w:r>
      <w:r w:rsidRPr="00954404">
        <w:rPr>
          <w:rFonts w:cs="Times New Roman"/>
          <w:szCs w:val="24"/>
          <w:lang w:val="fr-CA"/>
        </w:rPr>
        <w:t>un pouvoir discrétionnaire ne révèlent aucune cause d</w:t>
      </w:r>
      <w:r>
        <w:rPr>
          <w:rFonts w:cs="Times New Roman"/>
          <w:szCs w:val="24"/>
          <w:lang w:val="fr-CA"/>
        </w:rPr>
        <w:t>’</w:t>
      </w:r>
      <w:r w:rsidRPr="00954404">
        <w:rPr>
          <w:rFonts w:cs="Times New Roman"/>
          <w:szCs w:val="24"/>
          <w:lang w:val="fr-CA"/>
        </w:rPr>
        <w:t xml:space="preserve">action et devraient être radiées en entier, mais que </w:t>
      </w:r>
      <w:r w:rsidRPr="00954404">
        <w:rPr>
          <w:rFonts w:cs="Times New Roman"/>
          <w:szCs w:val="24"/>
          <w:lang w:val="fr-CA"/>
        </w:rPr>
        <w:lastRenderedPageBreak/>
        <w:t>l</w:t>
      </w:r>
      <w:r>
        <w:rPr>
          <w:rFonts w:cs="Times New Roman"/>
          <w:szCs w:val="24"/>
          <w:lang w:val="fr-CA"/>
        </w:rPr>
        <w:t>’</w:t>
      </w:r>
      <w:r w:rsidRPr="00954404">
        <w:rPr>
          <w:rFonts w:cs="Times New Roman"/>
          <w:szCs w:val="24"/>
          <w:lang w:val="fr-CA"/>
        </w:rPr>
        <w:t>allégation d</w:t>
      </w:r>
      <w:r>
        <w:rPr>
          <w:rFonts w:cs="Times New Roman"/>
          <w:szCs w:val="24"/>
          <w:lang w:val="fr-CA"/>
        </w:rPr>
        <w:t>’</w:t>
      </w:r>
      <w:r w:rsidRPr="00954404">
        <w:rPr>
          <w:rFonts w:cs="Times New Roman"/>
          <w:szCs w:val="24"/>
          <w:lang w:val="fr-CA"/>
        </w:rPr>
        <w:t>enrichissement injustifié devrait subsister.  Ainsi, l</w:t>
      </w:r>
      <w:r>
        <w:rPr>
          <w:rFonts w:cs="Times New Roman"/>
          <w:szCs w:val="24"/>
          <w:lang w:val="fr-CA"/>
        </w:rPr>
        <w:t>’</w:t>
      </w:r>
      <w:r w:rsidRPr="00954404">
        <w:rPr>
          <w:rFonts w:cs="Times New Roman"/>
          <w:szCs w:val="24"/>
          <w:lang w:val="fr-CA"/>
        </w:rPr>
        <w:t>autorisation du recours collectif est confirmée et la réclamation fondée sur l</w:t>
      </w:r>
      <w:r>
        <w:rPr>
          <w:rFonts w:cs="Times New Roman"/>
          <w:szCs w:val="24"/>
          <w:lang w:val="fr-CA"/>
        </w:rPr>
        <w:t>’</w:t>
      </w:r>
      <w:r w:rsidRPr="00954404">
        <w:rPr>
          <w:rFonts w:cs="Times New Roman"/>
          <w:szCs w:val="24"/>
          <w:lang w:val="fr-CA"/>
        </w:rPr>
        <w:t xml:space="preserve">enrichissement injustifié peut être instruite conjointement avec la demande relative à la discrimination fondée sur le </w:t>
      </w:r>
      <w:r>
        <w:rPr>
          <w:rFonts w:cs="Times New Roman"/>
          <w:szCs w:val="24"/>
          <w:lang w:val="fr-CA"/>
        </w:rPr>
        <w:t>par. </w:t>
      </w:r>
      <w:r w:rsidRPr="00954404">
        <w:rPr>
          <w:rFonts w:cs="Times New Roman"/>
          <w:szCs w:val="24"/>
          <w:lang w:val="fr-CA"/>
        </w:rPr>
        <w:t>15(1) de la</w:t>
      </w:r>
      <w:r w:rsidRPr="00954404">
        <w:rPr>
          <w:rFonts w:cs="Times New Roman"/>
          <w:i/>
          <w:szCs w:val="24"/>
          <w:lang w:val="fr-CA"/>
        </w:rPr>
        <w:t xml:space="preserve"> Charte</w:t>
      </w:r>
      <w:r w:rsidRPr="00954404">
        <w:rPr>
          <w:rFonts w:cs="Times New Roman"/>
          <w:szCs w:val="24"/>
          <w:lang w:val="fr-CA"/>
        </w:rPr>
        <w:t xml:space="preserve">. </w:t>
      </w:r>
    </w:p>
    <w:p w:rsidR="00466E7D" w:rsidRPr="00954404" w:rsidRDefault="00466E7D" w:rsidP="00466E7D">
      <w:pPr>
        <w:pStyle w:val="TitleTitre-AltT"/>
        <w:keepNext/>
        <w:numPr>
          <w:ilvl w:val="0"/>
          <w:numId w:val="24"/>
        </w:numPr>
        <w:tabs>
          <w:tab w:val="clear" w:pos="360"/>
        </w:tabs>
        <w:spacing w:after="720"/>
        <w:ind w:left="450" w:hanging="450"/>
        <w:rPr>
          <w:rFonts w:cs="Times New Roman"/>
          <w:szCs w:val="24"/>
          <w:u w:val="single"/>
          <w:lang w:val="fr-CA"/>
        </w:rPr>
      </w:pPr>
      <w:r w:rsidRPr="00954404">
        <w:rPr>
          <w:rFonts w:cs="Times New Roman"/>
          <w:szCs w:val="24"/>
          <w:u w:val="single"/>
          <w:lang w:val="fr-CA"/>
        </w:rPr>
        <w:t>Contexte</w:t>
      </w:r>
    </w:p>
    <w:p w:rsidR="00466E7D" w:rsidRPr="00954404" w:rsidRDefault="00466E7D" w:rsidP="00466E7D">
      <w:pPr>
        <w:pStyle w:val="ParaNoNdepar-AltN"/>
        <w:rPr>
          <w:rFonts w:cs="Times New Roman"/>
          <w:szCs w:val="24"/>
          <w:lang w:val="fr-CA"/>
        </w:rPr>
      </w:pPr>
      <w:r w:rsidRPr="00954404">
        <w:rPr>
          <w:rFonts w:cs="Times New Roman"/>
          <w:szCs w:val="24"/>
          <w:lang w:val="fr-CA"/>
        </w:rPr>
        <w:t>Puisque la présente action en est à l</w:t>
      </w:r>
      <w:r>
        <w:rPr>
          <w:rFonts w:cs="Times New Roman"/>
          <w:szCs w:val="24"/>
          <w:lang w:val="fr-CA"/>
        </w:rPr>
        <w:t>’</w:t>
      </w:r>
      <w:r w:rsidRPr="00954404">
        <w:rPr>
          <w:rFonts w:cs="Times New Roman"/>
          <w:szCs w:val="24"/>
          <w:lang w:val="fr-CA"/>
        </w:rPr>
        <w:t>étape préliminaire et que, pour les besoins du présent pourvoi, les faits invoqués sont tenus pour avérés, il est inutile d</w:t>
      </w:r>
      <w:r>
        <w:rPr>
          <w:rFonts w:cs="Times New Roman"/>
          <w:szCs w:val="24"/>
          <w:lang w:val="fr-CA"/>
        </w:rPr>
        <w:t>’</w:t>
      </w:r>
      <w:r w:rsidRPr="00954404">
        <w:rPr>
          <w:rFonts w:cs="Times New Roman"/>
          <w:szCs w:val="24"/>
          <w:lang w:val="fr-CA"/>
        </w:rPr>
        <w:t>examiner exhaustivement le contexte factuel et législatif.  Un bref aperçu est néanmoins opportun pour comprendre le contexte des demandes.</w:t>
      </w:r>
    </w:p>
    <w:p w:rsidR="00466E7D" w:rsidRPr="00954404" w:rsidRDefault="00466E7D" w:rsidP="00466E7D">
      <w:pPr>
        <w:pStyle w:val="ParaNoNdepar-AltN"/>
        <w:rPr>
          <w:rFonts w:cs="Times New Roman"/>
          <w:szCs w:val="24"/>
          <w:lang w:val="fr-CA"/>
        </w:rPr>
      </w:pPr>
      <w:r w:rsidRPr="00954404">
        <w:rPr>
          <w:rFonts w:cs="Times New Roman"/>
          <w:szCs w:val="24"/>
          <w:lang w:val="fr-CA"/>
        </w:rPr>
        <w:t>Lorsque cette action a été intentée, la province de l</w:t>
      </w:r>
      <w:r>
        <w:rPr>
          <w:rFonts w:cs="Times New Roman"/>
          <w:szCs w:val="24"/>
          <w:lang w:val="fr-CA"/>
        </w:rPr>
        <w:t>’</w:t>
      </w:r>
      <w:r w:rsidRPr="00954404">
        <w:rPr>
          <w:rFonts w:cs="Times New Roman"/>
          <w:szCs w:val="24"/>
          <w:lang w:val="fr-CA"/>
        </w:rPr>
        <w:t>Alberta et neuf autorités régionales de la santé (« ARS ») administraient le régime de soins de santé de l</w:t>
      </w:r>
      <w:r>
        <w:rPr>
          <w:rFonts w:cs="Times New Roman"/>
          <w:szCs w:val="24"/>
          <w:lang w:val="fr-CA"/>
        </w:rPr>
        <w:t>’</w:t>
      </w:r>
      <w:r w:rsidRPr="00954404">
        <w:rPr>
          <w:rFonts w:cs="Times New Roman"/>
          <w:szCs w:val="24"/>
          <w:lang w:val="fr-CA"/>
        </w:rPr>
        <w:t xml:space="preserve">Alberta et en assuraient la mise en œuvre en application de certaines lois et règlements interdépendants, dont la </w:t>
      </w:r>
      <w:r w:rsidRPr="00954404">
        <w:rPr>
          <w:rFonts w:cs="Times New Roman"/>
          <w:i/>
          <w:szCs w:val="24"/>
          <w:lang w:val="fr-CA"/>
        </w:rPr>
        <w:t>Alberta Health Care Insurance Act</w:t>
      </w:r>
      <w:r w:rsidRPr="00954404">
        <w:rPr>
          <w:rFonts w:cs="Times New Roman"/>
          <w:szCs w:val="24"/>
          <w:lang w:val="fr-CA"/>
        </w:rPr>
        <w:t xml:space="preserve">, R.S.A. 2000, </w:t>
      </w:r>
      <w:r>
        <w:rPr>
          <w:rFonts w:cs="Times New Roman"/>
          <w:szCs w:val="24"/>
          <w:lang w:val="fr-CA"/>
        </w:rPr>
        <w:t>ch. </w:t>
      </w:r>
      <w:r w:rsidRPr="00954404">
        <w:rPr>
          <w:rFonts w:cs="Times New Roman"/>
          <w:szCs w:val="24"/>
          <w:lang w:val="fr-CA"/>
        </w:rPr>
        <w:t>A</w:t>
      </w:r>
      <w:r>
        <w:rPr>
          <w:rFonts w:cs="Times New Roman"/>
          <w:szCs w:val="24"/>
          <w:lang w:val="fr-CA"/>
        </w:rPr>
        <w:noBreakHyphen/>
      </w:r>
      <w:r w:rsidRPr="00954404">
        <w:rPr>
          <w:rFonts w:cs="Times New Roman"/>
          <w:szCs w:val="24"/>
          <w:lang w:val="fr-CA"/>
        </w:rPr>
        <w:t xml:space="preserve">20, la </w:t>
      </w:r>
      <w:r w:rsidRPr="00954404">
        <w:rPr>
          <w:rFonts w:cs="Times New Roman"/>
          <w:i/>
          <w:szCs w:val="24"/>
          <w:lang w:val="fr-CA"/>
        </w:rPr>
        <w:t>Nursing Homes Act</w:t>
      </w:r>
      <w:r w:rsidRPr="00954404">
        <w:rPr>
          <w:rFonts w:cs="Times New Roman"/>
          <w:szCs w:val="24"/>
          <w:lang w:val="fr-CA"/>
        </w:rPr>
        <w:t xml:space="preserve">, R.S.A. 2000, </w:t>
      </w:r>
      <w:r>
        <w:rPr>
          <w:rFonts w:cs="Times New Roman"/>
          <w:szCs w:val="24"/>
          <w:lang w:val="fr-CA"/>
        </w:rPr>
        <w:t>ch. </w:t>
      </w:r>
      <w:r w:rsidRPr="00954404">
        <w:rPr>
          <w:rFonts w:cs="Times New Roman"/>
          <w:szCs w:val="24"/>
          <w:lang w:val="fr-CA"/>
        </w:rPr>
        <w:t>N</w:t>
      </w:r>
      <w:r>
        <w:rPr>
          <w:rFonts w:cs="Times New Roman"/>
          <w:szCs w:val="24"/>
          <w:lang w:val="fr-CA"/>
        </w:rPr>
        <w:noBreakHyphen/>
      </w:r>
      <w:r w:rsidRPr="00954404">
        <w:rPr>
          <w:rFonts w:cs="Times New Roman"/>
          <w:szCs w:val="24"/>
          <w:lang w:val="fr-CA"/>
        </w:rPr>
        <w:t xml:space="preserve">7, et la </w:t>
      </w:r>
      <w:r w:rsidRPr="00954404">
        <w:rPr>
          <w:rFonts w:cs="Times New Roman"/>
          <w:i/>
          <w:szCs w:val="24"/>
          <w:lang w:val="fr-CA"/>
        </w:rPr>
        <w:t>Hospitals Act</w:t>
      </w:r>
      <w:r w:rsidRPr="00954404">
        <w:rPr>
          <w:rFonts w:cs="Times New Roman"/>
          <w:szCs w:val="24"/>
          <w:lang w:val="fr-CA"/>
        </w:rPr>
        <w:t xml:space="preserve">, R.S.A. 2000, </w:t>
      </w:r>
      <w:r>
        <w:rPr>
          <w:rFonts w:cs="Times New Roman"/>
          <w:szCs w:val="24"/>
          <w:lang w:val="fr-CA"/>
        </w:rPr>
        <w:t>ch. </w:t>
      </w:r>
      <w:r w:rsidRPr="00954404">
        <w:rPr>
          <w:rFonts w:cs="Times New Roman"/>
          <w:szCs w:val="24"/>
          <w:lang w:val="fr-CA"/>
        </w:rPr>
        <w:t>H</w:t>
      </w:r>
      <w:r>
        <w:rPr>
          <w:rFonts w:cs="Times New Roman"/>
          <w:szCs w:val="24"/>
          <w:lang w:val="fr-CA"/>
        </w:rPr>
        <w:noBreakHyphen/>
      </w:r>
      <w:r w:rsidRPr="00954404">
        <w:rPr>
          <w:rFonts w:cs="Times New Roman"/>
          <w:szCs w:val="24"/>
          <w:lang w:val="fr-CA"/>
        </w:rPr>
        <w:t>12.  Les ARS recevaient de la province du financement de base afin d</w:t>
      </w:r>
      <w:r>
        <w:rPr>
          <w:rFonts w:cs="Times New Roman"/>
          <w:szCs w:val="24"/>
          <w:lang w:val="fr-CA"/>
        </w:rPr>
        <w:t>’</w:t>
      </w:r>
      <w:r w:rsidRPr="00954404">
        <w:rPr>
          <w:rFonts w:cs="Times New Roman"/>
          <w:szCs w:val="24"/>
          <w:lang w:val="fr-CA"/>
        </w:rPr>
        <w:t>assurer des services de soins de santé, et il leur incombait de gérer la prestation de services de santé</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Regional Health Authorities Act</w:t>
      </w:r>
      <w:r w:rsidRPr="00954404">
        <w:rPr>
          <w:rFonts w:cs="Times New Roman"/>
          <w:szCs w:val="24"/>
          <w:lang w:val="fr-CA"/>
        </w:rPr>
        <w:t xml:space="preserve">, R.S.A. 2000, </w:t>
      </w:r>
      <w:r>
        <w:rPr>
          <w:rFonts w:cs="Times New Roman"/>
          <w:szCs w:val="24"/>
          <w:lang w:val="fr-CA"/>
        </w:rPr>
        <w:t>ch. </w:t>
      </w:r>
      <w:r w:rsidRPr="00954404">
        <w:rPr>
          <w:rFonts w:cs="Times New Roman"/>
          <w:szCs w:val="24"/>
          <w:lang w:val="fr-CA"/>
        </w:rPr>
        <w:t>R</w:t>
      </w:r>
      <w:r>
        <w:rPr>
          <w:rFonts w:cs="Times New Roman"/>
          <w:szCs w:val="24"/>
          <w:lang w:val="fr-CA"/>
        </w:rPr>
        <w:noBreakHyphen/>
      </w:r>
      <w:r w:rsidRPr="00954404">
        <w:rPr>
          <w:rFonts w:cs="Times New Roman"/>
          <w:szCs w:val="24"/>
          <w:lang w:val="fr-CA"/>
        </w:rPr>
        <w:t xml:space="preserve">10, </w:t>
      </w:r>
      <w:r>
        <w:rPr>
          <w:rFonts w:cs="Times New Roman"/>
          <w:szCs w:val="24"/>
          <w:lang w:val="fr-CA"/>
        </w:rPr>
        <w:t>art. </w:t>
      </w:r>
      <w:r w:rsidRPr="00954404">
        <w:rPr>
          <w:rFonts w:cs="Times New Roman"/>
          <w:szCs w:val="24"/>
          <w:lang w:val="fr-CA"/>
        </w:rPr>
        <w:t>5.  Alberta Health Services est le successeur des neuf anciennes ARS.  La présente action a été intentée contre les ARS et la Couronne du chef de l</w:t>
      </w:r>
      <w:r>
        <w:rPr>
          <w:rFonts w:cs="Times New Roman"/>
          <w:szCs w:val="24"/>
          <w:lang w:val="fr-CA"/>
        </w:rPr>
        <w:t>’</w:t>
      </w:r>
      <w:r w:rsidRPr="00954404">
        <w:rPr>
          <w:rFonts w:cs="Times New Roman"/>
          <w:szCs w:val="24"/>
          <w:lang w:val="fr-CA"/>
        </w:rPr>
        <w:t>Alberta, mais les ARS n</w:t>
      </w:r>
      <w:r>
        <w:rPr>
          <w:rFonts w:cs="Times New Roman"/>
          <w:szCs w:val="24"/>
          <w:lang w:val="fr-CA"/>
        </w:rPr>
        <w:t>’</w:t>
      </w:r>
      <w:r w:rsidRPr="00954404">
        <w:rPr>
          <w:rFonts w:cs="Times New Roman"/>
          <w:szCs w:val="24"/>
          <w:lang w:val="fr-CA"/>
        </w:rPr>
        <w:t>ont pas participé au présent pourvoi et font l</w:t>
      </w:r>
      <w:r>
        <w:rPr>
          <w:rFonts w:cs="Times New Roman"/>
          <w:szCs w:val="24"/>
          <w:lang w:val="fr-CA"/>
        </w:rPr>
        <w:t>’</w:t>
      </w:r>
      <w:r w:rsidRPr="00954404">
        <w:rPr>
          <w:rFonts w:cs="Times New Roman"/>
          <w:szCs w:val="24"/>
          <w:lang w:val="fr-CA"/>
        </w:rPr>
        <w:t>objet d</w:t>
      </w:r>
      <w:r>
        <w:rPr>
          <w:rFonts w:cs="Times New Roman"/>
          <w:szCs w:val="24"/>
          <w:lang w:val="fr-CA"/>
        </w:rPr>
        <w:t>’</w:t>
      </w:r>
      <w:r w:rsidRPr="00954404">
        <w:rPr>
          <w:rFonts w:cs="Times New Roman"/>
          <w:szCs w:val="24"/>
          <w:lang w:val="fr-CA"/>
        </w:rPr>
        <w:t xml:space="preserve">une action actuellement en instance.  </w:t>
      </w:r>
      <w:r w:rsidRPr="00954404">
        <w:rPr>
          <w:rFonts w:cs="Times New Roman"/>
          <w:szCs w:val="24"/>
          <w:lang w:val="fr-CA"/>
        </w:rPr>
        <w:lastRenderedPageBreak/>
        <w:t>La réparation sollicitée devant notre Cour vise uniquement la Couronne du chef de l</w:t>
      </w:r>
      <w:r>
        <w:rPr>
          <w:rFonts w:cs="Times New Roman"/>
          <w:szCs w:val="24"/>
          <w:lang w:val="fr-CA"/>
        </w:rPr>
        <w:t>’</w:t>
      </w:r>
      <w:r w:rsidRPr="00954404">
        <w:rPr>
          <w:rFonts w:cs="Times New Roman"/>
          <w:szCs w:val="24"/>
          <w:lang w:val="fr-CA"/>
        </w:rPr>
        <w:t>Alberta.</w:t>
      </w:r>
    </w:p>
    <w:p w:rsidR="00466E7D" w:rsidRPr="00954404" w:rsidRDefault="00466E7D" w:rsidP="00466E7D">
      <w:pPr>
        <w:pStyle w:val="ParaNoNdepar-AltN"/>
        <w:rPr>
          <w:rFonts w:cs="Times New Roman"/>
          <w:szCs w:val="24"/>
          <w:lang w:val="fr-CA"/>
        </w:rPr>
      </w:pPr>
      <w:r w:rsidRPr="00954404">
        <w:rPr>
          <w:rFonts w:cs="Times New Roman"/>
          <w:szCs w:val="24"/>
          <w:lang w:val="fr-CA"/>
        </w:rPr>
        <w:t xml:space="preserve">Selon la </w:t>
      </w:r>
      <w:r w:rsidRPr="00954404">
        <w:rPr>
          <w:rFonts w:cs="Times New Roman"/>
          <w:i/>
          <w:szCs w:val="24"/>
          <w:lang w:val="fr-CA"/>
        </w:rPr>
        <w:t>Loi canadienne sur la santé</w:t>
      </w:r>
      <w:r w:rsidRPr="00954404">
        <w:rPr>
          <w:rFonts w:cs="Times New Roman"/>
          <w:szCs w:val="24"/>
          <w:lang w:val="fr-CA"/>
        </w:rPr>
        <w:t xml:space="preserve">, L.R.C. 1985, </w:t>
      </w:r>
      <w:r>
        <w:rPr>
          <w:rFonts w:cs="Times New Roman"/>
          <w:szCs w:val="24"/>
          <w:lang w:val="fr-CA"/>
        </w:rPr>
        <w:t>ch. </w:t>
      </w:r>
      <w:r w:rsidRPr="00954404">
        <w:rPr>
          <w:rFonts w:cs="Times New Roman"/>
          <w:szCs w:val="24"/>
          <w:lang w:val="fr-CA"/>
        </w:rPr>
        <w:t>C</w:t>
      </w:r>
      <w:r>
        <w:rPr>
          <w:rFonts w:cs="Times New Roman"/>
          <w:szCs w:val="24"/>
          <w:lang w:val="fr-CA"/>
        </w:rPr>
        <w:noBreakHyphen/>
      </w:r>
      <w:r w:rsidRPr="00954404">
        <w:rPr>
          <w:rFonts w:cs="Times New Roman"/>
          <w:szCs w:val="24"/>
          <w:lang w:val="fr-CA"/>
        </w:rPr>
        <w:t>6, une province n</w:t>
      </w:r>
      <w:r>
        <w:rPr>
          <w:rFonts w:cs="Times New Roman"/>
          <w:szCs w:val="24"/>
          <w:lang w:val="fr-CA"/>
        </w:rPr>
        <w:t>’</w:t>
      </w:r>
      <w:r w:rsidRPr="00954404">
        <w:rPr>
          <w:rFonts w:cs="Times New Roman"/>
          <w:szCs w:val="24"/>
          <w:lang w:val="fr-CA"/>
        </w:rPr>
        <w:t>a pas droit à la contribution du gouvernement fédéral pour des dépenses relatives aux soins de santé si elle permet l</w:t>
      </w:r>
      <w:r>
        <w:rPr>
          <w:rFonts w:cs="Times New Roman"/>
          <w:szCs w:val="24"/>
          <w:lang w:val="fr-CA"/>
        </w:rPr>
        <w:t>’</w:t>
      </w:r>
      <w:r w:rsidRPr="00954404">
        <w:rPr>
          <w:rFonts w:cs="Times New Roman"/>
          <w:szCs w:val="24"/>
          <w:lang w:val="fr-CA"/>
        </w:rPr>
        <w:t>imposition de frais modérateurs en vertu de son régime d</w:t>
      </w:r>
      <w:r>
        <w:rPr>
          <w:rFonts w:cs="Times New Roman"/>
          <w:szCs w:val="24"/>
          <w:lang w:val="fr-CA"/>
        </w:rPr>
        <w:t>’</w:t>
      </w:r>
      <w:r w:rsidRPr="00954404">
        <w:rPr>
          <w:rFonts w:cs="Times New Roman"/>
          <w:szCs w:val="24"/>
          <w:lang w:val="fr-CA"/>
        </w:rPr>
        <w:t>assurance</w:t>
      </w:r>
      <w:r>
        <w:rPr>
          <w:rFonts w:cs="Times New Roman"/>
          <w:szCs w:val="24"/>
          <w:lang w:val="fr-CA"/>
        </w:rPr>
        <w:noBreakHyphen/>
      </w:r>
      <w:r w:rsidRPr="00954404">
        <w:rPr>
          <w:rFonts w:cs="Times New Roman"/>
          <w:szCs w:val="24"/>
          <w:lang w:val="fr-CA"/>
        </w:rPr>
        <w:t>santé, sous réserve de certaines exceptions.  Par exemple, les frais modérateurs « imposés pour l</w:t>
      </w:r>
      <w:r>
        <w:rPr>
          <w:rFonts w:cs="Times New Roman"/>
          <w:szCs w:val="24"/>
          <w:lang w:val="fr-CA"/>
        </w:rPr>
        <w:t>’</w:t>
      </w:r>
      <w:r w:rsidRPr="00954404">
        <w:rPr>
          <w:rFonts w:cs="Times New Roman"/>
          <w:szCs w:val="24"/>
          <w:lang w:val="fr-CA"/>
        </w:rPr>
        <w:t>hébergement ou les repas fournis à une personne hospitalisée qui [. . .] souffre d</w:t>
      </w:r>
      <w:r>
        <w:rPr>
          <w:rFonts w:cs="Times New Roman"/>
          <w:szCs w:val="24"/>
          <w:lang w:val="fr-CA"/>
        </w:rPr>
        <w:t>’</w:t>
      </w:r>
      <w:r w:rsidRPr="00954404">
        <w:rPr>
          <w:rFonts w:cs="Times New Roman"/>
          <w:szCs w:val="24"/>
          <w:lang w:val="fr-CA"/>
        </w:rPr>
        <w:t>une maladie chronique et séjourne de façon plus ou moins permanente à l</w:t>
      </w:r>
      <w:r>
        <w:rPr>
          <w:rFonts w:cs="Times New Roman"/>
          <w:szCs w:val="24"/>
          <w:lang w:val="fr-CA"/>
        </w:rPr>
        <w:t>’</w:t>
      </w:r>
      <w:r w:rsidRPr="00954404">
        <w:rPr>
          <w:rFonts w:cs="Times New Roman"/>
          <w:szCs w:val="24"/>
          <w:lang w:val="fr-CA"/>
        </w:rPr>
        <w:t>hôpital ou dans une autre institution » sont autorisés</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Loi canadienne sur la santé</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19(2).  Le financement est accordé pour les soins de longue durée s</w:t>
      </w:r>
      <w:r>
        <w:rPr>
          <w:rFonts w:cs="Times New Roman"/>
          <w:szCs w:val="24"/>
          <w:lang w:val="fr-CA"/>
        </w:rPr>
        <w:t>’</w:t>
      </w:r>
      <w:r w:rsidRPr="00954404">
        <w:rPr>
          <w:rFonts w:cs="Times New Roman"/>
          <w:szCs w:val="24"/>
          <w:lang w:val="fr-CA"/>
        </w:rPr>
        <w:t>ils sont prodigués à titre de service hospitalier assuré</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Loi canadienne sur la santé</w:t>
      </w:r>
      <w:r w:rsidRPr="00954404">
        <w:rPr>
          <w:rFonts w:cs="Times New Roman"/>
          <w:szCs w:val="24"/>
          <w:lang w:val="fr-CA"/>
        </w:rPr>
        <w:t xml:space="preserve">, </w:t>
      </w:r>
      <w:r>
        <w:rPr>
          <w:rFonts w:cs="Times New Roman"/>
          <w:szCs w:val="24"/>
          <w:lang w:val="fr-CA"/>
        </w:rPr>
        <w:t>art. </w:t>
      </w:r>
      <w:r w:rsidRPr="00954404">
        <w:rPr>
          <w:rFonts w:cs="Times New Roman"/>
          <w:szCs w:val="24"/>
          <w:lang w:val="fr-CA"/>
        </w:rPr>
        <w:t>2</w:t>
      </w:r>
      <w:r w:rsidR="00801892">
        <w:rPr>
          <w:rFonts w:cs="Times New Roman"/>
          <w:szCs w:val="24"/>
          <w:lang w:val="fr-CA"/>
        </w:rPr>
        <w:t>.</w:t>
      </w:r>
    </w:p>
    <w:p w:rsidR="00466E7D" w:rsidRPr="00954404" w:rsidRDefault="00466E7D" w:rsidP="00466E7D">
      <w:pPr>
        <w:pStyle w:val="ParaNoNdepar-AltN"/>
        <w:rPr>
          <w:rFonts w:cs="Times New Roman"/>
          <w:szCs w:val="24"/>
          <w:lang w:val="fr-CA"/>
        </w:rPr>
      </w:pPr>
      <w:r w:rsidRPr="00954404">
        <w:rPr>
          <w:rFonts w:cs="Times New Roman"/>
          <w:szCs w:val="24"/>
          <w:lang w:val="fr-CA"/>
        </w:rPr>
        <w:t>En Alberta, la province doit payer pour [</w:t>
      </w:r>
      <w:r w:rsidRPr="00954404">
        <w:rPr>
          <w:rFonts w:cs="Times New Roman"/>
          <w:smallCaps/>
          <w:szCs w:val="24"/>
          <w:lang w:val="fr-CA"/>
        </w:rPr>
        <w:t>traduction</w:t>
      </w:r>
      <w:r w:rsidRPr="00954404">
        <w:rPr>
          <w:rFonts w:cs="Times New Roman"/>
          <w:szCs w:val="24"/>
          <w:lang w:val="fr-CA"/>
        </w:rPr>
        <w:t>] « les prestations à l</w:t>
      </w:r>
      <w:r>
        <w:rPr>
          <w:rFonts w:cs="Times New Roman"/>
          <w:szCs w:val="24"/>
          <w:lang w:val="fr-CA"/>
        </w:rPr>
        <w:t>’</w:t>
      </w:r>
      <w:r w:rsidRPr="00954404">
        <w:rPr>
          <w:rFonts w:cs="Times New Roman"/>
          <w:szCs w:val="24"/>
          <w:lang w:val="fr-CA"/>
        </w:rPr>
        <w:t>égard des services de soins de santé offerts aux résidents [de la province] », sauf disposition contraire d</w:t>
      </w:r>
      <w:r>
        <w:rPr>
          <w:rFonts w:cs="Times New Roman"/>
          <w:szCs w:val="24"/>
          <w:lang w:val="fr-CA"/>
        </w:rPr>
        <w:t>’</w:t>
      </w:r>
      <w:r w:rsidRPr="00954404">
        <w:rPr>
          <w:rFonts w:cs="Times New Roman"/>
          <w:szCs w:val="24"/>
          <w:lang w:val="fr-CA"/>
        </w:rPr>
        <w:t>une loi ou d</w:t>
      </w:r>
      <w:r>
        <w:rPr>
          <w:rFonts w:cs="Times New Roman"/>
          <w:szCs w:val="24"/>
          <w:lang w:val="fr-CA"/>
        </w:rPr>
        <w:t>’</w:t>
      </w:r>
      <w:r w:rsidRPr="00954404">
        <w:rPr>
          <w:rFonts w:cs="Times New Roman"/>
          <w:szCs w:val="24"/>
          <w:lang w:val="fr-CA"/>
        </w:rPr>
        <w:t>un règlement</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Alberta Health Care Insurance Act</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4(1).  En général, les personnes soignées dans des hôpitaux en Alberta n</w:t>
      </w:r>
      <w:r>
        <w:rPr>
          <w:rFonts w:cs="Times New Roman"/>
          <w:szCs w:val="24"/>
          <w:lang w:val="fr-CA"/>
        </w:rPr>
        <w:t>’</w:t>
      </w:r>
      <w:r w:rsidRPr="00954404">
        <w:rPr>
          <w:rFonts w:cs="Times New Roman"/>
          <w:szCs w:val="24"/>
          <w:lang w:val="fr-CA"/>
        </w:rPr>
        <w:t xml:space="preserve">ont pas à payer les services assurés en vertu de la </w:t>
      </w:r>
      <w:r w:rsidRPr="00954404">
        <w:rPr>
          <w:rFonts w:cs="Times New Roman"/>
          <w:i/>
          <w:szCs w:val="24"/>
          <w:lang w:val="fr-CA"/>
        </w:rPr>
        <w:t>Loi canadienne sur la santé</w:t>
      </w:r>
      <w:r w:rsidRPr="00954404">
        <w:rPr>
          <w:rFonts w:cs="Times New Roman"/>
          <w:szCs w:val="24"/>
          <w:lang w:val="fr-CA"/>
        </w:rPr>
        <w:t>.  Des frais modérateurs peuvent être imposés pour l</w:t>
      </w:r>
      <w:r>
        <w:rPr>
          <w:rFonts w:cs="Times New Roman"/>
          <w:szCs w:val="24"/>
          <w:lang w:val="fr-CA"/>
        </w:rPr>
        <w:t>’</w:t>
      </w:r>
      <w:r w:rsidRPr="00954404">
        <w:rPr>
          <w:rFonts w:cs="Times New Roman"/>
          <w:szCs w:val="24"/>
          <w:lang w:val="fr-CA"/>
        </w:rPr>
        <w:t>hébergement et les repas</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Hospitals Act</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38(1)</w:t>
      </w:r>
      <w:r>
        <w:rPr>
          <w:rFonts w:cs="Times New Roman"/>
          <w:szCs w:val="24"/>
          <w:lang w:val="fr-CA"/>
        </w:rPr>
        <w:t xml:space="preserve"> et </w:t>
      </w:r>
      <w:r w:rsidRPr="00954404">
        <w:rPr>
          <w:rFonts w:cs="Times New Roman"/>
          <w:szCs w:val="24"/>
          <w:lang w:val="fr-CA"/>
        </w:rPr>
        <w:t>43(</w:t>
      </w:r>
      <w:r w:rsidRPr="00794B24">
        <w:rPr>
          <w:rFonts w:cs="Times New Roman"/>
          <w:szCs w:val="24"/>
          <w:lang w:val="fr-CA"/>
        </w:rPr>
        <w:t>l</w:t>
      </w:r>
      <w:r w:rsidRPr="00954404">
        <w:rPr>
          <w:rFonts w:cs="Times New Roman"/>
          <w:szCs w:val="24"/>
          <w:lang w:val="fr-CA"/>
        </w:rPr>
        <w:t>)</w:t>
      </w:r>
      <w:r>
        <w:rPr>
          <w:rFonts w:cs="Times New Roman"/>
          <w:szCs w:val="24"/>
          <w:lang w:val="fr-CA"/>
        </w:rPr>
        <w:t>.</w:t>
      </w:r>
      <w:r w:rsidRPr="00954404">
        <w:rPr>
          <w:rFonts w:cs="Times New Roman"/>
          <w:szCs w:val="24"/>
          <w:lang w:val="fr-CA"/>
        </w:rPr>
        <w:t xml:space="preserve"> </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 xml:space="preserve">Les foyers de soins infirmiers, ou les ESLD, sont régis par la </w:t>
      </w:r>
      <w:r w:rsidRPr="00954404">
        <w:rPr>
          <w:rFonts w:cs="Times New Roman"/>
          <w:i/>
          <w:szCs w:val="24"/>
          <w:lang w:val="fr-CA"/>
        </w:rPr>
        <w:t>Nursing Homes Act</w:t>
      </w:r>
      <w:r w:rsidRPr="00954404">
        <w:rPr>
          <w:rFonts w:cs="Times New Roman"/>
          <w:szCs w:val="24"/>
          <w:lang w:val="fr-CA"/>
        </w:rPr>
        <w:t xml:space="preserve"> et reçoivent du financement tant du gouvernement de l</w:t>
      </w:r>
      <w:r>
        <w:rPr>
          <w:rFonts w:cs="Times New Roman"/>
          <w:szCs w:val="24"/>
          <w:lang w:val="fr-CA"/>
        </w:rPr>
        <w:t>’</w:t>
      </w:r>
      <w:r w:rsidRPr="00954404">
        <w:rPr>
          <w:rFonts w:cs="Times New Roman"/>
          <w:szCs w:val="24"/>
          <w:lang w:val="fr-CA"/>
        </w:rPr>
        <w:t>Alberta, par l</w:t>
      </w:r>
      <w:r>
        <w:rPr>
          <w:rFonts w:cs="Times New Roman"/>
          <w:szCs w:val="24"/>
          <w:lang w:val="fr-CA"/>
        </w:rPr>
        <w:t>’</w:t>
      </w:r>
      <w:r w:rsidRPr="00954404">
        <w:rPr>
          <w:rFonts w:cs="Times New Roman"/>
          <w:szCs w:val="24"/>
          <w:lang w:val="fr-CA"/>
        </w:rPr>
        <w:t>intermédiaire des ARS, que des pensionnaires.  Ces foyers — tenus par des exploitants privés ou les ARS et non par la province — peuvent imposer aux pensionnaires des frais d</w:t>
      </w:r>
      <w:r>
        <w:rPr>
          <w:rFonts w:cs="Times New Roman"/>
          <w:szCs w:val="24"/>
          <w:lang w:val="fr-CA"/>
        </w:rPr>
        <w:t>’</w:t>
      </w:r>
      <w:r w:rsidRPr="00954404">
        <w:rPr>
          <w:rFonts w:cs="Times New Roman"/>
          <w:szCs w:val="24"/>
          <w:lang w:val="fr-CA"/>
        </w:rPr>
        <w:t>hébergement pour le logement et les repas, sans dépasser le montant quotidien maximal prescrit par règlement</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Nursing Homes Act</w:t>
      </w:r>
      <w:r w:rsidRPr="00801892">
        <w:rPr>
          <w:rFonts w:cs="Times New Roman"/>
          <w:szCs w:val="24"/>
          <w:lang w:val="fr-CA"/>
        </w:rPr>
        <w:t>,</w:t>
      </w:r>
      <w:r w:rsidRPr="00954404">
        <w:rPr>
          <w:rFonts w:cs="Times New Roman"/>
          <w:i/>
          <w:szCs w:val="24"/>
          <w:lang w:val="fr-CA"/>
        </w:rPr>
        <w:t xml:space="preserve"> </w:t>
      </w:r>
      <w:r>
        <w:rPr>
          <w:rFonts w:cs="Times New Roman"/>
          <w:szCs w:val="24"/>
          <w:lang w:val="fr-CA"/>
        </w:rPr>
        <w:t>art. </w:t>
      </w:r>
      <w:r w:rsidRPr="00954404">
        <w:rPr>
          <w:rFonts w:cs="Times New Roman"/>
          <w:szCs w:val="24"/>
          <w:lang w:val="fr-CA"/>
        </w:rPr>
        <w:t xml:space="preserve">8 et 24; </w:t>
      </w:r>
      <w:r w:rsidRPr="00954404">
        <w:rPr>
          <w:rFonts w:cs="Times New Roman"/>
          <w:i/>
          <w:szCs w:val="24"/>
          <w:lang w:val="fr-CA"/>
        </w:rPr>
        <w:t>Nursing Home</w:t>
      </w:r>
      <w:r w:rsidR="00794B24">
        <w:rPr>
          <w:rFonts w:cs="Times New Roman"/>
          <w:i/>
          <w:szCs w:val="24"/>
          <w:lang w:val="fr-CA"/>
        </w:rPr>
        <w:t>s</w:t>
      </w:r>
      <w:r w:rsidRPr="00954404">
        <w:rPr>
          <w:rFonts w:cs="Times New Roman"/>
          <w:i/>
          <w:szCs w:val="24"/>
          <w:lang w:val="fr-CA"/>
        </w:rPr>
        <w:t xml:space="preserve"> Operation Regulation</w:t>
      </w:r>
      <w:r w:rsidRPr="00954404">
        <w:rPr>
          <w:rFonts w:cs="Times New Roman"/>
          <w:szCs w:val="24"/>
          <w:lang w:val="fr-CA"/>
        </w:rPr>
        <w:t xml:space="preserve">, Alta. Reg. 258/85, </w:t>
      </w:r>
      <w:r>
        <w:rPr>
          <w:rFonts w:cs="Times New Roman"/>
          <w:szCs w:val="24"/>
          <w:lang w:val="fr-CA"/>
        </w:rPr>
        <w:t>par. </w:t>
      </w:r>
      <w:r w:rsidRPr="00954404">
        <w:rPr>
          <w:rFonts w:cs="Times New Roman"/>
          <w:szCs w:val="24"/>
          <w:lang w:val="fr-CA"/>
        </w:rPr>
        <w:t xml:space="preserve">3(1).  Les </w:t>
      </w:r>
      <w:r w:rsidR="00794B24" w:rsidRPr="00954404">
        <w:rPr>
          <w:rFonts w:cs="Times New Roman"/>
          <w:szCs w:val="24"/>
          <w:lang w:val="fr-CA"/>
        </w:rPr>
        <w:t>[</w:t>
      </w:r>
      <w:r w:rsidR="00794B24" w:rsidRPr="00954404">
        <w:rPr>
          <w:rFonts w:cs="Times New Roman"/>
          <w:smallCaps/>
          <w:szCs w:val="24"/>
          <w:lang w:val="fr-CA"/>
        </w:rPr>
        <w:t>traduction</w:t>
      </w:r>
      <w:r w:rsidR="00794B24" w:rsidRPr="00954404">
        <w:rPr>
          <w:rFonts w:cs="Times New Roman"/>
          <w:szCs w:val="24"/>
          <w:lang w:val="fr-CA"/>
        </w:rPr>
        <w:t xml:space="preserve">] </w:t>
      </w:r>
      <w:r w:rsidRPr="00954404">
        <w:rPr>
          <w:rFonts w:cs="Times New Roman"/>
          <w:szCs w:val="24"/>
          <w:lang w:val="fr-CA"/>
        </w:rPr>
        <w:t>« frais d</w:t>
      </w:r>
      <w:r>
        <w:rPr>
          <w:rFonts w:cs="Times New Roman"/>
          <w:szCs w:val="24"/>
          <w:lang w:val="fr-CA"/>
        </w:rPr>
        <w:t>’</w:t>
      </w:r>
      <w:r w:rsidRPr="00954404">
        <w:rPr>
          <w:rFonts w:cs="Times New Roman"/>
          <w:szCs w:val="24"/>
          <w:lang w:val="fr-CA"/>
        </w:rPr>
        <w:t>hébergement » s</w:t>
      </w:r>
      <w:r>
        <w:rPr>
          <w:rFonts w:cs="Times New Roman"/>
          <w:szCs w:val="24"/>
          <w:lang w:val="fr-CA"/>
        </w:rPr>
        <w:t>’</w:t>
      </w:r>
      <w:r w:rsidRPr="00954404">
        <w:rPr>
          <w:rFonts w:cs="Times New Roman"/>
          <w:szCs w:val="24"/>
          <w:lang w:val="fr-CA"/>
        </w:rPr>
        <w:t>entendent des « frais relatifs aux soins de santé imposés aux pensionnaires pour l</w:t>
      </w:r>
      <w:r>
        <w:rPr>
          <w:rFonts w:cs="Times New Roman"/>
          <w:szCs w:val="24"/>
          <w:lang w:val="fr-CA"/>
        </w:rPr>
        <w:t>’</w:t>
      </w:r>
      <w:r w:rsidRPr="00954404">
        <w:rPr>
          <w:rFonts w:cs="Times New Roman"/>
          <w:szCs w:val="24"/>
          <w:lang w:val="fr-CA"/>
        </w:rPr>
        <w:t>hébergement et les repas offerts dans un foyer de soins infirmiers ou dans un [hôpital approuvé qui prodigue des soins infirmiers] »</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 xml:space="preserve">Nursing Homes Act, </w:t>
      </w:r>
      <w:r>
        <w:rPr>
          <w:rFonts w:cs="Times New Roman"/>
          <w:szCs w:val="24"/>
          <w:lang w:val="fr-CA"/>
        </w:rPr>
        <w:t>al. </w:t>
      </w:r>
      <w:r w:rsidRPr="00954404">
        <w:rPr>
          <w:rFonts w:cs="Times New Roman"/>
          <w:szCs w:val="24"/>
          <w:lang w:val="fr-CA"/>
        </w:rPr>
        <w:t>1</w:t>
      </w:r>
      <w:r w:rsidRPr="00801892">
        <w:rPr>
          <w:rFonts w:cs="Times New Roman"/>
          <w:szCs w:val="24"/>
          <w:lang w:val="fr-CA"/>
        </w:rPr>
        <w:t>a</w:t>
      </w:r>
      <w:r w:rsidRPr="00954404">
        <w:rPr>
          <w:rFonts w:cs="Times New Roman"/>
          <w:szCs w:val="24"/>
          <w:lang w:val="fr-CA"/>
        </w:rPr>
        <w:t xml:space="preserve">) et </w:t>
      </w:r>
      <w:r>
        <w:rPr>
          <w:rFonts w:cs="Times New Roman"/>
          <w:szCs w:val="24"/>
          <w:lang w:val="fr-CA"/>
        </w:rPr>
        <w:t>par. </w:t>
      </w:r>
      <w:r w:rsidRPr="00954404">
        <w:rPr>
          <w:rFonts w:cs="Times New Roman"/>
          <w:szCs w:val="24"/>
          <w:lang w:val="fr-CA"/>
        </w:rPr>
        <w:t>10(2).  Les frais relatifs aux « soins de base » relèvent de la province</w:t>
      </w:r>
      <w:r>
        <w:rPr>
          <w:rFonts w:cs="Times New Roman"/>
          <w:szCs w:val="24"/>
          <w:lang w:val="fr-CA"/>
        </w:rPr>
        <w:t> :</w:t>
      </w:r>
      <w:r w:rsidRPr="00954404">
        <w:rPr>
          <w:rFonts w:cs="Times New Roman"/>
          <w:szCs w:val="24"/>
          <w:lang w:val="fr-CA"/>
        </w:rPr>
        <w:t xml:space="preserve"> </w:t>
      </w:r>
      <w:r>
        <w:rPr>
          <w:rFonts w:cs="Times New Roman"/>
          <w:i/>
          <w:szCs w:val="24"/>
          <w:lang w:val="fr-CA"/>
        </w:rPr>
        <w:t xml:space="preserve">Alberta </w:t>
      </w:r>
      <w:r w:rsidRPr="00954404">
        <w:rPr>
          <w:rFonts w:cs="Times New Roman"/>
          <w:i/>
          <w:szCs w:val="24"/>
          <w:lang w:val="fr-CA"/>
        </w:rPr>
        <w:t>Health Care Insurance Act</w:t>
      </w:r>
      <w:r w:rsidRPr="00954404">
        <w:rPr>
          <w:rFonts w:cs="Times New Roman"/>
          <w:szCs w:val="24"/>
          <w:lang w:val="fr-CA"/>
        </w:rPr>
        <w:t xml:space="preserve">, </w:t>
      </w:r>
      <w:r>
        <w:rPr>
          <w:rFonts w:cs="Times New Roman"/>
          <w:szCs w:val="24"/>
          <w:lang w:val="fr-CA"/>
        </w:rPr>
        <w:t>art. </w:t>
      </w:r>
      <w:r w:rsidRPr="00954404">
        <w:rPr>
          <w:rFonts w:cs="Times New Roman"/>
          <w:szCs w:val="24"/>
          <w:lang w:val="fr-CA"/>
        </w:rPr>
        <w:t>3 et 4.</w:t>
      </w:r>
    </w:p>
    <w:p w:rsidR="00466E7D" w:rsidRPr="00954404" w:rsidRDefault="00466E7D" w:rsidP="00466E7D">
      <w:pPr>
        <w:pStyle w:val="ParaNoNdepar-AltN"/>
        <w:rPr>
          <w:rFonts w:cs="Times New Roman"/>
          <w:szCs w:val="24"/>
          <w:lang w:val="fr-CA"/>
        </w:rPr>
      </w:pPr>
      <w:r w:rsidRPr="00954404">
        <w:rPr>
          <w:rFonts w:cs="Times New Roman"/>
          <w:szCs w:val="24"/>
          <w:lang w:val="fr-CA"/>
        </w:rPr>
        <w:t>Les hôpitaux de soins prolongés, qui dispensent également des soins de longue durée aux patients qui souffrent d</w:t>
      </w:r>
      <w:r>
        <w:rPr>
          <w:rFonts w:cs="Times New Roman"/>
          <w:szCs w:val="24"/>
          <w:lang w:val="fr-CA"/>
        </w:rPr>
        <w:t>’</w:t>
      </w:r>
      <w:r w:rsidRPr="00954404">
        <w:rPr>
          <w:rFonts w:cs="Times New Roman"/>
          <w:szCs w:val="24"/>
          <w:lang w:val="fr-CA"/>
        </w:rPr>
        <w:t>une malade chronique, sont subventionnés et gérés de la même façon</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Hospitals Act</w:t>
      </w:r>
      <w:r w:rsidRPr="00954404">
        <w:rPr>
          <w:rFonts w:cs="Times New Roman"/>
          <w:szCs w:val="24"/>
          <w:lang w:val="fr-CA"/>
        </w:rPr>
        <w:t xml:space="preserve">, </w:t>
      </w:r>
      <w:r>
        <w:rPr>
          <w:rFonts w:cs="Times New Roman"/>
          <w:szCs w:val="24"/>
          <w:lang w:val="fr-CA"/>
        </w:rPr>
        <w:t>al. </w:t>
      </w:r>
      <w:r w:rsidRPr="00954404">
        <w:rPr>
          <w:rFonts w:cs="Times New Roman"/>
          <w:szCs w:val="24"/>
          <w:lang w:val="fr-CA"/>
        </w:rPr>
        <w:t>1</w:t>
      </w:r>
      <w:r w:rsidRPr="00801892">
        <w:rPr>
          <w:rFonts w:cs="Times New Roman"/>
          <w:szCs w:val="24"/>
          <w:lang w:val="fr-CA"/>
        </w:rPr>
        <w:t>c</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 xml:space="preserve">28(2) et </w:t>
      </w:r>
      <w:r>
        <w:rPr>
          <w:rFonts w:cs="Times New Roman"/>
          <w:szCs w:val="24"/>
          <w:lang w:val="fr-CA"/>
        </w:rPr>
        <w:t>art. </w:t>
      </w:r>
      <w:r w:rsidRPr="00954404">
        <w:rPr>
          <w:rFonts w:cs="Times New Roman"/>
          <w:szCs w:val="24"/>
          <w:lang w:val="fr-CA"/>
        </w:rPr>
        <w:t xml:space="preserve">37, et </w:t>
      </w:r>
      <w:r w:rsidRPr="00801892">
        <w:rPr>
          <w:rFonts w:cs="Times New Roman"/>
          <w:szCs w:val="24"/>
          <w:lang w:val="fr-CA"/>
        </w:rPr>
        <w:t>Ministerial Order</w:t>
      </w:r>
      <w:r w:rsidRPr="00954404">
        <w:rPr>
          <w:rFonts w:cs="Times New Roman"/>
          <w:i/>
          <w:szCs w:val="24"/>
          <w:lang w:val="fr-CA"/>
        </w:rPr>
        <w:t xml:space="preserve"> </w:t>
      </w:r>
      <w:r w:rsidR="00801892">
        <w:rPr>
          <w:rFonts w:cs="Times New Roman"/>
          <w:i/>
          <w:szCs w:val="24"/>
          <w:lang w:val="fr-CA"/>
        </w:rPr>
        <w:t>#</w:t>
      </w:r>
      <w:r w:rsidRPr="00954404">
        <w:rPr>
          <w:rFonts w:cs="Times New Roman"/>
          <w:szCs w:val="24"/>
          <w:lang w:val="fr-CA"/>
        </w:rPr>
        <w:t>1/2006.  Les frais d</w:t>
      </w:r>
      <w:r>
        <w:rPr>
          <w:rFonts w:cs="Times New Roman"/>
          <w:szCs w:val="24"/>
          <w:lang w:val="fr-CA"/>
        </w:rPr>
        <w:t>’</w:t>
      </w:r>
      <w:r w:rsidRPr="00954404">
        <w:rPr>
          <w:rFonts w:cs="Times New Roman"/>
          <w:szCs w:val="24"/>
          <w:lang w:val="fr-CA"/>
        </w:rPr>
        <w:t>hébergement payés par les pensionnaires des hôpitaux de soins prolongés sont régis par l</w:t>
      </w:r>
      <w:r>
        <w:rPr>
          <w:rFonts w:cs="Times New Roman"/>
          <w:szCs w:val="24"/>
          <w:lang w:val="fr-CA"/>
        </w:rPr>
        <w:t>’art. </w:t>
      </w:r>
      <w:r w:rsidRPr="00954404">
        <w:rPr>
          <w:rFonts w:cs="Times New Roman"/>
          <w:szCs w:val="24"/>
          <w:lang w:val="fr-CA"/>
        </w:rPr>
        <w:t xml:space="preserve">41 de la </w:t>
      </w:r>
      <w:r w:rsidRPr="00954404">
        <w:rPr>
          <w:rFonts w:cs="Times New Roman"/>
          <w:i/>
          <w:szCs w:val="24"/>
          <w:lang w:val="fr-CA"/>
        </w:rPr>
        <w:t>Hospitals Act</w:t>
      </w:r>
      <w:r w:rsidRPr="00954404">
        <w:rPr>
          <w:rFonts w:cs="Times New Roman"/>
          <w:szCs w:val="24"/>
          <w:lang w:val="fr-CA"/>
        </w:rPr>
        <w:t xml:space="preserve"> et par l</w:t>
      </w:r>
      <w:r>
        <w:rPr>
          <w:rFonts w:cs="Times New Roman"/>
          <w:szCs w:val="24"/>
          <w:lang w:val="fr-CA"/>
        </w:rPr>
        <w:t>’al. </w:t>
      </w:r>
      <w:r w:rsidRPr="00954404">
        <w:rPr>
          <w:rFonts w:cs="Times New Roman"/>
          <w:szCs w:val="24"/>
          <w:lang w:val="fr-CA"/>
        </w:rPr>
        <w:t>5(1)</w:t>
      </w:r>
      <w:r w:rsidRPr="00801892">
        <w:rPr>
          <w:rFonts w:cs="Times New Roman"/>
          <w:szCs w:val="24"/>
          <w:lang w:val="fr-CA"/>
        </w:rPr>
        <w:t>d</w:t>
      </w:r>
      <w:r w:rsidRPr="00954404">
        <w:rPr>
          <w:rFonts w:cs="Times New Roman"/>
          <w:szCs w:val="24"/>
          <w:lang w:val="fr-CA"/>
        </w:rPr>
        <w:t xml:space="preserve">) du </w:t>
      </w:r>
      <w:r w:rsidRPr="00954404">
        <w:rPr>
          <w:rFonts w:cs="Times New Roman"/>
          <w:i/>
          <w:szCs w:val="24"/>
          <w:lang w:val="fr-CA"/>
        </w:rPr>
        <w:t>Hospitalization Benefits Regulation</w:t>
      </w:r>
      <w:r w:rsidRPr="00954404">
        <w:rPr>
          <w:rFonts w:cs="Times New Roman"/>
          <w:szCs w:val="24"/>
          <w:lang w:val="fr-CA"/>
        </w:rPr>
        <w:t xml:space="preserve">, Alta. Reg. 244/90. </w:t>
      </w:r>
    </w:p>
    <w:p w:rsidR="00466E7D" w:rsidRPr="00954404" w:rsidRDefault="00466E7D" w:rsidP="00466E7D">
      <w:pPr>
        <w:pStyle w:val="ParaNoNdepar-AltN"/>
        <w:rPr>
          <w:rFonts w:cs="Times New Roman"/>
          <w:szCs w:val="24"/>
          <w:lang w:val="fr-CA"/>
        </w:rPr>
      </w:pPr>
      <w:r w:rsidRPr="00954404">
        <w:rPr>
          <w:rFonts w:cs="Times New Roman"/>
          <w:szCs w:val="24"/>
          <w:lang w:val="fr-CA"/>
        </w:rPr>
        <w:t>Collectivement, ces frais d</w:t>
      </w:r>
      <w:r>
        <w:rPr>
          <w:rFonts w:cs="Times New Roman"/>
          <w:szCs w:val="24"/>
          <w:lang w:val="fr-CA"/>
        </w:rPr>
        <w:t>’</w:t>
      </w:r>
      <w:r w:rsidRPr="00954404">
        <w:rPr>
          <w:rFonts w:cs="Times New Roman"/>
          <w:szCs w:val="24"/>
          <w:lang w:val="fr-CA"/>
        </w:rPr>
        <w:t>hébergement font l</w:t>
      </w:r>
      <w:r>
        <w:rPr>
          <w:rFonts w:cs="Times New Roman"/>
          <w:szCs w:val="24"/>
          <w:lang w:val="fr-CA"/>
        </w:rPr>
        <w:t>’</w:t>
      </w:r>
      <w:r w:rsidRPr="00954404">
        <w:rPr>
          <w:rFonts w:cs="Times New Roman"/>
          <w:szCs w:val="24"/>
          <w:lang w:val="fr-CA"/>
        </w:rPr>
        <w:t>objet du présent litige.</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Les représentants des demandeurs sont James Darwish, en sa qualité de représentant personnel de la succession de sa mère, Johanna Darwish, et la Elder Advocates of Alberta Society, un organisme à but non</w:t>
      </w:r>
      <w:r w:rsidR="00794B24">
        <w:rPr>
          <w:rFonts w:cs="Times New Roman"/>
          <w:szCs w:val="24"/>
          <w:lang w:val="fr-CA"/>
        </w:rPr>
        <w:t xml:space="preserve"> </w:t>
      </w:r>
      <w:r w:rsidRPr="00954404">
        <w:rPr>
          <w:rFonts w:cs="Times New Roman"/>
          <w:szCs w:val="24"/>
          <w:lang w:val="fr-CA"/>
        </w:rPr>
        <w:t>lucratif.  M</w:t>
      </w:r>
      <w:r w:rsidR="00801892">
        <w:rPr>
          <w:rFonts w:cs="Times New Roman"/>
          <w:szCs w:val="24"/>
          <w:lang w:val="fr-CA"/>
        </w:rPr>
        <w:t>.</w:t>
      </w:r>
      <w:r w:rsidRPr="00954404">
        <w:rPr>
          <w:rFonts w:cs="Times New Roman"/>
          <w:szCs w:val="24"/>
          <w:lang w:val="fr-CA"/>
        </w:rPr>
        <w:t> Darwish était le tuteur et le fiduciaire de sa mère lorsqu</w:t>
      </w:r>
      <w:r>
        <w:rPr>
          <w:rFonts w:cs="Times New Roman"/>
          <w:szCs w:val="24"/>
          <w:lang w:val="fr-CA"/>
        </w:rPr>
        <w:t>’</w:t>
      </w:r>
      <w:r w:rsidRPr="00954404">
        <w:rPr>
          <w:rFonts w:cs="Times New Roman"/>
          <w:szCs w:val="24"/>
          <w:lang w:val="fr-CA"/>
        </w:rPr>
        <w:t>elle vivait dans un ESLD; il est maintenant son exécuteur.  Lorsqu</w:t>
      </w:r>
      <w:r>
        <w:rPr>
          <w:rFonts w:cs="Times New Roman"/>
          <w:szCs w:val="24"/>
          <w:lang w:val="fr-CA"/>
        </w:rPr>
        <w:t>’</w:t>
      </w:r>
      <w:r w:rsidRPr="00954404">
        <w:rPr>
          <w:rFonts w:cs="Times New Roman"/>
          <w:szCs w:val="24"/>
          <w:lang w:val="fr-CA"/>
        </w:rPr>
        <w:t>il a préparé pour sa mère la déclaration d</w:t>
      </w:r>
      <w:r>
        <w:rPr>
          <w:rFonts w:cs="Times New Roman"/>
          <w:szCs w:val="24"/>
          <w:lang w:val="fr-CA"/>
        </w:rPr>
        <w:t>’</w:t>
      </w:r>
      <w:r w:rsidRPr="00954404">
        <w:rPr>
          <w:rFonts w:cs="Times New Roman"/>
          <w:szCs w:val="24"/>
          <w:lang w:val="fr-CA"/>
        </w:rPr>
        <w:t>impôt sur les biens transmis par décès, l</w:t>
      </w:r>
      <w:r>
        <w:rPr>
          <w:rFonts w:cs="Times New Roman"/>
          <w:szCs w:val="24"/>
          <w:lang w:val="fr-CA"/>
        </w:rPr>
        <w:t>’</w:t>
      </w:r>
      <w:r w:rsidRPr="00954404">
        <w:rPr>
          <w:rFonts w:cs="Times New Roman"/>
          <w:szCs w:val="24"/>
          <w:lang w:val="fr-CA"/>
        </w:rPr>
        <w:t>ARS de la région l</w:t>
      </w:r>
      <w:r>
        <w:rPr>
          <w:rFonts w:cs="Times New Roman"/>
          <w:szCs w:val="24"/>
          <w:lang w:val="fr-CA"/>
        </w:rPr>
        <w:t>’</w:t>
      </w:r>
      <w:r w:rsidRPr="00954404">
        <w:rPr>
          <w:rFonts w:cs="Times New Roman"/>
          <w:szCs w:val="24"/>
          <w:lang w:val="fr-CA"/>
        </w:rPr>
        <w:t>a informé qu</w:t>
      </w:r>
      <w:r>
        <w:rPr>
          <w:rFonts w:cs="Times New Roman"/>
          <w:szCs w:val="24"/>
          <w:lang w:val="fr-CA"/>
        </w:rPr>
        <w:t>’</w:t>
      </w:r>
      <w:r w:rsidRPr="00954404">
        <w:rPr>
          <w:rFonts w:cs="Times New Roman"/>
          <w:szCs w:val="24"/>
          <w:lang w:val="fr-CA"/>
        </w:rPr>
        <w:t>environ les deux</w:t>
      </w:r>
      <w:r w:rsidR="00794B24">
        <w:rPr>
          <w:rFonts w:cs="Times New Roman"/>
          <w:szCs w:val="24"/>
          <w:lang w:val="fr-CA"/>
        </w:rPr>
        <w:t xml:space="preserve"> </w:t>
      </w:r>
      <w:r w:rsidRPr="00954404">
        <w:rPr>
          <w:rFonts w:cs="Times New Roman"/>
          <w:szCs w:val="24"/>
          <w:lang w:val="fr-CA"/>
        </w:rPr>
        <w:t>tiers des frais d</w:t>
      </w:r>
      <w:r>
        <w:rPr>
          <w:rFonts w:cs="Times New Roman"/>
          <w:szCs w:val="24"/>
          <w:lang w:val="fr-CA"/>
        </w:rPr>
        <w:t>’</w:t>
      </w:r>
      <w:r w:rsidRPr="00954404">
        <w:rPr>
          <w:rFonts w:cs="Times New Roman"/>
          <w:szCs w:val="24"/>
          <w:lang w:val="fr-CA"/>
        </w:rPr>
        <w:t xml:space="preserve">hébergement mensuels que sa mère payait visaient une </w:t>
      </w:r>
      <w:r w:rsidR="00801892">
        <w:rPr>
          <w:rFonts w:cs="Times New Roman"/>
          <w:szCs w:val="24"/>
          <w:lang w:val="fr-CA"/>
        </w:rPr>
        <w:t>[</w:t>
      </w:r>
      <w:r w:rsidR="00801892" w:rsidRPr="00801892">
        <w:rPr>
          <w:rFonts w:cs="Times New Roman"/>
          <w:smallCaps/>
          <w:szCs w:val="24"/>
          <w:lang w:val="fr-CA"/>
        </w:rPr>
        <w:t>traduction</w:t>
      </w:r>
      <w:r w:rsidR="00801892">
        <w:rPr>
          <w:rFonts w:cs="Times New Roman"/>
          <w:szCs w:val="24"/>
          <w:lang w:val="fr-CA"/>
        </w:rPr>
        <w:t xml:space="preserve">] </w:t>
      </w:r>
      <w:r w:rsidRPr="00954404">
        <w:rPr>
          <w:rFonts w:cs="Times New Roman"/>
          <w:szCs w:val="24"/>
          <w:lang w:val="fr-CA"/>
        </w:rPr>
        <w:t>« partie des soins ».  Il a conclu que le dernier tiers avait été alloué à l</w:t>
      </w:r>
      <w:r>
        <w:rPr>
          <w:rFonts w:cs="Times New Roman"/>
          <w:szCs w:val="24"/>
          <w:lang w:val="fr-CA"/>
        </w:rPr>
        <w:t>’</w:t>
      </w:r>
      <w:r w:rsidRPr="00954404">
        <w:rPr>
          <w:rFonts w:cs="Times New Roman"/>
          <w:szCs w:val="24"/>
          <w:lang w:val="fr-CA"/>
        </w:rPr>
        <w:t>hébergement et aux repas.  M</w:t>
      </w:r>
      <w:r w:rsidR="00801892">
        <w:rPr>
          <w:rFonts w:cs="Times New Roman"/>
          <w:szCs w:val="24"/>
          <w:lang w:val="fr-CA"/>
        </w:rPr>
        <w:t>.</w:t>
      </w:r>
      <w:r w:rsidRPr="00954404">
        <w:rPr>
          <w:rFonts w:cs="Times New Roman"/>
          <w:szCs w:val="24"/>
          <w:lang w:val="fr-CA"/>
        </w:rPr>
        <w:t> Darwish prétend que l</w:t>
      </w:r>
      <w:r>
        <w:rPr>
          <w:rFonts w:cs="Times New Roman"/>
          <w:szCs w:val="24"/>
          <w:lang w:val="fr-CA"/>
        </w:rPr>
        <w:t>’</w:t>
      </w:r>
      <w:r w:rsidRPr="00954404">
        <w:rPr>
          <w:rFonts w:cs="Times New Roman"/>
          <w:szCs w:val="24"/>
          <w:lang w:val="fr-CA"/>
        </w:rPr>
        <w:t>allocation pour l</w:t>
      </w:r>
      <w:r>
        <w:rPr>
          <w:rFonts w:cs="Times New Roman"/>
          <w:szCs w:val="24"/>
          <w:lang w:val="fr-CA"/>
        </w:rPr>
        <w:t>’</w:t>
      </w:r>
      <w:r w:rsidRPr="00954404">
        <w:rPr>
          <w:rFonts w:cs="Times New Roman"/>
          <w:szCs w:val="24"/>
          <w:lang w:val="fr-CA"/>
        </w:rPr>
        <w:t>hébergement et les repas que les pensionnaires doivent payer excède le montant prescrit et oblige les pensionnaires à financer les frais médicaux qui relèvent entièrement de la province.  Il prétend également que le régime législatif n</w:t>
      </w:r>
      <w:r>
        <w:rPr>
          <w:rFonts w:cs="Times New Roman"/>
          <w:szCs w:val="24"/>
          <w:lang w:val="fr-CA"/>
        </w:rPr>
        <w:t>’</w:t>
      </w:r>
      <w:r w:rsidRPr="00954404">
        <w:rPr>
          <w:rFonts w:cs="Times New Roman"/>
          <w:szCs w:val="24"/>
          <w:lang w:val="fr-CA"/>
        </w:rPr>
        <w:t>autorise pas l</w:t>
      </w:r>
      <w:r>
        <w:rPr>
          <w:rFonts w:cs="Times New Roman"/>
          <w:szCs w:val="24"/>
          <w:lang w:val="fr-CA"/>
        </w:rPr>
        <w:t>’</w:t>
      </w:r>
      <w:r w:rsidRPr="00954404">
        <w:rPr>
          <w:rFonts w:cs="Times New Roman"/>
          <w:szCs w:val="24"/>
          <w:lang w:val="fr-CA"/>
        </w:rPr>
        <w:t>Alberta à facturer ces frais médicaux aux pensionnaires.  Conjointement avec la société Elder Advocates, M. Darwish a intenté une action pour recouvrer le versement excédentaire.</w:t>
      </w:r>
    </w:p>
    <w:p w:rsidR="00466E7D" w:rsidRPr="00954404" w:rsidRDefault="00466E7D" w:rsidP="00466E7D">
      <w:pPr>
        <w:pStyle w:val="ParaNoNdepar-AltN"/>
        <w:rPr>
          <w:rFonts w:cs="Times New Roman"/>
          <w:szCs w:val="24"/>
          <w:lang w:val="fr-CA"/>
        </w:rPr>
      </w:pPr>
      <w:r w:rsidRPr="00954404">
        <w:rPr>
          <w:rFonts w:cs="Times New Roman"/>
          <w:szCs w:val="24"/>
          <w:lang w:val="fr-CA"/>
        </w:rPr>
        <w:t>Le 1</w:t>
      </w:r>
      <w:r w:rsidRPr="00954404">
        <w:rPr>
          <w:rFonts w:cs="Times New Roman"/>
          <w:szCs w:val="24"/>
          <w:vertAlign w:val="superscript"/>
          <w:lang w:val="fr-CA"/>
        </w:rPr>
        <w:t>er</w:t>
      </w:r>
      <w:r w:rsidRPr="00954404">
        <w:rPr>
          <w:rFonts w:cs="Times New Roman"/>
          <w:szCs w:val="24"/>
          <w:lang w:val="fr-CA"/>
        </w:rPr>
        <w:t> août 2003, le ministre de la Santé et du Bien</w:t>
      </w:r>
      <w:r>
        <w:rPr>
          <w:rFonts w:cs="Times New Roman"/>
          <w:szCs w:val="24"/>
          <w:lang w:val="fr-CA"/>
        </w:rPr>
        <w:noBreakHyphen/>
      </w:r>
      <w:r w:rsidRPr="00954404">
        <w:rPr>
          <w:rFonts w:cs="Times New Roman"/>
          <w:szCs w:val="24"/>
          <w:lang w:val="fr-CA"/>
        </w:rPr>
        <w:t>être de l</w:t>
      </w:r>
      <w:r>
        <w:rPr>
          <w:rFonts w:cs="Times New Roman"/>
          <w:szCs w:val="24"/>
          <w:lang w:val="fr-CA"/>
        </w:rPr>
        <w:t>’</w:t>
      </w:r>
      <w:r w:rsidRPr="00954404">
        <w:rPr>
          <w:rFonts w:cs="Times New Roman"/>
          <w:szCs w:val="24"/>
          <w:lang w:val="fr-CA"/>
        </w:rPr>
        <w:t>Alberta a édicté l</w:t>
      </w:r>
      <w:r>
        <w:rPr>
          <w:rFonts w:cs="Times New Roman"/>
          <w:szCs w:val="24"/>
          <w:lang w:val="fr-CA"/>
        </w:rPr>
        <w:t>’art. </w:t>
      </w:r>
      <w:r w:rsidRPr="00954404">
        <w:rPr>
          <w:rFonts w:cs="Times New Roman"/>
          <w:szCs w:val="24"/>
          <w:lang w:val="fr-CA"/>
        </w:rPr>
        <w:t xml:space="preserve">2 du </w:t>
      </w:r>
      <w:r w:rsidRPr="00954404">
        <w:rPr>
          <w:rFonts w:cs="Times New Roman"/>
          <w:i/>
          <w:szCs w:val="24"/>
          <w:lang w:val="fr-CA"/>
        </w:rPr>
        <w:t>Nursing Homes Operation Amendment Regulation</w:t>
      </w:r>
      <w:r w:rsidRPr="00954404">
        <w:rPr>
          <w:rFonts w:cs="Times New Roman"/>
          <w:szCs w:val="24"/>
          <w:lang w:val="fr-CA"/>
        </w:rPr>
        <w:t>, Alta. Reg. 260/2003, lequel a augmenté le montant maximum des frais d</w:t>
      </w:r>
      <w:r>
        <w:rPr>
          <w:rFonts w:cs="Times New Roman"/>
          <w:szCs w:val="24"/>
          <w:lang w:val="fr-CA"/>
        </w:rPr>
        <w:t>’</w:t>
      </w:r>
      <w:r w:rsidRPr="00954404">
        <w:rPr>
          <w:rFonts w:cs="Times New Roman"/>
          <w:szCs w:val="24"/>
          <w:lang w:val="fr-CA"/>
        </w:rPr>
        <w:t>hébergement que doivent payer les pensionnaires des foyers de soins infirmiers et des hôpitaux de soins prolongés de la province.  Les demandeurs prétendent que le ministre a augmenté les frais admissibles même s</w:t>
      </w:r>
      <w:r>
        <w:rPr>
          <w:rFonts w:cs="Times New Roman"/>
          <w:szCs w:val="24"/>
          <w:lang w:val="fr-CA"/>
        </w:rPr>
        <w:t>’</w:t>
      </w:r>
      <w:r w:rsidRPr="00954404">
        <w:rPr>
          <w:rFonts w:cs="Times New Roman"/>
          <w:szCs w:val="24"/>
          <w:lang w:val="fr-CA"/>
        </w:rPr>
        <w:t>il savait que les ESLD avaient [</w:t>
      </w:r>
      <w:r w:rsidRPr="00954404">
        <w:rPr>
          <w:rFonts w:cs="Times New Roman"/>
          <w:smallCaps/>
          <w:szCs w:val="24"/>
          <w:lang w:val="fr-CA"/>
        </w:rPr>
        <w:t>traduction</w:t>
      </w:r>
      <w:r w:rsidRPr="00954404">
        <w:rPr>
          <w:rFonts w:cs="Times New Roman"/>
          <w:szCs w:val="24"/>
          <w:lang w:val="fr-CA"/>
        </w:rPr>
        <w:t>] « pris l</w:t>
      </w:r>
      <w:r>
        <w:rPr>
          <w:rFonts w:cs="Times New Roman"/>
          <w:szCs w:val="24"/>
          <w:lang w:val="fr-CA"/>
        </w:rPr>
        <w:t>’</w:t>
      </w:r>
      <w:r w:rsidRPr="00954404">
        <w:rPr>
          <w:rFonts w:cs="Times New Roman"/>
          <w:szCs w:val="24"/>
          <w:lang w:val="fr-CA"/>
        </w:rPr>
        <w:t>habitude » d</w:t>
      </w:r>
      <w:r>
        <w:rPr>
          <w:rFonts w:cs="Times New Roman"/>
          <w:szCs w:val="24"/>
          <w:lang w:val="fr-CA"/>
        </w:rPr>
        <w:t>’</w:t>
      </w:r>
      <w:r w:rsidRPr="00954404">
        <w:rPr>
          <w:rFonts w:cs="Times New Roman"/>
          <w:szCs w:val="24"/>
          <w:lang w:val="fr-CA"/>
        </w:rPr>
        <w:t>appliquer les frais d</w:t>
      </w:r>
      <w:r>
        <w:rPr>
          <w:rFonts w:cs="Times New Roman"/>
          <w:szCs w:val="24"/>
          <w:lang w:val="fr-CA"/>
        </w:rPr>
        <w:t>’</w:t>
      </w:r>
      <w:r w:rsidRPr="00954404">
        <w:rPr>
          <w:rFonts w:cs="Times New Roman"/>
          <w:szCs w:val="24"/>
          <w:lang w:val="fr-CA"/>
        </w:rPr>
        <w:t xml:space="preserve">hébergement « pour financer les soins de santé et </w:t>
      </w:r>
      <w:r w:rsidRPr="00954404">
        <w:rPr>
          <w:rFonts w:cs="Times New Roman"/>
          <w:szCs w:val="24"/>
          <w:lang w:val="fr-CA"/>
        </w:rPr>
        <w:lastRenderedPageBreak/>
        <w:t>pour compenser le financement pour les soins » et que, malgré cela, la province a enjoint aux exploitants de facturer le montant maximal permis.</w:t>
      </w:r>
    </w:p>
    <w:p w:rsidR="00466E7D" w:rsidRPr="00954404" w:rsidRDefault="00466E7D" w:rsidP="00466E7D">
      <w:pPr>
        <w:pStyle w:val="ParaNoNdepar-AltN"/>
        <w:rPr>
          <w:rFonts w:cs="Times New Roman"/>
          <w:szCs w:val="24"/>
          <w:lang w:val="fr-CA"/>
        </w:rPr>
      </w:pPr>
      <w:r w:rsidRPr="00954404">
        <w:rPr>
          <w:rFonts w:cs="Times New Roman"/>
          <w:szCs w:val="24"/>
          <w:lang w:val="fr-CA"/>
        </w:rPr>
        <w:t>Les représentants des demandeurs ont sollicité l</w:t>
      </w:r>
      <w:r>
        <w:rPr>
          <w:rFonts w:cs="Times New Roman"/>
          <w:szCs w:val="24"/>
          <w:lang w:val="fr-CA"/>
        </w:rPr>
        <w:t>’</w:t>
      </w:r>
      <w:r w:rsidRPr="00954404">
        <w:rPr>
          <w:rFonts w:cs="Times New Roman"/>
          <w:szCs w:val="24"/>
          <w:lang w:val="fr-CA"/>
        </w:rPr>
        <w:t>autorisation d</w:t>
      </w:r>
      <w:r>
        <w:rPr>
          <w:rFonts w:cs="Times New Roman"/>
          <w:szCs w:val="24"/>
          <w:lang w:val="fr-CA"/>
        </w:rPr>
        <w:t>’</w:t>
      </w:r>
      <w:r w:rsidRPr="00954404">
        <w:rPr>
          <w:rFonts w:cs="Times New Roman"/>
          <w:szCs w:val="24"/>
          <w:lang w:val="fr-CA"/>
        </w:rPr>
        <w:t xml:space="preserve">un recours collectif en vertu de la </w:t>
      </w:r>
      <w:r w:rsidRPr="00954404">
        <w:rPr>
          <w:rFonts w:cs="Times New Roman"/>
          <w:i/>
          <w:szCs w:val="24"/>
          <w:lang w:val="fr-CA"/>
        </w:rPr>
        <w:t>Class Proceedings Act</w:t>
      </w:r>
      <w:r w:rsidRPr="00954404">
        <w:rPr>
          <w:rFonts w:cs="Times New Roman"/>
          <w:szCs w:val="24"/>
          <w:lang w:val="fr-CA"/>
        </w:rPr>
        <w:t xml:space="preserve">, </w:t>
      </w:r>
      <w:r w:rsidRPr="00466E7D">
        <w:rPr>
          <w:rStyle w:val="reference"/>
          <w:rFonts w:cs="Times New Roman"/>
          <w:szCs w:val="24"/>
          <w:lang w:val="fr-CA"/>
        </w:rPr>
        <w:t>S.A. 2003, ch. C</w:t>
      </w:r>
      <w:r w:rsidRPr="00466E7D">
        <w:rPr>
          <w:rStyle w:val="reference"/>
          <w:rFonts w:cs="Times New Roman"/>
          <w:szCs w:val="24"/>
          <w:lang w:val="fr-CA"/>
        </w:rPr>
        <w:noBreakHyphen/>
        <w:t>16.5,</w:t>
      </w:r>
      <w:r w:rsidRPr="00954404">
        <w:rPr>
          <w:rFonts w:cs="Times New Roman"/>
          <w:szCs w:val="24"/>
          <w:lang w:val="fr-CA"/>
        </w:rPr>
        <w:t xml:space="preserve"> affirmant que la province et les ARS n</w:t>
      </w:r>
      <w:r>
        <w:rPr>
          <w:rFonts w:cs="Times New Roman"/>
          <w:szCs w:val="24"/>
          <w:lang w:val="fr-CA"/>
        </w:rPr>
        <w:t>’</w:t>
      </w:r>
      <w:r w:rsidRPr="00954404">
        <w:rPr>
          <w:rFonts w:cs="Times New Roman"/>
          <w:szCs w:val="24"/>
          <w:lang w:val="fr-CA"/>
        </w:rPr>
        <w:t xml:space="preserve">ont pas veillé à ce que les sommes payées par les pensionnaires des ESLD pour </w:t>
      </w:r>
      <w:r w:rsidR="009E760F" w:rsidRPr="00954404">
        <w:rPr>
          <w:rFonts w:cs="Times New Roman"/>
          <w:szCs w:val="24"/>
          <w:lang w:val="fr-CA"/>
        </w:rPr>
        <w:t>[</w:t>
      </w:r>
      <w:r w:rsidR="009E760F" w:rsidRPr="00954404">
        <w:rPr>
          <w:rFonts w:cs="Times New Roman"/>
          <w:smallCaps/>
          <w:szCs w:val="24"/>
          <w:lang w:val="fr-CA"/>
        </w:rPr>
        <w:t>traduction</w:t>
      </w:r>
      <w:r w:rsidR="009E760F" w:rsidRPr="00954404">
        <w:rPr>
          <w:rFonts w:cs="Times New Roman"/>
          <w:szCs w:val="24"/>
          <w:lang w:val="fr-CA"/>
        </w:rPr>
        <w:t xml:space="preserve">] </w:t>
      </w:r>
      <w:r w:rsidRPr="00954404">
        <w:rPr>
          <w:rFonts w:cs="Times New Roman"/>
          <w:szCs w:val="24"/>
          <w:lang w:val="fr-CA"/>
        </w:rPr>
        <w:t>« l</w:t>
      </w:r>
      <w:r>
        <w:rPr>
          <w:rFonts w:cs="Times New Roman"/>
          <w:szCs w:val="24"/>
          <w:lang w:val="fr-CA"/>
        </w:rPr>
        <w:t>’</w:t>
      </w:r>
      <w:r w:rsidRPr="00954404">
        <w:rPr>
          <w:rFonts w:cs="Times New Roman"/>
          <w:szCs w:val="24"/>
          <w:lang w:val="fr-CA"/>
        </w:rPr>
        <w:t xml:space="preserve">hébergement et les repas » soient utilisées exclusivement à cette fin.  Les demandeurs allèguent que la province est uniquement autorisée à facturer le coût </w:t>
      </w:r>
      <w:r w:rsidRPr="00954404">
        <w:rPr>
          <w:rFonts w:cs="Times New Roman"/>
          <w:i/>
          <w:szCs w:val="24"/>
          <w:lang w:val="fr-CA"/>
        </w:rPr>
        <w:t xml:space="preserve">réel </w:t>
      </w:r>
      <w:r w:rsidRPr="00954404">
        <w:rPr>
          <w:rFonts w:cs="Times New Roman"/>
          <w:szCs w:val="24"/>
          <w:lang w:val="fr-CA"/>
        </w:rPr>
        <w:t>de l</w:t>
      </w:r>
      <w:r>
        <w:rPr>
          <w:rFonts w:cs="Times New Roman"/>
          <w:szCs w:val="24"/>
          <w:lang w:val="fr-CA"/>
        </w:rPr>
        <w:t>’</w:t>
      </w:r>
      <w:r w:rsidRPr="00954404">
        <w:rPr>
          <w:rFonts w:cs="Times New Roman"/>
          <w:szCs w:val="24"/>
          <w:lang w:val="fr-CA"/>
        </w:rPr>
        <w:t>hébergement et des repas, et non à utiliser les montants perçus au taux maximal afin de financer le coût des soins de base.  Ils affirment que les pensionnaires des établissements de soins de longue durée de l</w:t>
      </w:r>
      <w:r>
        <w:rPr>
          <w:rFonts w:cs="Times New Roman"/>
          <w:szCs w:val="24"/>
          <w:lang w:val="fr-CA"/>
        </w:rPr>
        <w:t>’</w:t>
      </w:r>
      <w:r w:rsidRPr="00954404">
        <w:rPr>
          <w:rFonts w:cs="Times New Roman"/>
          <w:szCs w:val="24"/>
          <w:lang w:val="fr-CA"/>
        </w:rPr>
        <w:t>Alberta ont été facturés en trop et sollicitent le remboursement du versement excédentaire ou des dommages</w:t>
      </w:r>
      <w:r>
        <w:rPr>
          <w:rFonts w:cs="Times New Roman"/>
          <w:szCs w:val="24"/>
          <w:lang w:val="fr-CA"/>
        </w:rPr>
        <w:noBreakHyphen/>
      </w:r>
      <w:r w:rsidRPr="00954404">
        <w:rPr>
          <w:rFonts w:cs="Times New Roman"/>
          <w:szCs w:val="24"/>
          <w:lang w:val="fr-CA"/>
        </w:rPr>
        <w:t>intérêts.</w:t>
      </w:r>
    </w:p>
    <w:p w:rsidR="00466E7D" w:rsidRPr="00954404" w:rsidRDefault="00466E7D" w:rsidP="00466E7D">
      <w:pPr>
        <w:pStyle w:val="TitleTitre-AltT"/>
        <w:keepNext/>
        <w:numPr>
          <w:ilvl w:val="0"/>
          <w:numId w:val="24"/>
        </w:numPr>
        <w:tabs>
          <w:tab w:val="clear" w:pos="360"/>
        </w:tabs>
        <w:spacing w:after="720"/>
        <w:ind w:left="450" w:hanging="450"/>
        <w:rPr>
          <w:rFonts w:cs="Times New Roman"/>
          <w:szCs w:val="24"/>
          <w:u w:val="single"/>
          <w:lang w:val="fr-CA"/>
        </w:rPr>
      </w:pPr>
      <w:r w:rsidRPr="00954404">
        <w:rPr>
          <w:rFonts w:cs="Times New Roman"/>
          <w:szCs w:val="24"/>
          <w:u w:val="single"/>
          <w:lang w:val="fr-CA"/>
        </w:rPr>
        <w:t>Les décisions des tribunaux de l</w:t>
      </w:r>
      <w:r>
        <w:rPr>
          <w:rFonts w:cs="Times New Roman"/>
          <w:szCs w:val="24"/>
          <w:u w:val="single"/>
          <w:lang w:val="fr-CA"/>
        </w:rPr>
        <w:t>’</w:t>
      </w:r>
      <w:r w:rsidRPr="00954404">
        <w:rPr>
          <w:rFonts w:cs="Times New Roman"/>
          <w:szCs w:val="24"/>
          <w:u w:val="single"/>
          <w:lang w:val="fr-CA"/>
        </w:rPr>
        <w:t>Alberta</w:t>
      </w:r>
    </w:p>
    <w:p w:rsidR="00466E7D" w:rsidRPr="00954404" w:rsidRDefault="00466E7D" w:rsidP="00466E7D">
      <w:pPr>
        <w:pStyle w:val="ParaNoNdepar-AltN"/>
        <w:rPr>
          <w:rFonts w:cs="Times New Roman"/>
          <w:szCs w:val="24"/>
          <w:lang w:val="fr-CA"/>
        </w:rPr>
      </w:pPr>
      <w:r w:rsidRPr="00954404">
        <w:rPr>
          <w:rFonts w:cs="Times New Roman"/>
          <w:szCs w:val="24"/>
          <w:lang w:val="fr-CA"/>
        </w:rPr>
        <w:t>Le groupe est composé d</w:t>
      </w:r>
      <w:r>
        <w:rPr>
          <w:rFonts w:cs="Times New Roman"/>
          <w:szCs w:val="24"/>
          <w:lang w:val="fr-CA"/>
        </w:rPr>
        <w:t>’</w:t>
      </w:r>
      <w:r w:rsidRPr="00954404">
        <w:rPr>
          <w:rFonts w:cs="Times New Roman"/>
          <w:szCs w:val="24"/>
          <w:lang w:val="fr-CA"/>
        </w:rPr>
        <w:t>environ 12 500 pensionnaires placés dans des ESLD en Alberta. Plus de la moitié sont âgés de 85 ans ou plus, et tous sont atteints d</w:t>
      </w:r>
      <w:r>
        <w:rPr>
          <w:rFonts w:cs="Times New Roman"/>
          <w:szCs w:val="24"/>
          <w:lang w:val="fr-CA"/>
        </w:rPr>
        <w:t>’</w:t>
      </w:r>
      <w:r w:rsidRPr="00954404">
        <w:rPr>
          <w:rFonts w:cs="Times New Roman"/>
          <w:szCs w:val="24"/>
          <w:lang w:val="fr-CA"/>
        </w:rPr>
        <w:t>une quelconque forme de maladie chronique ou d</w:t>
      </w:r>
      <w:r>
        <w:rPr>
          <w:rFonts w:cs="Times New Roman"/>
          <w:szCs w:val="24"/>
          <w:lang w:val="fr-CA"/>
        </w:rPr>
        <w:t>’</w:t>
      </w:r>
      <w:r w:rsidRPr="00954404">
        <w:rPr>
          <w:rFonts w:cs="Times New Roman"/>
          <w:szCs w:val="24"/>
          <w:lang w:val="fr-CA"/>
        </w:rPr>
        <w:t>une invalidité permanente.  Ils ne sont pas en mesure de vivre seuls et nécessitent différents niveaux de soins, notamment de l</w:t>
      </w:r>
      <w:r>
        <w:rPr>
          <w:rFonts w:cs="Times New Roman"/>
          <w:szCs w:val="24"/>
          <w:lang w:val="fr-CA"/>
        </w:rPr>
        <w:t>’</w:t>
      </w:r>
      <w:r w:rsidRPr="00954404">
        <w:rPr>
          <w:rFonts w:cs="Times New Roman"/>
          <w:szCs w:val="24"/>
          <w:lang w:val="fr-CA"/>
        </w:rPr>
        <w:t xml:space="preserve">aide pour </w:t>
      </w:r>
      <w:r w:rsidR="009E760F">
        <w:rPr>
          <w:rFonts w:cs="Times New Roman"/>
          <w:szCs w:val="24"/>
          <w:lang w:val="fr-CA"/>
        </w:rPr>
        <w:t>se nourrir, pour aller aux</w:t>
      </w:r>
      <w:r w:rsidRPr="00954404">
        <w:rPr>
          <w:rFonts w:cs="Times New Roman"/>
          <w:szCs w:val="24"/>
          <w:lang w:val="fr-CA"/>
        </w:rPr>
        <w:t xml:space="preserve"> toilette</w:t>
      </w:r>
      <w:r w:rsidR="009E760F">
        <w:rPr>
          <w:rFonts w:cs="Times New Roman"/>
          <w:szCs w:val="24"/>
          <w:lang w:val="fr-CA"/>
        </w:rPr>
        <w:t>s</w:t>
      </w:r>
      <w:r w:rsidRPr="00954404">
        <w:rPr>
          <w:rFonts w:cs="Times New Roman"/>
          <w:szCs w:val="24"/>
          <w:lang w:val="fr-CA"/>
        </w:rPr>
        <w:t xml:space="preserve"> et pour d</w:t>
      </w:r>
      <w:r>
        <w:rPr>
          <w:rFonts w:cs="Times New Roman"/>
          <w:szCs w:val="24"/>
          <w:lang w:val="fr-CA"/>
        </w:rPr>
        <w:t>’</w:t>
      </w:r>
      <w:r w:rsidRPr="00954404">
        <w:rPr>
          <w:rFonts w:cs="Times New Roman"/>
          <w:szCs w:val="24"/>
          <w:lang w:val="fr-CA"/>
        </w:rPr>
        <w:t>autres aspects fondamentaux de la vie quotidienne.</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Les représentants des demandeurs ont invoqué de nombreuses causes d</w:t>
      </w:r>
      <w:r>
        <w:rPr>
          <w:rFonts w:cs="Times New Roman"/>
          <w:szCs w:val="24"/>
          <w:lang w:val="fr-CA"/>
        </w:rPr>
        <w:t>’</w:t>
      </w:r>
      <w:r w:rsidRPr="00954404">
        <w:rPr>
          <w:rFonts w:cs="Times New Roman"/>
          <w:szCs w:val="24"/>
          <w:lang w:val="fr-CA"/>
        </w:rPr>
        <w:t>action</w:t>
      </w:r>
      <w:r>
        <w:rPr>
          <w:rFonts w:cs="Times New Roman"/>
          <w:szCs w:val="24"/>
          <w:lang w:val="fr-CA"/>
        </w:rPr>
        <w:t> :</w:t>
      </w:r>
      <w:r w:rsidRPr="00954404">
        <w:rPr>
          <w:rFonts w:cs="Times New Roman"/>
          <w:szCs w:val="24"/>
          <w:lang w:val="fr-CA"/>
        </w:rPr>
        <w:t xml:space="preserve"> (i) manquement à l</w:t>
      </w:r>
      <w:r>
        <w:rPr>
          <w:rFonts w:cs="Times New Roman"/>
          <w:szCs w:val="24"/>
          <w:lang w:val="fr-CA"/>
        </w:rPr>
        <w:t>’</w:t>
      </w:r>
      <w:r w:rsidRPr="00954404">
        <w:rPr>
          <w:rFonts w:cs="Times New Roman"/>
          <w:szCs w:val="24"/>
          <w:lang w:val="fr-CA"/>
        </w:rPr>
        <w:t>obligation fiduciaire; (ii) manquement à l</w:t>
      </w:r>
      <w:r>
        <w:rPr>
          <w:rFonts w:cs="Times New Roman"/>
          <w:szCs w:val="24"/>
          <w:lang w:val="fr-CA"/>
        </w:rPr>
        <w:t>’</w:t>
      </w:r>
      <w:r w:rsidRPr="00954404">
        <w:rPr>
          <w:rFonts w:cs="Times New Roman"/>
          <w:szCs w:val="24"/>
          <w:lang w:val="fr-CA"/>
        </w:rPr>
        <w:t xml:space="preserve">obligation de diligence; (iii) rupture de contrat; (iv) enrichissement injustifié; (v) mesure </w:t>
      </w:r>
      <w:r w:rsidRPr="00954404">
        <w:rPr>
          <w:rFonts w:cs="Times New Roman"/>
          <w:i/>
          <w:szCs w:val="24"/>
          <w:lang w:val="fr-CA"/>
        </w:rPr>
        <w:t>ultra vires</w:t>
      </w:r>
      <w:r w:rsidRPr="00954404">
        <w:rPr>
          <w:rFonts w:cs="Times New Roman"/>
          <w:szCs w:val="24"/>
          <w:lang w:val="fr-CA"/>
        </w:rPr>
        <w:t xml:space="preserve">; (vi) taxe </w:t>
      </w:r>
      <w:r w:rsidRPr="00954404">
        <w:rPr>
          <w:rFonts w:cs="Times New Roman"/>
          <w:i/>
          <w:szCs w:val="24"/>
          <w:lang w:val="fr-CA"/>
        </w:rPr>
        <w:t>ultra vires</w:t>
      </w:r>
      <w:r w:rsidRPr="00954404">
        <w:rPr>
          <w:rFonts w:cs="Times New Roman"/>
          <w:szCs w:val="24"/>
          <w:lang w:val="fr-CA"/>
        </w:rPr>
        <w:t xml:space="preserve">; et (vii) violation du </w:t>
      </w:r>
      <w:r>
        <w:rPr>
          <w:rFonts w:cs="Times New Roman"/>
          <w:szCs w:val="24"/>
          <w:lang w:val="fr-CA"/>
        </w:rPr>
        <w:t>par. </w:t>
      </w:r>
      <w:r w:rsidRPr="00954404">
        <w:rPr>
          <w:rFonts w:cs="Times New Roman"/>
          <w:szCs w:val="24"/>
          <w:lang w:val="fr-CA"/>
        </w:rPr>
        <w:t xml:space="preserve">15(1) de la </w:t>
      </w:r>
      <w:r w:rsidRPr="00954404">
        <w:rPr>
          <w:rFonts w:cs="Times New Roman"/>
          <w:i/>
          <w:szCs w:val="24"/>
          <w:lang w:val="fr-CA"/>
        </w:rPr>
        <w:t>Charte</w:t>
      </w:r>
      <w:r w:rsidRPr="00954404">
        <w:rPr>
          <w:rFonts w:cs="Times New Roman"/>
          <w:szCs w:val="24"/>
          <w:lang w:val="fr-CA"/>
        </w:rPr>
        <w:t>.  Ils ont également plaidé la</w:t>
      </w:r>
      <w:r w:rsidR="005A3FB1">
        <w:rPr>
          <w:rFonts w:cs="Times New Roman"/>
          <w:szCs w:val="24"/>
          <w:lang w:val="fr-CA"/>
        </w:rPr>
        <w:t xml:space="preserve"> [</w:t>
      </w:r>
      <w:r w:rsidR="005A3FB1" w:rsidRPr="005A3FB1">
        <w:rPr>
          <w:rFonts w:cs="Times New Roman"/>
          <w:smallCaps/>
          <w:szCs w:val="24"/>
          <w:lang w:val="fr-CA"/>
        </w:rPr>
        <w:t>traduction</w:t>
      </w:r>
      <w:r w:rsidR="005A3FB1">
        <w:rPr>
          <w:rFonts w:cs="Times New Roman"/>
          <w:szCs w:val="24"/>
          <w:lang w:val="fr-CA"/>
        </w:rPr>
        <w:t>]</w:t>
      </w:r>
      <w:r w:rsidRPr="00954404">
        <w:rPr>
          <w:rFonts w:cs="Times New Roman"/>
          <w:szCs w:val="24"/>
          <w:lang w:val="fr-CA"/>
        </w:rPr>
        <w:t xml:space="preserve"> « mauvaise foi dans l</w:t>
      </w:r>
      <w:r>
        <w:rPr>
          <w:rFonts w:cs="Times New Roman"/>
          <w:szCs w:val="24"/>
          <w:lang w:val="fr-CA"/>
        </w:rPr>
        <w:t>’</w:t>
      </w:r>
      <w:r w:rsidRPr="00954404">
        <w:rPr>
          <w:rFonts w:cs="Times New Roman"/>
          <w:szCs w:val="24"/>
          <w:lang w:val="fr-CA"/>
        </w:rPr>
        <w:t>exercice d</w:t>
      </w:r>
      <w:r>
        <w:rPr>
          <w:rFonts w:cs="Times New Roman"/>
          <w:szCs w:val="24"/>
          <w:lang w:val="fr-CA"/>
        </w:rPr>
        <w:t>’</w:t>
      </w:r>
      <w:r w:rsidRPr="00954404">
        <w:rPr>
          <w:rFonts w:cs="Times New Roman"/>
          <w:szCs w:val="24"/>
          <w:lang w:val="fr-CA"/>
        </w:rPr>
        <w:t>un pouvoir discrétionnaire ».  Je renvoie tout au long des présents motifs aux allégations figurant dans la deuxième nouvelle déclaration des demandeurs, déposée le 1</w:t>
      </w:r>
      <w:r w:rsidRPr="00954404">
        <w:rPr>
          <w:rFonts w:cs="Times New Roman"/>
          <w:szCs w:val="24"/>
          <w:vertAlign w:val="superscript"/>
          <w:lang w:val="fr-CA"/>
        </w:rPr>
        <w:t>er</w:t>
      </w:r>
      <w:r w:rsidRPr="00954404">
        <w:rPr>
          <w:rFonts w:cs="Times New Roman"/>
          <w:szCs w:val="24"/>
          <w:lang w:val="fr-CA"/>
        </w:rPr>
        <w:t> mars 2010.</w:t>
      </w:r>
    </w:p>
    <w:p w:rsidR="00466E7D" w:rsidRPr="00954404" w:rsidRDefault="00466E7D" w:rsidP="00466E7D">
      <w:pPr>
        <w:pStyle w:val="ParaNoNdepar-AltN"/>
        <w:rPr>
          <w:rFonts w:cs="Times New Roman"/>
          <w:szCs w:val="24"/>
          <w:lang w:val="fr-CA"/>
        </w:rPr>
      </w:pPr>
      <w:r w:rsidRPr="00954404">
        <w:rPr>
          <w:rFonts w:cs="Times New Roman"/>
          <w:szCs w:val="24"/>
          <w:lang w:val="fr-CA"/>
        </w:rPr>
        <w:t>La juge saisie de la demande d</w:t>
      </w:r>
      <w:r>
        <w:rPr>
          <w:rFonts w:cs="Times New Roman"/>
          <w:szCs w:val="24"/>
          <w:lang w:val="fr-CA"/>
        </w:rPr>
        <w:t>’</w:t>
      </w:r>
      <w:r w:rsidRPr="00954404">
        <w:rPr>
          <w:rFonts w:cs="Times New Roman"/>
          <w:szCs w:val="24"/>
          <w:lang w:val="fr-CA"/>
        </w:rPr>
        <w:t>autorisation du recours collectif a approuvé la définition du groupe ainsi que 67 questions communes (2008 ABQB 490, 94 Alta. L.R. (4th) 10).  Lorsqu</w:t>
      </w:r>
      <w:r>
        <w:rPr>
          <w:rFonts w:cs="Times New Roman"/>
          <w:szCs w:val="24"/>
          <w:lang w:val="fr-CA"/>
        </w:rPr>
        <w:t>’</w:t>
      </w:r>
      <w:r w:rsidRPr="00954404">
        <w:rPr>
          <w:rFonts w:cs="Times New Roman"/>
          <w:szCs w:val="24"/>
          <w:lang w:val="fr-CA"/>
        </w:rPr>
        <w:t>elle a décidé d</w:t>
      </w:r>
      <w:r>
        <w:rPr>
          <w:rFonts w:cs="Times New Roman"/>
          <w:szCs w:val="24"/>
          <w:lang w:val="fr-CA"/>
        </w:rPr>
        <w:t>’</w:t>
      </w:r>
      <w:r w:rsidRPr="00954404">
        <w:rPr>
          <w:rFonts w:cs="Times New Roman"/>
          <w:szCs w:val="24"/>
          <w:lang w:val="fr-CA"/>
        </w:rPr>
        <w:t>autoriser ces questions, la juge Greckol a refusé d</w:t>
      </w:r>
      <w:r>
        <w:rPr>
          <w:rFonts w:cs="Times New Roman"/>
          <w:szCs w:val="24"/>
          <w:lang w:val="fr-CA"/>
        </w:rPr>
        <w:t>’</w:t>
      </w:r>
      <w:r w:rsidRPr="00954404">
        <w:rPr>
          <w:rFonts w:cs="Times New Roman"/>
          <w:szCs w:val="24"/>
          <w:lang w:val="fr-CA"/>
        </w:rPr>
        <w:t>autoriser celles fondées sur l</w:t>
      </w:r>
      <w:r>
        <w:rPr>
          <w:rFonts w:cs="Times New Roman"/>
          <w:szCs w:val="24"/>
          <w:lang w:val="fr-CA"/>
        </w:rPr>
        <w:t>’</w:t>
      </w:r>
      <w:r w:rsidRPr="00954404">
        <w:rPr>
          <w:rFonts w:cs="Times New Roman"/>
          <w:szCs w:val="24"/>
          <w:lang w:val="fr-CA"/>
        </w:rPr>
        <w:t xml:space="preserve">obligation fiduciaire et sur la taxe </w:t>
      </w:r>
      <w:r w:rsidRPr="00954404">
        <w:rPr>
          <w:rFonts w:cs="Times New Roman"/>
          <w:i/>
          <w:szCs w:val="24"/>
          <w:lang w:val="fr-CA"/>
        </w:rPr>
        <w:t>ultra vires</w:t>
      </w:r>
      <w:r w:rsidRPr="00954404">
        <w:rPr>
          <w:rFonts w:cs="Times New Roman"/>
          <w:szCs w:val="24"/>
          <w:lang w:val="fr-CA"/>
        </w:rPr>
        <w:t>, les radiant de la demande parce que vouées à l</w:t>
      </w:r>
      <w:r>
        <w:rPr>
          <w:rFonts w:cs="Times New Roman"/>
          <w:szCs w:val="24"/>
          <w:lang w:val="fr-CA"/>
        </w:rPr>
        <w:t>’</w:t>
      </w:r>
      <w:r w:rsidRPr="00954404">
        <w:rPr>
          <w:rFonts w:cs="Times New Roman"/>
          <w:szCs w:val="24"/>
          <w:lang w:val="fr-CA"/>
        </w:rPr>
        <w:t>échec.  Elle a également radié l</w:t>
      </w:r>
      <w:r>
        <w:rPr>
          <w:rFonts w:cs="Times New Roman"/>
          <w:szCs w:val="24"/>
          <w:lang w:val="fr-CA"/>
        </w:rPr>
        <w:t>’</w:t>
      </w:r>
      <w:r w:rsidRPr="00954404">
        <w:rPr>
          <w:rFonts w:cs="Times New Roman"/>
          <w:szCs w:val="24"/>
          <w:lang w:val="fr-CA"/>
        </w:rPr>
        <w:t>allégation d</w:t>
      </w:r>
      <w:r>
        <w:rPr>
          <w:rFonts w:cs="Times New Roman"/>
          <w:szCs w:val="24"/>
          <w:lang w:val="fr-CA"/>
        </w:rPr>
        <w:t>’</w:t>
      </w:r>
      <w:r w:rsidRPr="00954404">
        <w:rPr>
          <w:rFonts w:cs="Times New Roman"/>
          <w:szCs w:val="24"/>
          <w:lang w:val="fr-CA"/>
        </w:rPr>
        <w:t>obligation de diligence à l</w:t>
      </w:r>
      <w:r>
        <w:rPr>
          <w:rFonts w:cs="Times New Roman"/>
          <w:szCs w:val="24"/>
          <w:lang w:val="fr-CA"/>
        </w:rPr>
        <w:t>’</w:t>
      </w:r>
      <w:r w:rsidRPr="00954404">
        <w:rPr>
          <w:rFonts w:cs="Times New Roman"/>
          <w:szCs w:val="24"/>
          <w:lang w:val="fr-CA"/>
        </w:rPr>
        <w:t xml:space="preserve">égard de la </w:t>
      </w:r>
      <w:r w:rsidRPr="00954404">
        <w:rPr>
          <w:rFonts w:cs="Times New Roman"/>
          <w:i/>
          <w:szCs w:val="24"/>
          <w:lang w:val="fr-CA"/>
        </w:rPr>
        <w:t>fixation</w:t>
      </w:r>
      <w:r w:rsidRPr="00954404">
        <w:rPr>
          <w:rFonts w:cs="Times New Roman"/>
          <w:szCs w:val="24"/>
          <w:lang w:val="fr-CA"/>
        </w:rPr>
        <w:t xml:space="preserve"> des frais d</w:t>
      </w:r>
      <w:r>
        <w:rPr>
          <w:rFonts w:cs="Times New Roman"/>
          <w:szCs w:val="24"/>
          <w:lang w:val="fr-CA"/>
        </w:rPr>
        <w:t>’</w:t>
      </w:r>
      <w:r w:rsidRPr="00954404">
        <w:rPr>
          <w:rFonts w:cs="Times New Roman"/>
          <w:szCs w:val="24"/>
          <w:lang w:val="fr-CA"/>
        </w:rPr>
        <w:t>hébergement, mais a autorisé l</w:t>
      </w:r>
      <w:r>
        <w:rPr>
          <w:rFonts w:cs="Times New Roman"/>
          <w:szCs w:val="24"/>
          <w:lang w:val="fr-CA"/>
        </w:rPr>
        <w:t>’</w:t>
      </w:r>
      <w:r w:rsidRPr="00954404">
        <w:rPr>
          <w:rFonts w:cs="Times New Roman"/>
          <w:szCs w:val="24"/>
          <w:lang w:val="fr-CA"/>
        </w:rPr>
        <w:t>allégation de négligence dans le contrôle de la perception et de la gestion des frais d</w:t>
      </w:r>
      <w:r>
        <w:rPr>
          <w:rFonts w:cs="Times New Roman"/>
          <w:szCs w:val="24"/>
          <w:lang w:val="fr-CA"/>
        </w:rPr>
        <w:t>’</w:t>
      </w:r>
      <w:r w:rsidRPr="00954404">
        <w:rPr>
          <w:rFonts w:cs="Times New Roman"/>
          <w:szCs w:val="24"/>
          <w:lang w:val="fr-CA"/>
        </w:rPr>
        <w:t>hébergement.  En statuant que les demandeurs avaient respecté les exigences de l</w:t>
      </w:r>
      <w:r>
        <w:rPr>
          <w:rFonts w:cs="Times New Roman"/>
          <w:szCs w:val="24"/>
          <w:lang w:val="fr-CA"/>
        </w:rPr>
        <w:t>’</w:t>
      </w:r>
      <w:r w:rsidRPr="00954404">
        <w:rPr>
          <w:rFonts w:cs="Times New Roman"/>
          <w:szCs w:val="24"/>
          <w:lang w:val="fr-CA"/>
        </w:rPr>
        <w:t>autorisation, la juge</w:t>
      </w:r>
      <w:r>
        <w:rPr>
          <w:rFonts w:cs="Times New Roman"/>
          <w:szCs w:val="24"/>
          <w:lang w:val="fr-CA"/>
        </w:rPr>
        <w:t xml:space="preserve"> </w:t>
      </w:r>
      <w:r w:rsidRPr="00954404">
        <w:rPr>
          <w:rFonts w:cs="Times New Roman"/>
          <w:szCs w:val="24"/>
          <w:lang w:val="fr-CA"/>
        </w:rPr>
        <w:t>Greckol a conclu qu</w:t>
      </w:r>
      <w:r>
        <w:rPr>
          <w:rFonts w:cs="Times New Roman"/>
          <w:szCs w:val="24"/>
          <w:lang w:val="fr-CA"/>
        </w:rPr>
        <w:t>’</w:t>
      </w:r>
      <w:r w:rsidRPr="00954404">
        <w:rPr>
          <w:rFonts w:cs="Times New Roman"/>
          <w:szCs w:val="24"/>
          <w:lang w:val="fr-CA"/>
        </w:rPr>
        <w:t>un recours collectif était la procédure qui convenait le mieux.</w:t>
      </w:r>
    </w:p>
    <w:p w:rsidR="00466E7D" w:rsidRPr="00954404" w:rsidRDefault="00466E7D" w:rsidP="00466E7D">
      <w:pPr>
        <w:pStyle w:val="ParaNoNdepar-AltN"/>
        <w:rPr>
          <w:rFonts w:cs="Times New Roman"/>
          <w:szCs w:val="24"/>
          <w:lang w:val="fr-CA"/>
        </w:rPr>
      </w:pPr>
      <w:r w:rsidRPr="00954404">
        <w:rPr>
          <w:rFonts w:cs="Times New Roman"/>
          <w:szCs w:val="24"/>
          <w:lang w:val="fr-CA"/>
        </w:rPr>
        <w:t>La Cour d</w:t>
      </w:r>
      <w:r>
        <w:rPr>
          <w:rFonts w:cs="Times New Roman"/>
          <w:szCs w:val="24"/>
          <w:lang w:val="fr-CA"/>
        </w:rPr>
        <w:t>’</w:t>
      </w:r>
      <w:r w:rsidRPr="00954404">
        <w:rPr>
          <w:rFonts w:cs="Times New Roman"/>
          <w:szCs w:val="24"/>
          <w:lang w:val="fr-CA"/>
        </w:rPr>
        <w:t>appel a rejeté l</w:t>
      </w:r>
      <w:r>
        <w:rPr>
          <w:rFonts w:cs="Times New Roman"/>
          <w:szCs w:val="24"/>
          <w:lang w:val="fr-CA"/>
        </w:rPr>
        <w:t>’</w:t>
      </w:r>
      <w:r w:rsidRPr="00954404">
        <w:rPr>
          <w:rFonts w:cs="Times New Roman"/>
          <w:szCs w:val="24"/>
          <w:lang w:val="fr-CA"/>
        </w:rPr>
        <w:t>appel interjeté par la province et a accueilli un appel incident des représentants des demandeurs (2009 ABCA 403, 16 Alta. L.R. (5th) 1).  À l</w:t>
      </w:r>
      <w:r>
        <w:rPr>
          <w:rFonts w:cs="Times New Roman"/>
          <w:szCs w:val="24"/>
          <w:lang w:val="fr-CA"/>
        </w:rPr>
        <w:t>’</w:t>
      </w:r>
      <w:r w:rsidRPr="00954404">
        <w:rPr>
          <w:rFonts w:cs="Times New Roman"/>
          <w:szCs w:val="24"/>
          <w:lang w:val="fr-CA"/>
        </w:rPr>
        <w:t>unanimité, la cour a rétabli l</w:t>
      </w:r>
      <w:r>
        <w:rPr>
          <w:rFonts w:cs="Times New Roman"/>
          <w:szCs w:val="24"/>
          <w:lang w:val="fr-CA"/>
        </w:rPr>
        <w:t>’</w:t>
      </w:r>
      <w:r w:rsidRPr="00954404">
        <w:rPr>
          <w:rFonts w:cs="Times New Roman"/>
          <w:szCs w:val="24"/>
          <w:lang w:val="fr-CA"/>
        </w:rPr>
        <w:t xml:space="preserve">allégation des demandeurs selon laquelle </w:t>
      </w:r>
      <w:r w:rsidRPr="00954404">
        <w:rPr>
          <w:rFonts w:cs="Times New Roman"/>
          <w:szCs w:val="24"/>
          <w:lang w:val="fr-CA"/>
        </w:rPr>
        <w:lastRenderedPageBreak/>
        <w:t>l</w:t>
      </w:r>
      <w:r>
        <w:rPr>
          <w:rFonts w:cs="Times New Roman"/>
          <w:szCs w:val="24"/>
          <w:lang w:val="fr-CA"/>
        </w:rPr>
        <w:t>’</w:t>
      </w:r>
      <w:r w:rsidRPr="00954404">
        <w:rPr>
          <w:rFonts w:cs="Times New Roman"/>
          <w:szCs w:val="24"/>
          <w:lang w:val="fr-CA"/>
        </w:rPr>
        <w:t>Alberta avait, envers le groupe, une obligation fiduciaire et ne l</w:t>
      </w:r>
      <w:r>
        <w:rPr>
          <w:rFonts w:cs="Times New Roman"/>
          <w:szCs w:val="24"/>
          <w:lang w:val="fr-CA"/>
        </w:rPr>
        <w:t>’</w:t>
      </w:r>
      <w:r w:rsidRPr="00954404">
        <w:rPr>
          <w:rFonts w:cs="Times New Roman"/>
          <w:szCs w:val="24"/>
          <w:lang w:val="fr-CA"/>
        </w:rPr>
        <w:t>a pas respectée.  La province se pourvoit maintenant en appel devant notre Cour.</w:t>
      </w:r>
    </w:p>
    <w:p w:rsidR="00466E7D" w:rsidRPr="00954404" w:rsidRDefault="00466E7D" w:rsidP="00466E7D">
      <w:pPr>
        <w:pStyle w:val="TitleTitre-AltT"/>
        <w:keepNext/>
        <w:numPr>
          <w:ilvl w:val="0"/>
          <w:numId w:val="24"/>
        </w:numPr>
        <w:tabs>
          <w:tab w:val="clear" w:pos="360"/>
        </w:tabs>
        <w:spacing w:after="720"/>
        <w:ind w:left="450" w:hanging="450"/>
        <w:rPr>
          <w:rFonts w:cs="Times New Roman"/>
          <w:szCs w:val="24"/>
          <w:u w:val="single"/>
          <w:lang w:val="fr-CA"/>
        </w:rPr>
      </w:pPr>
      <w:r w:rsidRPr="00954404">
        <w:rPr>
          <w:rFonts w:cs="Times New Roman"/>
          <w:szCs w:val="24"/>
          <w:u w:val="single"/>
          <w:lang w:val="fr-CA"/>
        </w:rPr>
        <w:t>Analyse</w:t>
      </w:r>
    </w:p>
    <w:p w:rsidR="00466E7D" w:rsidRPr="00954404" w:rsidRDefault="00466E7D" w:rsidP="00466E7D">
      <w:pPr>
        <w:pStyle w:val="ParaNoNdepar-AltN"/>
        <w:rPr>
          <w:rFonts w:cs="Times New Roman"/>
          <w:szCs w:val="24"/>
          <w:lang w:val="fr-CA"/>
        </w:rPr>
      </w:pPr>
      <w:r w:rsidRPr="00954404">
        <w:rPr>
          <w:rFonts w:cs="Times New Roman"/>
          <w:szCs w:val="24"/>
          <w:lang w:val="fr-CA"/>
        </w:rPr>
        <w:t>Le critère applicable à la radiation des actes de procédure n</w:t>
      </w:r>
      <w:r>
        <w:rPr>
          <w:rFonts w:cs="Times New Roman"/>
          <w:szCs w:val="24"/>
          <w:lang w:val="fr-CA"/>
        </w:rPr>
        <w:t>’</w:t>
      </w:r>
      <w:r w:rsidRPr="00954404">
        <w:rPr>
          <w:rFonts w:cs="Times New Roman"/>
          <w:szCs w:val="24"/>
          <w:lang w:val="fr-CA"/>
        </w:rPr>
        <w:t>est pas en litige.  La question en litige est celle de savoir si les allégations contestées révèlent une cause d</w:t>
      </w:r>
      <w:r>
        <w:rPr>
          <w:rFonts w:cs="Times New Roman"/>
          <w:szCs w:val="24"/>
          <w:lang w:val="fr-CA"/>
        </w:rPr>
        <w:t>’</w:t>
      </w:r>
      <w:r w:rsidRPr="00954404">
        <w:rPr>
          <w:rFonts w:cs="Times New Roman"/>
          <w:szCs w:val="24"/>
          <w:lang w:val="fr-CA"/>
        </w:rPr>
        <w:t>action, à supposer que les faits invoqués soient vrais.  S</w:t>
      </w:r>
      <w:r>
        <w:rPr>
          <w:rFonts w:cs="Times New Roman"/>
          <w:szCs w:val="24"/>
          <w:lang w:val="fr-CA"/>
        </w:rPr>
        <w:t>’</w:t>
      </w:r>
      <w:r w:rsidRPr="00954404">
        <w:rPr>
          <w:rFonts w:cs="Times New Roman"/>
          <w:szCs w:val="24"/>
          <w:lang w:val="fr-CA"/>
        </w:rPr>
        <w:t>il est manifeste et évident qu</w:t>
      </w:r>
      <w:r>
        <w:rPr>
          <w:rFonts w:cs="Times New Roman"/>
          <w:szCs w:val="24"/>
          <w:lang w:val="fr-CA"/>
        </w:rPr>
        <w:t>’</w:t>
      </w:r>
      <w:r w:rsidRPr="00954404">
        <w:rPr>
          <w:rFonts w:cs="Times New Roman"/>
          <w:szCs w:val="24"/>
          <w:lang w:val="fr-CA"/>
        </w:rPr>
        <w:t>une demande ne peut être accueillie, elle devrait être radiée</w:t>
      </w:r>
      <w:r>
        <w:rPr>
          <w:rFonts w:cs="Times New Roman"/>
          <w:szCs w:val="24"/>
          <w:lang w:val="fr-CA"/>
        </w:rPr>
        <w:t> :</w:t>
      </w:r>
      <w:r w:rsidRPr="00954404">
        <w:rPr>
          <w:rFonts w:cs="Times New Roman"/>
          <w:szCs w:val="24"/>
          <w:lang w:val="fr-CA"/>
        </w:rPr>
        <w:t xml:space="preserve"> voir </w:t>
      </w:r>
      <w:r w:rsidRPr="00954404">
        <w:rPr>
          <w:rFonts w:cs="Times New Roman"/>
          <w:i/>
          <w:szCs w:val="24"/>
          <w:lang w:val="fr-CA"/>
        </w:rPr>
        <w:t>Hollick c. Toronto (Ville)</w:t>
      </w:r>
      <w:r w:rsidRPr="00954404">
        <w:rPr>
          <w:rFonts w:cs="Times New Roman"/>
          <w:szCs w:val="24"/>
          <w:lang w:val="fr-CA"/>
        </w:rPr>
        <w:t xml:space="preserve">, 2001 CSC 68, [2001] 3 R.C.S. 158, </w:t>
      </w:r>
      <w:r>
        <w:rPr>
          <w:rFonts w:cs="Times New Roman"/>
          <w:szCs w:val="24"/>
          <w:lang w:val="fr-CA"/>
        </w:rPr>
        <w:t>par. </w:t>
      </w:r>
      <w:r w:rsidRPr="00954404">
        <w:rPr>
          <w:rFonts w:cs="Times New Roman"/>
          <w:szCs w:val="24"/>
          <w:lang w:val="fr-CA"/>
        </w:rPr>
        <w:t xml:space="preserve">25; </w:t>
      </w:r>
      <w:r w:rsidRPr="00954404">
        <w:rPr>
          <w:rFonts w:cs="Times New Roman"/>
          <w:i/>
          <w:szCs w:val="24"/>
          <w:lang w:val="fr-CA"/>
        </w:rPr>
        <w:t>Hunt c. Carey Canada Inc.</w:t>
      </w:r>
      <w:r w:rsidRPr="00954404">
        <w:rPr>
          <w:rFonts w:cs="Times New Roman"/>
          <w:szCs w:val="24"/>
          <w:lang w:val="fr-CA"/>
        </w:rPr>
        <w:t xml:space="preserve">, [1990] 2 R.C.S. 959, </w:t>
      </w:r>
      <w:r>
        <w:rPr>
          <w:rFonts w:cs="Times New Roman"/>
          <w:szCs w:val="24"/>
          <w:lang w:val="fr-CA"/>
        </w:rPr>
        <w:t>p. </w:t>
      </w:r>
      <w:r w:rsidRPr="00954404">
        <w:rPr>
          <w:rFonts w:cs="Times New Roman"/>
          <w:szCs w:val="24"/>
          <w:lang w:val="fr-CA"/>
        </w:rPr>
        <w:t>980.</w:t>
      </w:r>
    </w:p>
    <w:p w:rsidR="00466E7D" w:rsidRPr="00954404" w:rsidRDefault="00466E7D" w:rsidP="00466E7D">
      <w:pPr>
        <w:pStyle w:val="ParaNoNdepar-AltN"/>
        <w:rPr>
          <w:rFonts w:cs="Times New Roman"/>
          <w:b/>
          <w:szCs w:val="24"/>
          <w:lang w:val="fr-CA"/>
        </w:rPr>
      </w:pPr>
      <w:r w:rsidRPr="00954404">
        <w:rPr>
          <w:rFonts w:cs="Times New Roman"/>
          <w:szCs w:val="24"/>
          <w:lang w:val="fr-CA"/>
        </w:rPr>
        <w:t>La question que nous devons trancher relativement à chaque allégation contestée est celle de savoir si ce critère est respecté, puis s</w:t>
      </w:r>
      <w:r>
        <w:rPr>
          <w:rFonts w:cs="Times New Roman"/>
          <w:szCs w:val="24"/>
          <w:lang w:val="fr-CA"/>
        </w:rPr>
        <w:t>’</w:t>
      </w:r>
      <w:r w:rsidRPr="00954404">
        <w:rPr>
          <w:rFonts w:cs="Times New Roman"/>
          <w:szCs w:val="24"/>
          <w:lang w:val="fr-CA"/>
        </w:rPr>
        <w:t>il y a lieu d</w:t>
      </w:r>
      <w:r>
        <w:rPr>
          <w:rFonts w:cs="Times New Roman"/>
          <w:szCs w:val="24"/>
          <w:lang w:val="fr-CA"/>
        </w:rPr>
        <w:t>’</w:t>
      </w:r>
      <w:r w:rsidRPr="00954404">
        <w:rPr>
          <w:rFonts w:cs="Times New Roman"/>
          <w:szCs w:val="24"/>
          <w:lang w:val="fr-CA"/>
        </w:rPr>
        <w:t xml:space="preserve">annuler le recours collectif. </w:t>
      </w:r>
    </w:p>
    <w:p w:rsidR="00466E7D" w:rsidRPr="00954404" w:rsidRDefault="00466E7D" w:rsidP="00466E7D">
      <w:pPr>
        <w:pStyle w:val="TitleTitre-AltT"/>
        <w:keepNext/>
        <w:spacing w:after="720"/>
        <w:rPr>
          <w:rFonts w:cs="Times New Roman"/>
          <w:szCs w:val="24"/>
          <w:lang w:val="fr-CA"/>
        </w:rPr>
      </w:pPr>
      <w:r w:rsidRPr="00954404">
        <w:rPr>
          <w:rFonts w:cs="Times New Roman"/>
          <w:szCs w:val="24"/>
          <w:lang w:val="fr-CA"/>
        </w:rPr>
        <w:t>A.</w:t>
      </w:r>
      <w:r w:rsidRPr="00954404">
        <w:rPr>
          <w:rFonts w:cs="Times New Roman"/>
          <w:szCs w:val="24"/>
          <w:lang w:val="fr-CA"/>
        </w:rPr>
        <w:tab/>
      </w:r>
      <w:r w:rsidRPr="00954404">
        <w:rPr>
          <w:rFonts w:cs="Times New Roman"/>
          <w:i/>
          <w:szCs w:val="24"/>
          <w:lang w:val="fr-CA"/>
        </w:rPr>
        <w:t>L</w:t>
      </w:r>
      <w:r>
        <w:rPr>
          <w:rFonts w:cs="Times New Roman"/>
          <w:i/>
          <w:szCs w:val="24"/>
          <w:lang w:val="fr-CA"/>
        </w:rPr>
        <w:t>’</w:t>
      </w:r>
      <w:r w:rsidRPr="00954404">
        <w:rPr>
          <w:rFonts w:cs="Times New Roman"/>
          <w:i/>
          <w:szCs w:val="24"/>
          <w:lang w:val="fr-CA"/>
        </w:rPr>
        <w:t>allégation de manquement à une obligation fiduciaire</w:t>
      </w:r>
    </w:p>
    <w:p w:rsidR="00466E7D" w:rsidRPr="00954404" w:rsidRDefault="00466E7D" w:rsidP="00466E7D">
      <w:pPr>
        <w:pStyle w:val="ParaNoNdepar-AltN"/>
        <w:rPr>
          <w:rFonts w:cs="Times New Roman"/>
          <w:szCs w:val="24"/>
          <w:lang w:val="fr-CA"/>
        </w:rPr>
      </w:pPr>
      <w:r w:rsidRPr="00954404">
        <w:rPr>
          <w:rFonts w:cs="Times New Roman"/>
          <w:szCs w:val="24"/>
          <w:lang w:val="fr-CA"/>
        </w:rPr>
        <w:t>La question est celle de savoir si l</w:t>
      </w:r>
      <w:r>
        <w:rPr>
          <w:rFonts w:cs="Times New Roman"/>
          <w:szCs w:val="24"/>
          <w:lang w:val="fr-CA"/>
        </w:rPr>
        <w:t>’</w:t>
      </w:r>
      <w:r w:rsidRPr="00954404">
        <w:rPr>
          <w:rFonts w:cs="Times New Roman"/>
          <w:szCs w:val="24"/>
          <w:lang w:val="fr-CA"/>
        </w:rPr>
        <w:t>allégation de manquement à une obligation fiduciaire révèle une cause d</w:t>
      </w:r>
      <w:r>
        <w:rPr>
          <w:rFonts w:cs="Times New Roman"/>
          <w:szCs w:val="24"/>
          <w:lang w:val="fr-CA"/>
        </w:rPr>
        <w:t>’</w:t>
      </w:r>
      <w:r w:rsidRPr="00954404">
        <w:rPr>
          <w:rFonts w:cs="Times New Roman"/>
          <w:szCs w:val="24"/>
          <w:lang w:val="fr-CA"/>
        </w:rPr>
        <w:t>action justifiable, si l</w:t>
      </w:r>
      <w:r>
        <w:rPr>
          <w:rFonts w:cs="Times New Roman"/>
          <w:szCs w:val="24"/>
          <w:lang w:val="fr-CA"/>
        </w:rPr>
        <w:t>’</w:t>
      </w:r>
      <w:r w:rsidRPr="00954404">
        <w:rPr>
          <w:rFonts w:cs="Times New Roman"/>
          <w:szCs w:val="24"/>
          <w:lang w:val="fr-CA"/>
        </w:rPr>
        <w:t>on considère que tous les faits invoqués sont vrais</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Hollick</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 xml:space="preserve">25; </w:t>
      </w:r>
      <w:r w:rsidRPr="00954404">
        <w:rPr>
          <w:rFonts w:cs="Times New Roman"/>
          <w:i/>
          <w:szCs w:val="24"/>
          <w:lang w:val="fr-CA"/>
        </w:rPr>
        <w:t>Hunt</w:t>
      </w:r>
      <w:r w:rsidRPr="00954404">
        <w:rPr>
          <w:rFonts w:cs="Times New Roman"/>
          <w:szCs w:val="24"/>
          <w:lang w:val="fr-CA"/>
        </w:rPr>
        <w:t xml:space="preserve">, </w:t>
      </w:r>
      <w:r>
        <w:rPr>
          <w:rFonts w:cs="Times New Roman"/>
          <w:szCs w:val="24"/>
          <w:lang w:val="fr-CA"/>
        </w:rPr>
        <w:t>p. </w:t>
      </w:r>
      <w:r w:rsidRPr="00954404">
        <w:rPr>
          <w:rFonts w:cs="Times New Roman"/>
          <w:szCs w:val="24"/>
          <w:lang w:val="fr-CA"/>
        </w:rPr>
        <w:t>991.  L</w:t>
      </w:r>
      <w:r>
        <w:rPr>
          <w:rFonts w:cs="Times New Roman"/>
          <w:szCs w:val="24"/>
          <w:lang w:val="fr-CA"/>
        </w:rPr>
        <w:t>’</w:t>
      </w:r>
      <w:r w:rsidRPr="00954404">
        <w:rPr>
          <w:rFonts w:cs="Times New Roman"/>
          <w:szCs w:val="24"/>
          <w:lang w:val="fr-CA"/>
        </w:rPr>
        <w:t>obligation fiduciaire est une notion issue du droit des fiducies.  Elle exige qu</w:t>
      </w:r>
      <w:r>
        <w:rPr>
          <w:rFonts w:cs="Times New Roman"/>
          <w:szCs w:val="24"/>
          <w:lang w:val="fr-CA"/>
        </w:rPr>
        <w:t>’</w:t>
      </w:r>
      <w:r w:rsidRPr="00954404">
        <w:rPr>
          <w:rFonts w:cs="Times New Roman"/>
          <w:szCs w:val="24"/>
          <w:lang w:val="fr-CA"/>
        </w:rPr>
        <w:t xml:space="preserve">une partie, le fiduciaire, fasse </w:t>
      </w:r>
      <w:r w:rsidRPr="00954404">
        <w:rPr>
          <w:rFonts w:cs="Times New Roman"/>
          <w:szCs w:val="24"/>
          <w:lang w:val="fr-CA"/>
        </w:rPr>
        <w:lastRenderedPageBreak/>
        <w:t xml:space="preserve">preuve de loyauté absolue envers une autre partie, le bénéficiaire ou le </w:t>
      </w:r>
      <w:r w:rsidRPr="00954404">
        <w:rPr>
          <w:rFonts w:cs="Times New Roman"/>
          <w:i/>
          <w:szCs w:val="24"/>
          <w:lang w:val="fr-CA"/>
        </w:rPr>
        <w:t>cestui que trust</w:t>
      </w:r>
      <w:r w:rsidRPr="00954404">
        <w:rPr>
          <w:rFonts w:cs="Times New Roman"/>
          <w:szCs w:val="24"/>
          <w:lang w:val="fr-CA"/>
        </w:rPr>
        <w:t>, dans la gestion des affaires de ce dernier.</w:t>
      </w:r>
    </w:p>
    <w:p w:rsidR="00466E7D" w:rsidRPr="00954404" w:rsidRDefault="00466E7D" w:rsidP="00466E7D">
      <w:pPr>
        <w:pStyle w:val="ParaNoNdepar-AltN"/>
        <w:rPr>
          <w:rFonts w:cs="Times New Roman"/>
          <w:szCs w:val="24"/>
          <w:lang w:val="fr-CA"/>
        </w:rPr>
      </w:pPr>
      <w:r w:rsidRPr="00954404">
        <w:rPr>
          <w:rFonts w:cs="Times New Roman"/>
          <w:szCs w:val="24"/>
          <w:lang w:val="fr-CA"/>
        </w:rPr>
        <w:t>Le groupe de demandeurs prétend que les catégories d</w:t>
      </w:r>
      <w:r>
        <w:rPr>
          <w:rFonts w:cs="Times New Roman"/>
          <w:szCs w:val="24"/>
          <w:lang w:val="fr-CA"/>
        </w:rPr>
        <w:t>’</w:t>
      </w:r>
      <w:r w:rsidRPr="00954404">
        <w:rPr>
          <w:rFonts w:cs="Times New Roman"/>
          <w:szCs w:val="24"/>
          <w:lang w:val="fr-CA"/>
        </w:rPr>
        <w:t>obligations fiduciaires ne sont pas exhaustives et que ce principe fondamental appuie leur demande.  Les représentants des demandeurs prétendent qu</w:t>
      </w:r>
      <w:r>
        <w:rPr>
          <w:rFonts w:cs="Times New Roman"/>
          <w:szCs w:val="24"/>
          <w:lang w:val="fr-CA"/>
        </w:rPr>
        <w:t>’</w:t>
      </w:r>
      <w:r w:rsidRPr="00954404">
        <w:rPr>
          <w:rFonts w:cs="Times New Roman"/>
          <w:szCs w:val="24"/>
          <w:lang w:val="fr-CA"/>
        </w:rPr>
        <w:t>ils ont invoqué suffisamment de faits pour faire valoir à tout le moins que l</w:t>
      </w:r>
      <w:r>
        <w:rPr>
          <w:rFonts w:cs="Times New Roman"/>
          <w:szCs w:val="24"/>
          <w:lang w:val="fr-CA"/>
        </w:rPr>
        <w:t>’</w:t>
      </w:r>
      <w:r w:rsidRPr="00954404">
        <w:rPr>
          <w:rFonts w:cs="Times New Roman"/>
          <w:szCs w:val="24"/>
          <w:lang w:val="fr-CA"/>
        </w:rPr>
        <w:t>obligation en question existe envers les membres vulnérables du groupe.  À leur avis, l</w:t>
      </w:r>
      <w:r>
        <w:rPr>
          <w:rFonts w:cs="Times New Roman"/>
          <w:szCs w:val="24"/>
          <w:lang w:val="fr-CA"/>
        </w:rPr>
        <w:t>’</w:t>
      </w:r>
      <w:r w:rsidRPr="00954404">
        <w:rPr>
          <w:rFonts w:cs="Times New Roman"/>
          <w:szCs w:val="24"/>
          <w:lang w:val="fr-CA"/>
        </w:rPr>
        <w:t>obligation fiduciaire est un principe souple conçu pour la protection des personnes vulnérables contre l</w:t>
      </w:r>
      <w:r>
        <w:rPr>
          <w:rFonts w:cs="Times New Roman"/>
          <w:szCs w:val="24"/>
          <w:lang w:val="fr-CA"/>
        </w:rPr>
        <w:t>’</w:t>
      </w:r>
      <w:r w:rsidRPr="00954404">
        <w:rPr>
          <w:rFonts w:cs="Times New Roman"/>
          <w:szCs w:val="24"/>
          <w:lang w:val="fr-CA"/>
        </w:rPr>
        <w:t>abus de pouvoir et ne devrait pas présenter des obstacles insurmontables ni se confiner à des catégories limitées.</w:t>
      </w:r>
    </w:p>
    <w:p w:rsidR="00466E7D" w:rsidRPr="00954404" w:rsidRDefault="00466E7D" w:rsidP="00466E7D">
      <w:pPr>
        <w:pStyle w:val="ParaNoNdepar-AltN"/>
        <w:rPr>
          <w:rFonts w:cs="Times New Roman"/>
          <w:szCs w:val="24"/>
          <w:lang w:val="fr-CA"/>
        </w:rPr>
      </w:pPr>
      <w:r w:rsidRPr="00954404">
        <w:rPr>
          <w:rFonts w:cs="Times New Roman"/>
          <w:szCs w:val="24"/>
          <w:lang w:val="fr-CA"/>
        </w:rPr>
        <w:t>À l</w:t>
      </w:r>
      <w:r>
        <w:rPr>
          <w:rFonts w:cs="Times New Roman"/>
          <w:szCs w:val="24"/>
          <w:lang w:val="fr-CA"/>
        </w:rPr>
        <w:t>’</w:t>
      </w:r>
      <w:r w:rsidRPr="00954404">
        <w:rPr>
          <w:rFonts w:cs="Times New Roman"/>
          <w:szCs w:val="24"/>
          <w:lang w:val="fr-CA"/>
        </w:rPr>
        <w:t>opposé, l</w:t>
      </w:r>
      <w:r>
        <w:rPr>
          <w:rFonts w:cs="Times New Roman"/>
          <w:szCs w:val="24"/>
          <w:lang w:val="fr-CA"/>
        </w:rPr>
        <w:t>’</w:t>
      </w:r>
      <w:r w:rsidRPr="00954404">
        <w:rPr>
          <w:rFonts w:cs="Times New Roman"/>
          <w:szCs w:val="24"/>
          <w:lang w:val="fr-CA"/>
        </w:rPr>
        <w:t>Alberta fait valoir qu</w:t>
      </w:r>
      <w:r>
        <w:rPr>
          <w:rFonts w:cs="Times New Roman"/>
          <w:szCs w:val="24"/>
          <w:lang w:val="fr-CA"/>
        </w:rPr>
        <w:t>’</w:t>
      </w:r>
      <w:r w:rsidRPr="00954404">
        <w:rPr>
          <w:rFonts w:cs="Times New Roman"/>
          <w:szCs w:val="24"/>
          <w:lang w:val="fr-CA"/>
        </w:rPr>
        <w:t>au vu des faits invoqués, elle n</w:t>
      </w:r>
      <w:r>
        <w:rPr>
          <w:rFonts w:cs="Times New Roman"/>
          <w:szCs w:val="24"/>
          <w:lang w:val="fr-CA"/>
        </w:rPr>
        <w:t>’</w:t>
      </w:r>
      <w:r w:rsidRPr="00954404">
        <w:rPr>
          <w:rFonts w:cs="Times New Roman"/>
          <w:szCs w:val="24"/>
          <w:lang w:val="fr-CA"/>
        </w:rPr>
        <w:t>a pas d</w:t>
      </w:r>
      <w:r>
        <w:rPr>
          <w:rFonts w:cs="Times New Roman"/>
          <w:szCs w:val="24"/>
          <w:lang w:val="fr-CA"/>
        </w:rPr>
        <w:t>’</w:t>
      </w:r>
      <w:r w:rsidRPr="00954404">
        <w:rPr>
          <w:rFonts w:cs="Times New Roman"/>
          <w:szCs w:val="24"/>
          <w:lang w:val="fr-CA"/>
        </w:rPr>
        <w:t>obligation fiduciaire envers le groupe de demandeurs.  Selon elle, la doctrine qui permet l</w:t>
      </w:r>
      <w:r>
        <w:rPr>
          <w:rFonts w:cs="Times New Roman"/>
          <w:szCs w:val="24"/>
          <w:lang w:val="fr-CA"/>
        </w:rPr>
        <w:t>’</w:t>
      </w:r>
      <w:r w:rsidRPr="00954404">
        <w:rPr>
          <w:rFonts w:cs="Times New Roman"/>
          <w:szCs w:val="24"/>
          <w:lang w:val="fr-CA"/>
        </w:rPr>
        <w:t>imposition d</w:t>
      </w:r>
      <w:r>
        <w:rPr>
          <w:rFonts w:cs="Times New Roman"/>
          <w:szCs w:val="24"/>
          <w:lang w:val="fr-CA"/>
        </w:rPr>
        <w:t>’</w:t>
      </w:r>
      <w:r w:rsidRPr="00954404">
        <w:rPr>
          <w:rFonts w:cs="Times New Roman"/>
          <w:szCs w:val="24"/>
          <w:lang w:val="fr-CA"/>
        </w:rPr>
        <w:t>une obligation fiduciaire au gouvernement est étroitement circonscrite et ne s</w:t>
      </w:r>
      <w:r>
        <w:rPr>
          <w:rFonts w:cs="Times New Roman"/>
          <w:szCs w:val="24"/>
          <w:lang w:val="fr-CA"/>
        </w:rPr>
        <w:t>’</w:t>
      </w:r>
      <w:r w:rsidRPr="00954404">
        <w:rPr>
          <w:rFonts w:cs="Times New Roman"/>
          <w:szCs w:val="24"/>
          <w:lang w:val="fr-CA"/>
        </w:rPr>
        <w:t>applique pas à une demande comme celle visée en l</w:t>
      </w:r>
      <w:r>
        <w:rPr>
          <w:rFonts w:cs="Times New Roman"/>
          <w:szCs w:val="24"/>
          <w:lang w:val="fr-CA"/>
        </w:rPr>
        <w:t>’</w:t>
      </w:r>
      <w:r w:rsidRPr="00954404">
        <w:rPr>
          <w:rFonts w:cs="Times New Roman"/>
          <w:szCs w:val="24"/>
          <w:lang w:val="fr-CA"/>
        </w:rPr>
        <w:t>espèce.  Conjointement avec les intervenants, le procureur général du Canada et le procureur général de la Colombie</w:t>
      </w:r>
      <w:r>
        <w:rPr>
          <w:rFonts w:cs="Times New Roman"/>
          <w:szCs w:val="24"/>
          <w:lang w:val="fr-CA"/>
        </w:rPr>
        <w:noBreakHyphen/>
      </w:r>
      <w:r w:rsidRPr="00954404">
        <w:rPr>
          <w:rFonts w:cs="Times New Roman"/>
          <w:szCs w:val="24"/>
          <w:lang w:val="fr-CA"/>
        </w:rPr>
        <w:t>Britannique, l</w:t>
      </w:r>
      <w:r>
        <w:rPr>
          <w:rFonts w:cs="Times New Roman"/>
          <w:szCs w:val="24"/>
          <w:lang w:val="fr-CA"/>
        </w:rPr>
        <w:t>’</w:t>
      </w:r>
      <w:r w:rsidRPr="00954404">
        <w:rPr>
          <w:rFonts w:cs="Times New Roman"/>
          <w:szCs w:val="24"/>
          <w:lang w:val="fr-CA"/>
        </w:rPr>
        <w:t>Alberta prie notre Cour de préciser la démarche permettant de reconnaître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obligations fiduciaires du gouvernement envers ses citoyens et de conclure que le gouvernement n</w:t>
      </w:r>
      <w:r>
        <w:rPr>
          <w:rFonts w:cs="Times New Roman"/>
          <w:szCs w:val="24"/>
          <w:lang w:val="fr-CA"/>
        </w:rPr>
        <w:t>’</w:t>
      </w:r>
      <w:r w:rsidRPr="00954404">
        <w:rPr>
          <w:rFonts w:cs="Times New Roman"/>
          <w:szCs w:val="24"/>
          <w:lang w:val="fr-CA"/>
        </w:rPr>
        <w:t>a aucune obligation dans les circonstances de l</w:t>
      </w:r>
      <w:r>
        <w:rPr>
          <w:rFonts w:cs="Times New Roman"/>
          <w:szCs w:val="24"/>
          <w:lang w:val="fr-CA"/>
        </w:rPr>
        <w:t>’</w:t>
      </w:r>
      <w:r w:rsidRPr="00954404">
        <w:rPr>
          <w:rFonts w:cs="Times New Roman"/>
          <w:szCs w:val="24"/>
          <w:lang w:val="fr-CA"/>
        </w:rPr>
        <w:t xml:space="preserve">espèce. </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Cette affaire soulève ainsi la question de savoir à quel moment les gouvernements, par opposition aux personnes physiques, peuvent être liés par une obligation fiduciaire.  L</w:t>
      </w:r>
      <w:r>
        <w:rPr>
          <w:rFonts w:cs="Times New Roman"/>
          <w:szCs w:val="24"/>
          <w:lang w:val="fr-CA"/>
        </w:rPr>
        <w:t>’</w:t>
      </w:r>
      <w:r w:rsidRPr="00954404">
        <w:rPr>
          <w:rFonts w:cs="Times New Roman"/>
          <w:szCs w:val="24"/>
          <w:lang w:val="fr-CA"/>
        </w:rPr>
        <w:t>obligation fiduciaire est issue d</w:t>
      </w:r>
      <w:r>
        <w:rPr>
          <w:rFonts w:cs="Times New Roman"/>
          <w:szCs w:val="24"/>
          <w:lang w:val="fr-CA"/>
        </w:rPr>
        <w:t>’</w:t>
      </w:r>
      <w:r w:rsidRPr="00954404">
        <w:rPr>
          <w:rFonts w:cs="Times New Roman"/>
          <w:szCs w:val="24"/>
          <w:lang w:val="fr-CA"/>
        </w:rPr>
        <w:t>une doctrine de droit privé.  Dans le passé, on a conclu à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obligation fiduciaire des représentants de l</w:t>
      </w:r>
      <w:r>
        <w:rPr>
          <w:rFonts w:cs="Times New Roman"/>
          <w:szCs w:val="24"/>
          <w:lang w:val="fr-CA"/>
        </w:rPr>
        <w:t>’</w:t>
      </w:r>
      <w:r w:rsidRPr="00954404">
        <w:rPr>
          <w:rFonts w:cs="Times New Roman"/>
          <w:szCs w:val="24"/>
          <w:lang w:val="fr-CA"/>
        </w:rPr>
        <w:t>État dans des circonstances restreintes, à savoir lorsqu</w:t>
      </w:r>
      <w:r>
        <w:rPr>
          <w:rFonts w:cs="Times New Roman"/>
          <w:szCs w:val="24"/>
          <w:lang w:val="fr-CA"/>
        </w:rPr>
        <w:t>’</w:t>
      </w:r>
      <w:r w:rsidRPr="00954404">
        <w:rPr>
          <w:rFonts w:cs="Times New Roman"/>
          <w:szCs w:val="24"/>
          <w:lang w:val="fr-CA"/>
        </w:rPr>
        <w:t>ils s</w:t>
      </w:r>
      <w:r>
        <w:rPr>
          <w:rFonts w:cs="Times New Roman"/>
          <w:szCs w:val="24"/>
          <w:lang w:val="fr-CA"/>
        </w:rPr>
        <w:t>’</w:t>
      </w:r>
      <w:r w:rsidRPr="00954404">
        <w:rPr>
          <w:rFonts w:cs="Times New Roman"/>
          <w:szCs w:val="24"/>
          <w:lang w:val="fr-CA"/>
        </w:rPr>
        <w:t>acquittent des responsabilités particulières de l</w:t>
      </w:r>
      <w:r>
        <w:rPr>
          <w:rFonts w:cs="Times New Roman"/>
          <w:szCs w:val="24"/>
          <w:lang w:val="fr-CA"/>
        </w:rPr>
        <w:t>’</w:t>
      </w:r>
      <w:r w:rsidRPr="00954404">
        <w:rPr>
          <w:rFonts w:cs="Times New Roman"/>
          <w:szCs w:val="24"/>
          <w:lang w:val="fr-CA"/>
        </w:rPr>
        <w:t>État envers les peuples autochtones et lorsque l</w:t>
      </w:r>
      <w:r>
        <w:rPr>
          <w:rFonts w:cs="Times New Roman"/>
          <w:szCs w:val="24"/>
          <w:lang w:val="fr-CA"/>
        </w:rPr>
        <w:t>’</w:t>
      </w:r>
      <w:r w:rsidRPr="00954404">
        <w:rPr>
          <w:rFonts w:cs="Times New Roman"/>
          <w:szCs w:val="24"/>
          <w:lang w:val="fr-CA"/>
        </w:rPr>
        <w:t>État agit en son nom personnel, comme dans son rôle de tuteur et de curateur public.  La présente allégation ne fait pas partie de l</w:t>
      </w:r>
      <w:r>
        <w:rPr>
          <w:rFonts w:cs="Times New Roman"/>
          <w:szCs w:val="24"/>
          <w:lang w:val="fr-CA"/>
        </w:rPr>
        <w:t>’</w:t>
      </w:r>
      <w:r w:rsidRPr="00954404">
        <w:rPr>
          <w:rFonts w:cs="Times New Roman"/>
          <w:szCs w:val="24"/>
          <w:lang w:val="fr-CA"/>
        </w:rPr>
        <w:t>une ou l</w:t>
      </w:r>
      <w:r>
        <w:rPr>
          <w:rFonts w:cs="Times New Roman"/>
          <w:szCs w:val="24"/>
          <w:lang w:val="fr-CA"/>
        </w:rPr>
        <w:t>’</w:t>
      </w:r>
      <w:r w:rsidRPr="00954404">
        <w:rPr>
          <w:rFonts w:cs="Times New Roman"/>
          <w:szCs w:val="24"/>
          <w:lang w:val="fr-CA"/>
        </w:rPr>
        <w:t xml:space="preserve">autre de ces situations.  </w:t>
      </w:r>
    </w:p>
    <w:p w:rsidR="00466E7D" w:rsidRPr="00954404" w:rsidRDefault="00466E7D" w:rsidP="00466E7D">
      <w:pPr>
        <w:pStyle w:val="ParaNoNdepar-AltN"/>
        <w:rPr>
          <w:rFonts w:cs="Times New Roman"/>
          <w:szCs w:val="24"/>
          <w:lang w:val="fr-CA"/>
        </w:rPr>
      </w:pPr>
      <w:r w:rsidRPr="00954404">
        <w:rPr>
          <w:rFonts w:cs="Times New Roman"/>
          <w:szCs w:val="24"/>
          <w:lang w:val="fr-CA"/>
        </w:rPr>
        <w:t>À mon avis, les mêmes principes généraux s</w:t>
      </w:r>
      <w:r>
        <w:rPr>
          <w:rFonts w:cs="Times New Roman"/>
          <w:szCs w:val="24"/>
          <w:lang w:val="fr-CA"/>
        </w:rPr>
        <w:t>’</w:t>
      </w:r>
      <w:r w:rsidRPr="00954404">
        <w:rPr>
          <w:rFonts w:cs="Times New Roman"/>
          <w:szCs w:val="24"/>
          <w:lang w:val="fr-CA"/>
        </w:rPr>
        <w:t>appliquent aux entités privées et aux gouvernements, bien qu</w:t>
      </w:r>
      <w:r>
        <w:rPr>
          <w:rFonts w:cs="Times New Roman"/>
          <w:szCs w:val="24"/>
          <w:lang w:val="fr-CA"/>
        </w:rPr>
        <w:t>’</w:t>
      </w:r>
      <w:r w:rsidRPr="00954404">
        <w:rPr>
          <w:rFonts w:cs="Times New Roman"/>
          <w:szCs w:val="24"/>
          <w:lang w:val="fr-CA"/>
        </w:rPr>
        <w:t>ils puissent produire des effets différents lorsque la partie que l</w:t>
      </w:r>
      <w:r>
        <w:rPr>
          <w:rFonts w:cs="Times New Roman"/>
          <w:szCs w:val="24"/>
          <w:lang w:val="fr-CA"/>
        </w:rPr>
        <w:t>’</w:t>
      </w:r>
      <w:r w:rsidRPr="00954404">
        <w:rPr>
          <w:rFonts w:cs="Times New Roman"/>
          <w:szCs w:val="24"/>
          <w:lang w:val="fr-CA"/>
        </w:rPr>
        <w:t>on dit être le fiduciaire est une autorité publique.  Par conséquent, je procéderai à l</w:t>
      </w:r>
      <w:r>
        <w:rPr>
          <w:rFonts w:cs="Times New Roman"/>
          <w:szCs w:val="24"/>
          <w:lang w:val="fr-CA"/>
        </w:rPr>
        <w:t>’</w:t>
      </w:r>
      <w:r w:rsidRPr="00954404">
        <w:rPr>
          <w:rFonts w:cs="Times New Roman"/>
          <w:szCs w:val="24"/>
          <w:lang w:val="fr-CA"/>
        </w:rPr>
        <w:t>examen des conditions nécessaires à l</w:t>
      </w:r>
      <w:r>
        <w:rPr>
          <w:rFonts w:cs="Times New Roman"/>
          <w:szCs w:val="24"/>
          <w:lang w:val="fr-CA"/>
        </w:rPr>
        <w:t>’</w:t>
      </w:r>
      <w:r w:rsidRPr="00954404">
        <w:rPr>
          <w:rFonts w:cs="Times New Roman"/>
          <w:szCs w:val="24"/>
          <w:lang w:val="fr-CA"/>
        </w:rPr>
        <w:t>imposition d</w:t>
      </w:r>
      <w:r>
        <w:rPr>
          <w:rFonts w:cs="Times New Roman"/>
          <w:szCs w:val="24"/>
          <w:lang w:val="fr-CA"/>
        </w:rPr>
        <w:t>’</w:t>
      </w:r>
      <w:r w:rsidRPr="00954404">
        <w:rPr>
          <w:rFonts w:cs="Times New Roman"/>
          <w:szCs w:val="24"/>
          <w:lang w:val="fr-CA"/>
        </w:rPr>
        <w:t>une obligation fiduciaire en général, et j</w:t>
      </w:r>
      <w:r>
        <w:rPr>
          <w:rFonts w:cs="Times New Roman"/>
          <w:szCs w:val="24"/>
          <w:lang w:val="fr-CA"/>
        </w:rPr>
        <w:t>’</w:t>
      </w:r>
      <w:r w:rsidRPr="00954404">
        <w:rPr>
          <w:rFonts w:cs="Times New Roman"/>
          <w:szCs w:val="24"/>
          <w:lang w:val="fr-CA"/>
        </w:rPr>
        <w:t>examinerai ensuite comment ces conditions s</w:t>
      </w:r>
      <w:r>
        <w:rPr>
          <w:rFonts w:cs="Times New Roman"/>
          <w:szCs w:val="24"/>
          <w:lang w:val="fr-CA"/>
        </w:rPr>
        <w:t>’</w:t>
      </w:r>
      <w:r w:rsidRPr="00954404">
        <w:rPr>
          <w:rFonts w:cs="Times New Roman"/>
          <w:szCs w:val="24"/>
          <w:lang w:val="fr-CA"/>
        </w:rPr>
        <w:t>appliquent dans le contexte gouvernemental.</w:t>
      </w:r>
    </w:p>
    <w:p w:rsidR="00466E7D" w:rsidRPr="00954404" w:rsidRDefault="00466E7D" w:rsidP="00466E7D">
      <w:pPr>
        <w:pStyle w:val="TitleTitre-AltT"/>
        <w:numPr>
          <w:ilvl w:val="3"/>
          <w:numId w:val="6"/>
        </w:numPr>
        <w:spacing w:after="720"/>
        <w:ind w:left="1620" w:hanging="450"/>
        <w:rPr>
          <w:rFonts w:cs="Times New Roman"/>
          <w:szCs w:val="24"/>
          <w:u w:val="single"/>
          <w:lang w:val="fr-CA"/>
        </w:rPr>
      </w:pPr>
      <w:r w:rsidRPr="00954404">
        <w:rPr>
          <w:rFonts w:cs="Times New Roman"/>
          <w:szCs w:val="24"/>
          <w:u w:val="single"/>
          <w:lang w:val="fr-CA"/>
        </w:rPr>
        <w:t>Les conditions générales d</w:t>
      </w:r>
      <w:r>
        <w:rPr>
          <w:rFonts w:cs="Times New Roman"/>
          <w:szCs w:val="24"/>
          <w:u w:val="single"/>
          <w:lang w:val="fr-CA"/>
        </w:rPr>
        <w:t>’</w:t>
      </w:r>
      <w:r w:rsidRPr="00954404">
        <w:rPr>
          <w:rFonts w:cs="Times New Roman"/>
          <w:szCs w:val="24"/>
          <w:u w:val="single"/>
          <w:lang w:val="fr-CA"/>
        </w:rPr>
        <w:t>une obligation fiduciaire</w:t>
      </w:r>
    </w:p>
    <w:p w:rsidR="00466E7D" w:rsidRPr="00954404" w:rsidRDefault="00466E7D" w:rsidP="00466E7D">
      <w:pPr>
        <w:pStyle w:val="ParaNoNdepar-AltN"/>
        <w:rPr>
          <w:rFonts w:cs="Times New Roman"/>
          <w:szCs w:val="24"/>
          <w:lang w:val="fr-CA"/>
        </w:rPr>
      </w:pPr>
      <w:r w:rsidRPr="00954404">
        <w:rPr>
          <w:rFonts w:cs="Times New Roman"/>
          <w:szCs w:val="24"/>
          <w:lang w:val="fr-CA"/>
        </w:rPr>
        <w:t>Le groupe de demandeurs prétend que, en plus des catégories traditionnellement reconnues, comme la relation fiduciaire ou la relation avocat</w:t>
      </w:r>
      <w:r>
        <w:rPr>
          <w:rFonts w:cs="Times New Roman"/>
          <w:szCs w:val="24"/>
          <w:lang w:val="fr-CA"/>
        </w:rPr>
        <w:noBreakHyphen/>
      </w:r>
      <w:r w:rsidRPr="00954404">
        <w:rPr>
          <w:rFonts w:cs="Times New Roman"/>
          <w:szCs w:val="24"/>
          <w:lang w:val="fr-CA"/>
        </w:rPr>
        <w:t>client, une obligation fiduciaire peut, en général, naître lorsqu</w:t>
      </w:r>
      <w:r>
        <w:rPr>
          <w:rFonts w:cs="Times New Roman"/>
          <w:szCs w:val="24"/>
          <w:lang w:val="fr-CA"/>
        </w:rPr>
        <w:t>’</w:t>
      </w:r>
      <w:r w:rsidRPr="00954404">
        <w:rPr>
          <w:rFonts w:cs="Times New Roman"/>
          <w:szCs w:val="24"/>
          <w:lang w:val="fr-CA"/>
        </w:rPr>
        <w:t>une personne exerce un pouvoir sur une autre personne « vulnérable ».  Il s</w:t>
      </w:r>
      <w:r>
        <w:rPr>
          <w:rFonts w:cs="Times New Roman"/>
          <w:szCs w:val="24"/>
          <w:lang w:val="fr-CA"/>
        </w:rPr>
        <w:t>’</w:t>
      </w:r>
      <w:r w:rsidRPr="00954404">
        <w:rPr>
          <w:rFonts w:cs="Times New Roman"/>
          <w:szCs w:val="24"/>
          <w:lang w:val="fr-CA"/>
        </w:rPr>
        <w:t>appuie sur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Frame</w:t>
      </w:r>
      <w:r w:rsidRPr="00954404">
        <w:rPr>
          <w:rFonts w:cs="Times New Roman"/>
          <w:szCs w:val="24"/>
          <w:lang w:val="fr-CA"/>
        </w:rPr>
        <w:t xml:space="preserve"> </w:t>
      </w:r>
      <w:r w:rsidRPr="00954404">
        <w:rPr>
          <w:rFonts w:cs="Times New Roman"/>
          <w:i/>
          <w:szCs w:val="24"/>
          <w:lang w:val="fr-CA"/>
        </w:rPr>
        <w:t>c</w:t>
      </w:r>
      <w:r w:rsidRPr="00954404">
        <w:rPr>
          <w:rFonts w:cs="Times New Roman"/>
          <w:i/>
          <w:iCs/>
          <w:spacing w:val="-3"/>
          <w:szCs w:val="24"/>
          <w:lang w:val="fr-CA"/>
        </w:rPr>
        <w:t>.</w:t>
      </w:r>
      <w:r w:rsidRPr="00954404">
        <w:rPr>
          <w:rFonts w:cs="Times New Roman"/>
          <w:spacing w:val="-3"/>
          <w:szCs w:val="24"/>
          <w:lang w:val="fr-CA"/>
        </w:rPr>
        <w:t xml:space="preserve"> </w:t>
      </w:r>
      <w:r w:rsidRPr="00954404">
        <w:rPr>
          <w:rFonts w:cs="Times New Roman"/>
          <w:i/>
          <w:spacing w:val="-3"/>
          <w:szCs w:val="24"/>
          <w:lang w:val="fr-CA"/>
        </w:rPr>
        <w:t>Smith</w:t>
      </w:r>
      <w:r w:rsidRPr="00954404">
        <w:rPr>
          <w:rFonts w:cs="Times New Roman"/>
          <w:spacing w:val="-3"/>
          <w:szCs w:val="24"/>
          <w:lang w:val="fr-CA"/>
        </w:rPr>
        <w:t>, [1987] 2 R.C.S. 99,</w:t>
      </w:r>
      <w:r w:rsidRPr="00954404">
        <w:rPr>
          <w:rFonts w:cs="Times New Roman"/>
          <w:szCs w:val="24"/>
          <w:lang w:val="fr-CA"/>
        </w:rPr>
        <w:t xml:space="preserve"> où la juge Wilson, dont les motifs dissidents ont </w:t>
      </w:r>
      <w:r w:rsidRPr="00954404">
        <w:rPr>
          <w:rFonts w:cs="Times New Roman"/>
          <w:szCs w:val="24"/>
          <w:lang w:val="fr-CA"/>
        </w:rPr>
        <w:lastRenderedPageBreak/>
        <w:t xml:space="preserve">plus tard été adoptés et appliqués dans </w:t>
      </w:r>
      <w:r w:rsidRPr="00954404">
        <w:rPr>
          <w:rFonts w:cs="Times New Roman"/>
          <w:i/>
          <w:szCs w:val="24"/>
          <w:lang w:val="fr-CA"/>
        </w:rPr>
        <w:t>Lac Minerals Ltd. c. International Corona Resources Ltd.</w:t>
      </w:r>
      <w:r w:rsidRPr="00954404">
        <w:rPr>
          <w:rFonts w:cs="Times New Roman"/>
          <w:szCs w:val="24"/>
          <w:lang w:val="fr-CA"/>
        </w:rPr>
        <w:t>, [1989] 2 R.C.S. 574, a énoncé les caractéristiques d</w:t>
      </w:r>
      <w:r>
        <w:rPr>
          <w:rFonts w:cs="Times New Roman"/>
          <w:szCs w:val="24"/>
          <w:lang w:val="fr-CA"/>
        </w:rPr>
        <w:t>’</w:t>
      </w:r>
      <w:r w:rsidRPr="00954404">
        <w:rPr>
          <w:rFonts w:cs="Times New Roman"/>
          <w:szCs w:val="24"/>
          <w:lang w:val="fr-CA"/>
        </w:rPr>
        <w:t>une obligation fiduciaire</w:t>
      </w:r>
      <w:r>
        <w:rPr>
          <w:rFonts w:cs="Times New Roman"/>
          <w:szCs w:val="24"/>
          <w:lang w:val="fr-CA"/>
        </w:rPr>
        <w:t> :</w:t>
      </w:r>
    </w:p>
    <w:p w:rsidR="00466E7D" w:rsidRPr="00954404" w:rsidRDefault="00466E7D" w:rsidP="00466E7D">
      <w:pPr>
        <w:pStyle w:val="Citation-AltC"/>
        <w:spacing w:after="240"/>
        <w:ind w:hanging="1166"/>
        <w:contextualSpacing w:val="0"/>
        <w:rPr>
          <w:lang w:val="fr-CA"/>
        </w:rPr>
      </w:pPr>
      <w:r w:rsidRPr="00954404">
        <w:rPr>
          <w:lang w:val="fr-CA"/>
        </w:rPr>
        <w:tab/>
      </w:r>
      <w:r w:rsidRPr="00954404">
        <w:rPr>
          <w:lang w:val="fr-CA"/>
        </w:rPr>
        <w:tab/>
      </w:r>
      <w:r w:rsidRPr="00954404">
        <w:rPr>
          <w:spacing w:val="-3"/>
          <w:lang w:val="fr-CA"/>
        </w:rPr>
        <w:t xml:space="preserve">Les </w:t>
      </w:r>
      <w:r w:rsidRPr="00900981">
        <w:rPr>
          <w:szCs w:val="24"/>
          <w:lang w:val="fr-CA"/>
        </w:rPr>
        <w:t>rapports</w:t>
      </w:r>
      <w:r w:rsidRPr="00954404">
        <w:rPr>
          <w:spacing w:val="-3"/>
          <w:lang w:val="fr-CA"/>
        </w:rPr>
        <w:t xml:space="preserve"> dans lesquels une obligation fiduciaire a été imposée semblent posséder trois caractéristiques générales</w:t>
      </w:r>
      <w:r>
        <w:rPr>
          <w:spacing w:val="-3"/>
          <w:lang w:val="fr-CA"/>
        </w:rPr>
        <w:t> :</w:t>
      </w:r>
    </w:p>
    <w:p w:rsidR="00466E7D" w:rsidRPr="00900981" w:rsidRDefault="00466E7D" w:rsidP="00466E7D">
      <w:pPr>
        <w:pStyle w:val="Citation-AltC"/>
        <w:tabs>
          <w:tab w:val="left" w:pos="1620"/>
        </w:tabs>
        <w:spacing w:after="240"/>
        <w:contextualSpacing w:val="0"/>
        <w:rPr>
          <w:lang w:val="fr-CA"/>
        </w:rPr>
      </w:pPr>
      <w:r>
        <w:rPr>
          <w:lang w:val="fr-CA"/>
        </w:rPr>
        <w:t>(1)</w:t>
      </w:r>
      <w:r>
        <w:rPr>
          <w:lang w:val="fr-CA"/>
        </w:rPr>
        <w:tab/>
      </w:r>
      <w:r w:rsidRPr="00900981">
        <w:rPr>
          <w:lang w:val="fr-CA"/>
        </w:rPr>
        <w:t>le fiduciaire peut exercer un certain pouvoir discrétionnaire.</w:t>
      </w:r>
    </w:p>
    <w:p w:rsidR="00466E7D" w:rsidRPr="00900981" w:rsidRDefault="00466E7D" w:rsidP="00466E7D">
      <w:pPr>
        <w:pStyle w:val="Citation-AltC"/>
        <w:tabs>
          <w:tab w:val="left" w:pos="1620"/>
        </w:tabs>
        <w:spacing w:after="240"/>
        <w:contextualSpacing w:val="0"/>
        <w:rPr>
          <w:lang w:val="fr-CA"/>
        </w:rPr>
      </w:pPr>
      <w:r w:rsidRPr="00900981">
        <w:rPr>
          <w:lang w:val="fr-CA"/>
        </w:rPr>
        <w:t>(2)</w:t>
      </w:r>
      <w:r w:rsidRPr="00900981">
        <w:rPr>
          <w:lang w:val="fr-CA"/>
        </w:rPr>
        <w:tab/>
        <w:t>le fiduciaire peut unilatéralement exercer ce pouvoir discrétionnaire de manière à avoir un effet sur les intérêts juridiques ou pratiques du bénéficiaire.</w:t>
      </w:r>
    </w:p>
    <w:p w:rsidR="00466E7D" w:rsidRPr="00954404" w:rsidRDefault="00466E7D" w:rsidP="00466E7D">
      <w:pPr>
        <w:pStyle w:val="Citation-AltC"/>
        <w:tabs>
          <w:tab w:val="left" w:pos="1620"/>
        </w:tabs>
        <w:rPr>
          <w:lang w:val="fr-CA"/>
        </w:rPr>
      </w:pPr>
      <w:r>
        <w:rPr>
          <w:spacing w:val="-3"/>
          <w:lang w:val="fr-CA"/>
        </w:rPr>
        <w:t>(3)</w:t>
      </w:r>
      <w:r>
        <w:rPr>
          <w:spacing w:val="-3"/>
          <w:lang w:val="fr-CA"/>
        </w:rPr>
        <w:tab/>
      </w:r>
      <w:r w:rsidRPr="00954404">
        <w:rPr>
          <w:spacing w:val="-3"/>
          <w:lang w:val="fr-CA"/>
        </w:rPr>
        <w:t xml:space="preserve">le </w:t>
      </w:r>
      <w:r w:rsidRPr="00900981">
        <w:rPr>
          <w:lang w:val="fr-CA"/>
        </w:rPr>
        <w:t>bénéficiaire</w:t>
      </w:r>
      <w:r w:rsidRPr="00954404">
        <w:rPr>
          <w:spacing w:val="-3"/>
          <w:lang w:val="fr-CA"/>
        </w:rPr>
        <w:t xml:space="preserve"> est particulièrement vulnérable ou à la merci du fiduciaire qui détient le pouvoir discrétionnaire.  [</w:t>
      </w:r>
      <w:r>
        <w:rPr>
          <w:spacing w:val="-3"/>
          <w:lang w:val="fr-CA"/>
        </w:rPr>
        <w:t>p. </w:t>
      </w:r>
      <w:r w:rsidRPr="00954404">
        <w:rPr>
          <w:spacing w:val="-3"/>
          <w:lang w:val="fr-CA"/>
        </w:rPr>
        <w:t>136]</w:t>
      </w:r>
    </w:p>
    <w:p w:rsidR="00466E7D" w:rsidRPr="00954404" w:rsidRDefault="00466E7D" w:rsidP="00466E7D">
      <w:pPr>
        <w:pStyle w:val="ParaNoNdepar-AltN"/>
        <w:rPr>
          <w:rFonts w:cs="Times New Roman"/>
          <w:szCs w:val="24"/>
          <w:lang w:val="fr-CA"/>
        </w:rPr>
      </w:pPr>
      <w:r w:rsidRPr="00954404">
        <w:rPr>
          <w:rFonts w:cs="Times New Roman"/>
          <w:szCs w:val="24"/>
          <w:lang w:val="fr-CA"/>
        </w:rPr>
        <w:t>Il est désormais clair que la vulnérabilité, à elle seule, ne suffit pas à justifier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obligation fiduciaire.  Le juge Cromwell a donné l</w:t>
      </w:r>
      <w:r>
        <w:rPr>
          <w:rFonts w:cs="Times New Roman"/>
          <w:szCs w:val="24"/>
          <w:lang w:val="fr-CA"/>
        </w:rPr>
        <w:t>’</w:t>
      </w:r>
      <w:r w:rsidRPr="00954404">
        <w:rPr>
          <w:rFonts w:cs="Times New Roman"/>
          <w:szCs w:val="24"/>
          <w:lang w:val="fr-CA"/>
        </w:rPr>
        <w:t>explication qui suit au par</w:t>
      </w:r>
      <w:r w:rsidR="00C17A07">
        <w:rPr>
          <w:rFonts w:cs="Times New Roman"/>
          <w:szCs w:val="24"/>
          <w:lang w:val="fr-CA"/>
        </w:rPr>
        <w:t>.</w:t>
      </w:r>
      <w:r w:rsidRPr="00954404">
        <w:rPr>
          <w:rFonts w:cs="Times New Roman"/>
          <w:szCs w:val="24"/>
          <w:lang w:val="fr-CA"/>
        </w:rPr>
        <w:t xml:space="preserve"> 67 de l</w:t>
      </w:r>
      <w:r>
        <w:rPr>
          <w:rFonts w:cs="Times New Roman"/>
          <w:szCs w:val="24"/>
          <w:lang w:val="fr-CA"/>
        </w:rPr>
        <w:t>’</w:t>
      </w:r>
      <w:r w:rsidRPr="00954404">
        <w:rPr>
          <w:rFonts w:cs="Times New Roman"/>
          <w:szCs w:val="24"/>
          <w:lang w:val="fr-CA"/>
        </w:rPr>
        <w:t>arrêt </w:t>
      </w:r>
      <w:r w:rsidRPr="00954404">
        <w:rPr>
          <w:rFonts w:cs="Times New Roman"/>
          <w:i/>
          <w:szCs w:val="24"/>
          <w:lang w:val="fr-CA"/>
        </w:rPr>
        <w:t>Galambos c. Perez</w:t>
      </w:r>
      <w:r w:rsidRPr="00954404">
        <w:rPr>
          <w:rFonts w:cs="Times New Roman"/>
          <w:szCs w:val="24"/>
          <w:lang w:val="fr-CA"/>
        </w:rPr>
        <w:t>, 2009 CSC 48, [2009] 3 R.C.S. 247</w:t>
      </w:r>
      <w:r>
        <w:rPr>
          <w:rFonts w:cs="Times New Roman"/>
          <w:szCs w:val="24"/>
          <w:lang w:val="fr-CA"/>
        </w:rPr>
        <w:t> :</w:t>
      </w:r>
    </w:p>
    <w:p w:rsidR="00466E7D" w:rsidRPr="00954404" w:rsidRDefault="00466E7D" w:rsidP="00466E7D">
      <w:pPr>
        <w:pStyle w:val="Citation-AltC"/>
        <w:ind w:hanging="1166"/>
        <w:rPr>
          <w:szCs w:val="24"/>
          <w:lang w:val="fr-CA"/>
        </w:rPr>
      </w:pPr>
      <w:r w:rsidRPr="00954404">
        <w:rPr>
          <w:szCs w:val="24"/>
          <w:lang w:val="fr-CA"/>
        </w:rPr>
        <w:tab/>
      </w:r>
      <w:r w:rsidRPr="00954404">
        <w:rPr>
          <w:szCs w:val="24"/>
          <w:lang w:val="fr-CA"/>
        </w:rPr>
        <w:tab/>
        <w:t>Le droit des fiducies se préoccupe notamment de la protection d</w:t>
      </w:r>
      <w:r>
        <w:rPr>
          <w:szCs w:val="24"/>
          <w:lang w:val="fr-CA"/>
        </w:rPr>
        <w:t>’</w:t>
      </w:r>
      <w:r w:rsidRPr="00954404">
        <w:rPr>
          <w:szCs w:val="24"/>
          <w:lang w:val="fr-CA"/>
        </w:rPr>
        <w:t>une partie contre l</w:t>
      </w:r>
      <w:r>
        <w:rPr>
          <w:szCs w:val="24"/>
          <w:lang w:val="fr-CA"/>
        </w:rPr>
        <w:t>’</w:t>
      </w:r>
      <w:r w:rsidRPr="00954404">
        <w:rPr>
          <w:szCs w:val="24"/>
          <w:lang w:val="fr-CA"/>
        </w:rPr>
        <w:t>exercice abusif du pouvoir par une autre partie dans certains types de relations ou dans des circonstances particulières. Toutefois, on donne une portée trop large au droit des fiducies si on affirme qu</w:t>
      </w:r>
      <w:r>
        <w:rPr>
          <w:szCs w:val="24"/>
          <w:lang w:val="fr-CA"/>
        </w:rPr>
        <w:t>’</w:t>
      </w:r>
      <w:r w:rsidRPr="00954404">
        <w:rPr>
          <w:szCs w:val="24"/>
          <w:lang w:val="fr-CA"/>
        </w:rPr>
        <w:t>il vise à protéger la partie ou les personnes vulnérables.  Le droit vise à protéger les personnes vulnérables dans divers contextes et grâce à différentes doctrines.</w:t>
      </w:r>
    </w:p>
    <w:p w:rsidR="00466E7D" w:rsidRPr="00954404" w:rsidRDefault="00466E7D" w:rsidP="00466E7D">
      <w:pPr>
        <w:pStyle w:val="ContinueParaSuitedupar-AltP"/>
        <w:rPr>
          <w:rFonts w:cs="Times New Roman"/>
          <w:szCs w:val="24"/>
          <w:lang w:val="fr-CA"/>
        </w:rPr>
      </w:pPr>
      <w:r w:rsidRPr="00954404">
        <w:rPr>
          <w:rFonts w:cs="Times New Roman"/>
          <w:szCs w:val="24"/>
          <w:lang w:val="fr-CA"/>
        </w:rPr>
        <w:t>Le juge Cromwell a conclu ce qui suit au par</w:t>
      </w:r>
      <w:r w:rsidR="00C17A07">
        <w:rPr>
          <w:rFonts w:cs="Times New Roman"/>
          <w:szCs w:val="24"/>
          <w:lang w:val="fr-CA"/>
        </w:rPr>
        <w:t>.</w:t>
      </w:r>
      <w:r w:rsidRPr="00954404">
        <w:rPr>
          <w:rFonts w:cs="Times New Roman"/>
          <w:szCs w:val="24"/>
          <w:lang w:val="fr-CA"/>
        </w:rPr>
        <w:t> 68</w:t>
      </w:r>
      <w:r>
        <w:rPr>
          <w:rFonts w:cs="Times New Roman"/>
          <w:szCs w:val="24"/>
          <w:lang w:val="fr-CA"/>
        </w:rPr>
        <w:t> :</w:t>
      </w:r>
    </w:p>
    <w:p w:rsidR="00466E7D" w:rsidRPr="00954404" w:rsidRDefault="00466E7D" w:rsidP="00C17A07">
      <w:pPr>
        <w:pStyle w:val="Citation-AltC"/>
        <w:tabs>
          <w:tab w:val="left" w:pos="1620"/>
        </w:tabs>
        <w:ind w:hanging="1166"/>
        <w:contextualSpacing w:val="0"/>
        <w:rPr>
          <w:szCs w:val="24"/>
          <w:lang w:val="fr-CA"/>
        </w:rPr>
      </w:pPr>
      <w:r w:rsidRPr="00954404">
        <w:rPr>
          <w:szCs w:val="24"/>
          <w:lang w:val="fr-CA"/>
        </w:rPr>
        <w:lastRenderedPageBreak/>
        <w:tab/>
      </w:r>
      <w:r w:rsidR="00C17A07">
        <w:rPr>
          <w:szCs w:val="24"/>
          <w:lang w:val="fr-CA"/>
        </w:rPr>
        <w:t xml:space="preserve">. . . </w:t>
      </w:r>
      <w:r w:rsidRPr="00954404">
        <w:rPr>
          <w:szCs w:val="24"/>
          <w:u w:val="single"/>
          <w:lang w:val="fr-CA"/>
        </w:rPr>
        <w:t>bien que la vulnérabilité au sens large découlant de facteurs étrangers à la relation soit une considération pertinente, il importe avant tout de savoir dans quelle mesure elle résulte de la relation</w:t>
      </w:r>
      <w:r>
        <w:rPr>
          <w:szCs w:val="24"/>
          <w:lang w:val="fr-CA"/>
        </w:rPr>
        <w:t> :</w:t>
      </w:r>
      <w:r w:rsidRPr="00954404">
        <w:rPr>
          <w:szCs w:val="24"/>
          <w:lang w:val="fr-CA"/>
        </w:rPr>
        <w:t xml:space="preserve"> </w:t>
      </w:r>
      <w:r w:rsidRPr="00954404">
        <w:rPr>
          <w:i/>
          <w:iCs/>
          <w:szCs w:val="24"/>
          <w:lang w:val="fr-CA"/>
        </w:rPr>
        <w:t>Hodgkinson</w:t>
      </w:r>
      <w:r w:rsidRPr="00954404">
        <w:rPr>
          <w:szCs w:val="24"/>
          <w:lang w:val="fr-CA"/>
        </w:rPr>
        <w:t xml:space="preserve">, </w:t>
      </w:r>
      <w:r>
        <w:rPr>
          <w:szCs w:val="24"/>
          <w:lang w:val="fr-CA"/>
        </w:rPr>
        <w:t>p. </w:t>
      </w:r>
      <w:r w:rsidR="00C17A07">
        <w:rPr>
          <w:szCs w:val="24"/>
          <w:lang w:val="fr-CA"/>
        </w:rPr>
        <w:t xml:space="preserve">406.  </w:t>
      </w:r>
      <w:r w:rsidRPr="00954404">
        <w:rPr>
          <w:szCs w:val="24"/>
          <w:lang w:val="fr-CA"/>
        </w:rPr>
        <w:t xml:space="preserve">[Je </w:t>
      </w:r>
      <w:r w:rsidRPr="00C17A07">
        <w:rPr>
          <w:szCs w:val="24"/>
          <w:lang w:val="fr-CA"/>
        </w:rPr>
        <w:t>souligne</w:t>
      </w:r>
      <w:r w:rsidRPr="00954404">
        <w:rPr>
          <w:szCs w:val="24"/>
          <w:lang w:val="fr-CA"/>
        </w:rPr>
        <w:t>.]</w:t>
      </w:r>
    </w:p>
    <w:p w:rsidR="00466E7D" w:rsidRPr="00954404" w:rsidRDefault="00466E7D" w:rsidP="00466E7D">
      <w:pPr>
        <w:pStyle w:val="ParaNoNdepar-AltN"/>
        <w:rPr>
          <w:rFonts w:cs="Times New Roman"/>
          <w:szCs w:val="24"/>
          <w:lang w:val="fr-CA"/>
        </w:rPr>
      </w:pPr>
      <w:r w:rsidRPr="00954404">
        <w:rPr>
          <w:rFonts w:cs="Times New Roman"/>
          <w:szCs w:val="24"/>
          <w:lang w:val="fr-CA"/>
        </w:rPr>
        <w:t>Si utiles que puissent être les trois « caractéristiques » mentionnées dans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Frame</w:t>
      </w:r>
      <w:r w:rsidRPr="00954404">
        <w:rPr>
          <w:rFonts w:cs="Times New Roman"/>
          <w:szCs w:val="24"/>
          <w:lang w:val="fr-CA"/>
        </w:rPr>
        <w:t xml:space="preserve"> pour expliquer la source des obligations fiduciaires, elles ne constituent pas un code complet permettant de reconnaître les obligations fiduciaires.  Il ressort maintenant clairement des principes fondamentaux énoncés dans les arrêts </w:t>
      </w:r>
      <w:r w:rsidRPr="00954404">
        <w:rPr>
          <w:rFonts w:cs="Times New Roman"/>
          <w:i/>
          <w:szCs w:val="24"/>
          <w:lang w:val="fr-CA"/>
        </w:rPr>
        <w:t>Guerin c. La Reine</w:t>
      </w:r>
      <w:r w:rsidRPr="00954404">
        <w:rPr>
          <w:rFonts w:cs="Times New Roman"/>
          <w:szCs w:val="24"/>
          <w:lang w:val="fr-CA"/>
        </w:rPr>
        <w:t xml:space="preserve">, [1984] 2 R.C.S. 335, </w:t>
      </w:r>
      <w:r w:rsidRPr="00954404">
        <w:rPr>
          <w:rFonts w:cs="Times New Roman"/>
          <w:i/>
          <w:szCs w:val="24"/>
          <w:lang w:val="fr-CA"/>
        </w:rPr>
        <w:t>Hodgkinson c. Simms</w:t>
      </w:r>
      <w:r w:rsidRPr="00954404">
        <w:rPr>
          <w:rFonts w:cs="Times New Roman"/>
          <w:szCs w:val="24"/>
          <w:lang w:val="fr-CA"/>
        </w:rPr>
        <w:t>, [1994] 3 R.C.S. 377</w:t>
      </w:r>
      <w:r w:rsidR="005A3FB1">
        <w:rPr>
          <w:rFonts w:cs="Times New Roman"/>
          <w:szCs w:val="24"/>
          <w:lang w:val="fr-CA"/>
        </w:rPr>
        <w:t>,</w:t>
      </w:r>
      <w:r w:rsidRPr="00954404">
        <w:rPr>
          <w:rFonts w:cs="Times New Roman"/>
          <w:szCs w:val="24"/>
          <w:lang w:val="fr-CA"/>
        </w:rPr>
        <w:t xml:space="preserve"> et </w:t>
      </w:r>
      <w:r w:rsidRPr="00954404">
        <w:rPr>
          <w:rFonts w:cs="Times New Roman"/>
          <w:i/>
          <w:szCs w:val="24"/>
          <w:lang w:val="fr-CA"/>
        </w:rPr>
        <w:t>Galambos</w:t>
      </w:r>
      <w:r w:rsidRPr="00954404">
        <w:rPr>
          <w:rFonts w:cs="Times New Roman"/>
          <w:szCs w:val="24"/>
          <w:lang w:val="fr-CA"/>
        </w:rPr>
        <w:t>, que les éléments indiqués dans les paragraphes qui suivent sont ceux qui permettent de reconnaître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obligation fiduciaire dans les cas non visés par une catégorie existante de cas dans lesquels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 xml:space="preserve">une obligation fiduciaire a été reconnue. </w:t>
      </w:r>
    </w:p>
    <w:p w:rsidR="00466E7D" w:rsidRPr="00954404" w:rsidRDefault="00466E7D" w:rsidP="00466E7D">
      <w:pPr>
        <w:pStyle w:val="ParaNoNdepar-AltN"/>
        <w:rPr>
          <w:rFonts w:cs="Times New Roman"/>
          <w:szCs w:val="24"/>
          <w:lang w:val="fr-CA"/>
        </w:rPr>
      </w:pPr>
      <w:r w:rsidRPr="00954404">
        <w:rPr>
          <w:rFonts w:cs="Times New Roman"/>
          <w:szCs w:val="24"/>
          <w:lang w:val="fr-CA"/>
        </w:rPr>
        <w:t>D</w:t>
      </w:r>
      <w:r>
        <w:rPr>
          <w:rFonts w:cs="Times New Roman"/>
          <w:szCs w:val="24"/>
          <w:lang w:val="fr-CA"/>
        </w:rPr>
        <w:t>’</w:t>
      </w:r>
      <w:r w:rsidRPr="00954404">
        <w:rPr>
          <w:rFonts w:cs="Times New Roman"/>
          <w:szCs w:val="24"/>
          <w:lang w:val="fr-CA"/>
        </w:rPr>
        <w:t>abord, la preuve doit démontrer que le fiduciaire s</w:t>
      </w:r>
      <w:r>
        <w:rPr>
          <w:rFonts w:cs="Times New Roman"/>
          <w:szCs w:val="24"/>
          <w:lang w:val="fr-CA"/>
        </w:rPr>
        <w:t>’</w:t>
      </w:r>
      <w:r w:rsidRPr="00954404">
        <w:rPr>
          <w:rFonts w:cs="Times New Roman"/>
          <w:szCs w:val="24"/>
          <w:lang w:val="fr-CA"/>
        </w:rPr>
        <w:t>est engagé délibérément à agir au mieux des intérêts du bénéficiaire</w:t>
      </w:r>
      <w:r>
        <w:rPr>
          <w:rFonts w:cs="Times New Roman"/>
          <w:szCs w:val="24"/>
          <w:lang w:val="fr-CA"/>
        </w:rPr>
        <w:t> :</w:t>
      </w:r>
      <w:r w:rsidRPr="00954404">
        <w:rPr>
          <w:rFonts w:cs="Times New Roman"/>
          <w:i/>
          <w:szCs w:val="24"/>
          <w:lang w:val="fr-CA"/>
        </w:rPr>
        <w:t xml:space="preserve"> Galambos</w:t>
      </w:r>
      <w:r w:rsidRPr="00954404">
        <w:rPr>
          <w:rFonts w:cs="Times New Roman"/>
          <w:szCs w:val="24"/>
          <w:lang w:val="fr-CA"/>
        </w:rPr>
        <w:t>,</w:t>
      </w:r>
      <w:r w:rsidRPr="00954404">
        <w:rPr>
          <w:rFonts w:cs="Times New Roman"/>
          <w:i/>
          <w:szCs w:val="24"/>
          <w:lang w:val="fr-CA"/>
        </w:rPr>
        <w:t xml:space="preserve"> </w:t>
      </w:r>
      <w:r>
        <w:rPr>
          <w:rFonts w:cs="Times New Roman"/>
          <w:szCs w:val="24"/>
          <w:lang w:val="fr-CA"/>
        </w:rPr>
        <w:t>par. </w:t>
      </w:r>
      <w:r w:rsidRPr="00954404">
        <w:rPr>
          <w:rFonts w:cs="Times New Roman"/>
          <w:szCs w:val="24"/>
          <w:lang w:val="fr-CA"/>
        </w:rPr>
        <w:t>66, 71</w:t>
      </w:r>
      <w:r w:rsidR="001C763A">
        <w:rPr>
          <w:rFonts w:cs="Times New Roman"/>
          <w:szCs w:val="24"/>
          <w:lang w:val="fr-CA"/>
        </w:rPr>
        <w:t xml:space="preserve"> et</w:t>
      </w:r>
      <w:r w:rsidRPr="00954404">
        <w:rPr>
          <w:rFonts w:cs="Times New Roman"/>
          <w:szCs w:val="24"/>
          <w:lang w:val="fr-CA"/>
        </w:rPr>
        <w:t xml:space="preserve"> 77</w:t>
      </w:r>
      <w:r>
        <w:rPr>
          <w:rFonts w:cs="Times New Roman"/>
          <w:szCs w:val="24"/>
          <w:lang w:val="fr-CA"/>
        </w:rPr>
        <w:noBreakHyphen/>
      </w:r>
      <w:r w:rsidRPr="00954404">
        <w:rPr>
          <w:rFonts w:cs="Times New Roman"/>
          <w:szCs w:val="24"/>
          <w:lang w:val="fr-CA"/>
        </w:rPr>
        <w:t xml:space="preserve">78, et </w:t>
      </w:r>
      <w:r w:rsidRPr="00954404">
        <w:rPr>
          <w:rFonts w:cs="Times New Roman"/>
          <w:i/>
          <w:szCs w:val="24"/>
          <w:lang w:val="fr-CA"/>
        </w:rPr>
        <w:t>Hodgkinson</w:t>
      </w:r>
      <w:r w:rsidRPr="00954404">
        <w:rPr>
          <w:rFonts w:cs="Times New Roman"/>
          <w:szCs w:val="24"/>
          <w:lang w:val="fr-CA"/>
        </w:rPr>
        <w:t xml:space="preserve">, le juge La Forest, </w:t>
      </w:r>
      <w:r>
        <w:rPr>
          <w:rFonts w:cs="Times New Roman"/>
          <w:szCs w:val="24"/>
          <w:lang w:val="fr-CA"/>
        </w:rPr>
        <w:t>p. </w:t>
      </w:r>
      <w:r w:rsidRPr="00954404">
        <w:rPr>
          <w:rFonts w:cs="Times New Roman"/>
          <w:szCs w:val="24"/>
          <w:lang w:val="fr-CA"/>
        </w:rPr>
        <w:t>409</w:t>
      </w:r>
      <w:r>
        <w:rPr>
          <w:rFonts w:cs="Times New Roman"/>
          <w:szCs w:val="24"/>
          <w:lang w:val="fr-CA"/>
        </w:rPr>
        <w:noBreakHyphen/>
      </w:r>
      <w:r w:rsidRPr="00954404">
        <w:rPr>
          <w:rFonts w:cs="Times New Roman"/>
          <w:szCs w:val="24"/>
          <w:lang w:val="fr-CA"/>
        </w:rPr>
        <w:t>410.  Comme le juge Cromwell l</w:t>
      </w:r>
      <w:r>
        <w:rPr>
          <w:rFonts w:cs="Times New Roman"/>
          <w:szCs w:val="24"/>
          <w:lang w:val="fr-CA"/>
        </w:rPr>
        <w:t>’</w:t>
      </w:r>
      <w:r w:rsidRPr="00954404">
        <w:rPr>
          <w:rFonts w:cs="Times New Roman"/>
          <w:szCs w:val="24"/>
          <w:lang w:val="fr-CA"/>
        </w:rPr>
        <w:t xml:space="preserve">a écrit dans </w:t>
      </w:r>
      <w:r w:rsidRPr="00954404">
        <w:rPr>
          <w:rFonts w:cs="Times New Roman"/>
          <w:i/>
          <w:szCs w:val="24"/>
          <w:lang w:val="fr-CA"/>
        </w:rPr>
        <w:t>Galambos</w:t>
      </w:r>
      <w:r w:rsidRPr="00954404">
        <w:rPr>
          <w:rFonts w:cs="Times New Roman"/>
          <w:szCs w:val="24"/>
          <w:lang w:val="fr-CA"/>
        </w:rPr>
        <w:t xml:space="preserve">, au </w:t>
      </w:r>
      <w:r>
        <w:rPr>
          <w:rFonts w:cs="Times New Roman"/>
          <w:szCs w:val="24"/>
          <w:lang w:val="fr-CA"/>
        </w:rPr>
        <w:t>par. </w:t>
      </w:r>
      <w:r w:rsidRPr="00954404">
        <w:rPr>
          <w:rFonts w:cs="Times New Roman"/>
          <w:szCs w:val="24"/>
          <w:lang w:val="fr-CA"/>
        </w:rPr>
        <w:t>75</w:t>
      </w:r>
      <w:r>
        <w:rPr>
          <w:rFonts w:cs="Times New Roman"/>
          <w:szCs w:val="24"/>
          <w:lang w:val="fr-CA"/>
        </w:rPr>
        <w:t> :</w:t>
      </w:r>
      <w:r w:rsidRPr="00954404">
        <w:rPr>
          <w:rFonts w:cs="Times New Roman"/>
          <w:szCs w:val="24"/>
          <w:lang w:val="fr-CA"/>
        </w:rPr>
        <w:t xml:space="preserve"> « </w:t>
      </w:r>
      <w:r w:rsidR="005A3FB1">
        <w:rPr>
          <w:rFonts w:cs="Times New Roman"/>
          <w:szCs w:val="24"/>
          <w:lang w:val="fr-CA"/>
        </w:rPr>
        <w:t xml:space="preserve">. . . </w:t>
      </w:r>
      <w:r w:rsidRPr="00954404">
        <w:rPr>
          <w:rFonts w:cs="Times New Roman"/>
          <w:szCs w:val="24"/>
          <w:lang w:val="fr-CA"/>
        </w:rPr>
        <w:t>il faut, dans tous les cas, un engagement du fiducia</w:t>
      </w:r>
      <w:r w:rsidR="001C763A">
        <w:rPr>
          <w:rFonts w:cs="Times New Roman"/>
          <w:szCs w:val="24"/>
          <w:lang w:val="fr-CA"/>
        </w:rPr>
        <w:t>l</w:t>
      </w:r>
      <w:r w:rsidRPr="00954404">
        <w:rPr>
          <w:rFonts w:cs="Times New Roman"/>
          <w:szCs w:val="24"/>
          <w:lang w:val="fr-CA"/>
        </w:rPr>
        <w:t>, exprès ou implicite, d</w:t>
      </w:r>
      <w:r>
        <w:rPr>
          <w:rFonts w:cs="Times New Roman"/>
          <w:szCs w:val="24"/>
          <w:lang w:val="fr-CA"/>
        </w:rPr>
        <w:t>’</w:t>
      </w:r>
      <w:r w:rsidRPr="00954404">
        <w:rPr>
          <w:rFonts w:cs="Times New Roman"/>
          <w:szCs w:val="24"/>
          <w:lang w:val="fr-CA"/>
        </w:rPr>
        <w:t>agir dans le respect du devoir de loyauté qui lui incombe</w:t>
      </w:r>
      <w:r w:rsidR="005A3FB1">
        <w:rPr>
          <w:rFonts w:cs="Times New Roman"/>
          <w:szCs w:val="24"/>
          <w:lang w:val="fr-CA"/>
        </w:rPr>
        <w:t>.</w:t>
      </w:r>
      <w:r w:rsidRPr="00954404">
        <w:rPr>
          <w:rFonts w:cs="Times New Roman"/>
          <w:szCs w:val="24"/>
          <w:lang w:val="fr-CA"/>
        </w:rPr>
        <w:t> »</w:t>
      </w:r>
    </w:p>
    <w:p w:rsidR="00466E7D" w:rsidRPr="00954404" w:rsidRDefault="00466E7D" w:rsidP="00466E7D">
      <w:pPr>
        <w:pStyle w:val="ParaNoNdepar-AltN"/>
        <w:rPr>
          <w:rFonts w:cs="Times New Roman"/>
          <w:szCs w:val="24"/>
          <w:lang w:val="fr-CA"/>
        </w:rPr>
      </w:pPr>
      <w:r w:rsidRPr="00954404">
        <w:rPr>
          <w:rFonts w:cs="Times New Roman"/>
          <w:szCs w:val="24"/>
          <w:lang w:val="fr-CA"/>
        </w:rPr>
        <w:t>L</w:t>
      </w:r>
      <w:r>
        <w:rPr>
          <w:rFonts w:cs="Times New Roman"/>
          <w:szCs w:val="24"/>
          <w:lang w:val="fr-CA"/>
        </w:rPr>
        <w:t>’</w:t>
      </w:r>
      <w:r w:rsidRPr="00954404">
        <w:rPr>
          <w:rFonts w:cs="Times New Roman"/>
          <w:szCs w:val="24"/>
          <w:lang w:val="fr-CA"/>
        </w:rPr>
        <w:t>existence et la nature de l</w:t>
      </w:r>
      <w:r>
        <w:rPr>
          <w:rFonts w:cs="Times New Roman"/>
          <w:szCs w:val="24"/>
          <w:lang w:val="fr-CA"/>
        </w:rPr>
        <w:t>’</w:t>
      </w:r>
      <w:r w:rsidRPr="00954404">
        <w:rPr>
          <w:rFonts w:cs="Times New Roman"/>
          <w:szCs w:val="24"/>
          <w:lang w:val="fr-CA"/>
        </w:rPr>
        <w:t>engagement reposent sur les normes relatives au rapport particulier</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Galambos</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77.  La partie invoquant l</w:t>
      </w:r>
      <w:r>
        <w:rPr>
          <w:rFonts w:cs="Times New Roman"/>
          <w:szCs w:val="24"/>
          <w:lang w:val="fr-CA"/>
        </w:rPr>
        <w:t>’</w:t>
      </w:r>
      <w:r w:rsidRPr="00954404">
        <w:rPr>
          <w:rFonts w:cs="Times New Roman"/>
          <w:szCs w:val="24"/>
          <w:lang w:val="fr-CA"/>
        </w:rPr>
        <w:t>obligation doit pouvoir démontrer que, relativement à l</w:t>
      </w:r>
      <w:r>
        <w:rPr>
          <w:rFonts w:cs="Times New Roman"/>
          <w:szCs w:val="24"/>
          <w:lang w:val="fr-CA"/>
        </w:rPr>
        <w:t>’</w:t>
      </w:r>
      <w:r w:rsidRPr="00954404">
        <w:rPr>
          <w:rFonts w:cs="Times New Roman"/>
          <w:szCs w:val="24"/>
          <w:lang w:val="fr-CA"/>
        </w:rPr>
        <w:t xml:space="preserve">intérêt juridique particulier en jeu, le </w:t>
      </w:r>
      <w:r w:rsidRPr="00954404">
        <w:rPr>
          <w:rFonts w:cs="Times New Roman"/>
          <w:szCs w:val="24"/>
          <w:lang w:val="fr-CA"/>
        </w:rPr>
        <w:lastRenderedPageBreak/>
        <w:t xml:space="preserve">fiduciaire a renoncé aux intérêts de toutes les autres parties en faveur de ceux du bénéficiaire. </w:t>
      </w:r>
    </w:p>
    <w:p w:rsidR="00466E7D" w:rsidRPr="00954404" w:rsidRDefault="00466E7D" w:rsidP="00466E7D">
      <w:pPr>
        <w:pStyle w:val="ParaNoNdepar-AltN"/>
        <w:rPr>
          <w:rFonts w:cs="Times New Roman"/>
          <w:szCs w:val="24"/>
          <w:lang w:val="fr-CA"/>
        </w:rPr>
      </w:pPr>
      <w:r w:rsidRPr="00954404">
        <w:rPr>
          <w:rFonts w:cs="Times New Roman"/>
          <w:szCs w:val="24"/>
          <w:lang w:val="fr-CA"/>
        </w:rPr>
        <w:t>L</w:t>
      </w:r>
      <w:r>
        <w:rPr>
          <w:rFonts w:cs="Times New Roman"/>
          <w:szCs w:val="24"/>
          <w:lang w:val="fr-CA"/>
        </w:rPr>
        <w:t>’</w:t>
      </w:r>
      <w:r w:rsidRPr="00954404">
        <w:rPr>
          <w:rFonts w:cs="Times New Roman"/>
          <w:szCs w:val="24"/>
          <w:lang w:val="fr-CA"/>
        </w:rPr>
        <w:t>engagement peut découler de la relation entre les parties, d</w:t>
      </w:r>
      <w:r>
        <w:rPr>
          <w:rFonts w:cs="Times New Roman"/>
          <w:szCs w:val="24"/>
          <w:lang w:val="fr-CA"/>
        </w:rPr>
        <w:t>’</w:t>
      </w:r>
      <w:r w:rsidRPr="00954404">
        <w:rPr>
          <w:rFonts w:cs="Times New Roman"/>
          <w:szCs w:val="24"/>
          <w:lang w:val="fr-CA"/>
        </w:rPr>
        <w:t>une responsabilité imposée par une loi, ou d</w:t>
      </w:r>
      <w:r>
        <w:rPr>
          <w:rFonts w:cs="Times New Roman"/>
          <w:szCs w:val="24"/>
          <w:lang w:val="fr-CA"/>
        </w:rPr>
        <w:t>’</w:t>
      </w:r>
      <w:r w:rsidRPr="00954404">
        <w:rPr>
          <w:rFonts w:cs="Times New Roman"/>
          <w:szCs w:val="24"/>
          <w:lang w:val="fr-CA"/>
        </w:rPr>
        <w:t>une entente expresse que le fiduciaire agira en tant que fiduciaire des intérêts du bénéficiaire.  Suivant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Galambos</w:t>
      </w:r>
      <w:r w:rsidRPr="00954404">
        <w:rPr>
          <w:rFonts w:cs="Times New Roman"/>
          <w:szCs w:val="24"/>
          <w:lang w:val="fr-CA"/>
        </w:rPr>
        <w:t xml:space="preserve"> au </w:t>
      </w:r>
      <w:r>
        <w:rPr>
          <w:rFonts w:cs="Times New Roman"/>
          <w:szCs w:val="24"/>
          <w:lang w:val="fr-CA"/>
        </w:rPr>
        <w:t>par. </w:t>
      </w:r>
      <w:r w:rsidRPr="00954404">
        <w:rPr>
          <w:rFonts w:cs="Times New Roman"/>
          <w:szCs w:val="24"/>
          <w:lang w:val="fr-CA"/>
        </w:rPr>
        <w:t>77</w:t>
      </w:r>
      <w:r>
        <w:rPr>
          <w:rFonts w:cs="Times New Roman"/>
          <w:szCs w:val="24"/>
          <w:lang w:val="fr-CA"/>
        </w:rPr>
        <w:t> :</w:t>
      </w:r>
    </w:p>
    <w:p w:rsidR="00466E7D" w:rsidRPr="00954404" w:rsidRDefault="00466E7D" w:rsidP="00466E7D">
      <w:pPr>
        <w:pStyle w:val="Citation-AltC"/>
        <w:ind w:hanging="1166"/>
        <w:contextualSpacing w:val="0"/>
        <w:rPr>
          <w:szCs w:val="24"/>
          <w:lang w:val="fr-CA"/>
        </w:rPr>
      </w:pPr>
      <w:r w:rsidRPr="00954404">
        <w:rPr>
          <w:szCs w:val="24"/>
          <w:lang w:val="fr-CA"/>
        </w:rPr>
        <w:tab/>
      </w:r>
      <w:r w:rsidRPr="00954404">
        <w:rPr>
          <w:szCs w:val="24"/>
          <w:lang w:val="fr-CA"/>
        </w:rPr>
        <w:tab/>
        <w:t>L</w:t>
      </w:r>
      <w:r>
        <w:rPr>
          <w:szCs w:val="24"/>
          <w:lang w:val="fr-CA"/>
        </w:rPr>
        <w:t>’</w:t>
      </w:r>
      <w:r w:rsidRPr="00954404">
        <w:rPr>
          <w:szCs w:val="24"/>
          <w:lang w:val="fr-CA"/>
        </w:rPr>
        <w:t>engagement du fiducial peut résulter de l</w:t>
      </w:r>
      <w:r>
        <w:rPr>
          <w:szCs w:val="24"/>
          <w:lang w:val="fr-CA"/>
        </w:rPr>
        <w:t>’</w:t>
      </w:r>
      <w:r w:rsidRPr="00954404">
        <w:rPr>
          <w:szCs w:val="24"/>
          <w:lang w:val="fr-CA"/>
        </w:rPr>
        <w:t>exercice de pouvoirs conférés par la loi, des conditions — expresses ou implicites — d</w:t>
      </w:r>
      <w:r>
        <w:rPr>
          <w:szCs w:val="24"/>
          <w:lang w:val="fr-CA"/>
        </w:rPr>
        <w:t>’</w:t>
      </w:r>
      <w:r w:rsidRPr="00954404">
        <w:rPr>
          <w:szCs w:val="24"/>
          <w:lang w:val="fr-CA"/>
        </w:rPr>
        <w:t>une entente, ou, peut</w:t>
      </w:r>
      <w:r>
        <w:rPr>
          <w:szCs w:val="24"/>
          <w:lang w:val="fr-CA"/>
        </w:rPr>
        <w:noBreakHyphen/>
      </w:r>
      <w:r w:rsidRPr="00954404">
        <w:rPr>
          <w:szCs w:val="24"/>
          <w:lang w:val="fr-CA"/>
        </w:rPr>
        <w:t>être, simplement de l</w:t>
      </w:r>
      <w:r>
        <w:rPr>
          <w:szCs w:val="24"/>
          <w:lang w:val="fr-CA"/>
        </w:rPr>
        <w:t>’</w:t>
      </w:r>
      <w:r w:rsidRPr="00954404">
        <w:rPr>
          <w:szCs w:val="24"/>
          <w:lang w:val="fr-CA"/>
        </w:rPr>
        <w:t>engagement d</w:t>
      </w:r>
      <w:r>
        <w:rPr>
          <w:szCs w:val="24"/>
          <w:lang w:val="fr-CA"/>
        </w:rPr>
        <w:t>’</w:t>
      </w:r>
      <w:r w:rsidRPr="00954404">
        <w:rPr>
          <w:szCs w:val="24"/>
          <w:lang w:val="fr-CA"/>
        </w:rPr>
        <w:t xml:space="preserve">agir ainsi.  Lorsque la relation est en soi fiduciale, cet engagement sera fonction de la nature de la catégorie à laquelle la relation en question appartient.  </w:t>
      </w:r>
      <w:r w:rsidRPr="00954404">
        <w:rPr>
          <w:szCs w:val="24"/>
          <w:u w:val="single"/>
          <w:lang w:val="fr-CA"/>
        </w:rPr>
        <w:t>Le point central demeure qu</w:t>
      </w:r>
      <w:r>
        <w:rPr>
          <w:szCs w:val="24"/>
          <w:u w:val="single"/>
          <w:lang w:val="fr-CA"/>
        </w:rPr>
        <w:t>’</w:t>
      </w:r>
      <w:r w:rsidRPr="00954404">
        <w:rPr>
          <w:szCs w:val="24"/>
          <w:u w:val="single"/>
          <w:lang w:val="fr-CA"/>
        </w:rPr>
        <w:t xml:space="preserve">il y aura, tant dans les relations fiduciales en soi que dans les relations fiduciales </w:t>
      </w:r>
      <w:r w:rsidRPr="00954404">
        <w:rPr>
          <w:i/>
          <w:iCs/>
          <w:szCs w:val="24"/>
          <w:u w:val="single"/>
          <w:lang w:val="fr-CA"/>
        </w:rPr>
        <w:t>ad hoc</w:t>
      </w:r>
      <w:r w:rsidRPr="00954404">
        <w:rPr>
          <w:szCs w:val="24"/>
          <w:u w:val="single"/>
          <w:lang w:val="fr-CA"/>
        </w:rPr>
        <w:t>, un engagement du fiducial d</w:t>
      </w:r>
      <w:r>
        <w:rPr>
          <w:szCs w:val="24"/>
          <w:u w:val="single"/>
          <w:lang w:val="fr-CA"/>
        </w:rPr>
        <w:t>’</w:t>
      </w:r>
      <w:r w:rsidRPr="00954404">
        <w:rPr>
          <w:szCs w:val="24"/>
          <w:u w:val="single"/>
          <w:lang w:val="fr-CA"/>
        </w:rPr>
        <w:t>agir loyalement</w:t>
      </w:r>
      <w:r w:rsidRPr="00DA0239">
        <w:rPr>
          <w:szCs w:val="24"/>
          <w:u w:val="single"/>
          <w:lang w:val="fr-CA"/>
        </w:rPr>
        <w:t>.</w:t>
      </w:r>
      <w:r w:rsidRPr="00954404">
        <w:rPr>
          <w:szCs w:val="24"/>
          <w:lang w:val="fr-CA"/>
        </w:rPr>
        <w:t xml:space="preserve">  [Je souligne.]</w:t>
      </w:r>
    </w:p>
    <w:p w:rsidR="00466E7D" w:rsidRPr="00954404" w:rsidRDefault="00466E7D" w:rsidP="00466E7D">
      <w:pPr>
        <w:pStyle w:val="ParaNoNdepar-AltN"/>
        <w:rPr>
          <w:rFonts w:cs="Times New Roman"/>
          <w:szCs w:val="24"/>
          <w:lang w:val="fr-CA"/>
        </w:rPr>
      </w:pPr>
      <w:r w:rsidRPr="00954404">
        <w:rPr>
          <w:rFonts w:cs="Times New Roman"/>
          <w:szCs w:val="24"/>
          <w:lang w:val="fr-CA"/>
        </w:rPr>
        <w:t>Ensuite, l</w:t>
      </w:r>
      <w:r>
        <w:rPr>
          <w:rFonts w:cs="Times New Roman"/>
          <w:szCs w:val="24"/>
          <w:lang w:val="fr-CA"/>
        </w:rPr>
        <w:t>’</w:t>
      </w:r>
      <w:r w:rsidRPr="00954404">
        <w:rPr>
          <w:rFonts w:cs="Times New Roman"/>
          <w:szCs w:val="24"/>
          <w:lang w:val="fr-CA"/>
        </w:rPr>
        <w:t>obligation doit exister envers une personne ou un groupe de personnes définies, qui doivent être vulnérables par rapport au fiduciaire en ce sens que ce dernier exerce un pouvoir discrétionnaire sur eux.  Les obligations fiduciaires n</w:t>
      </w:r>
      <w:r>
        <w:rPr>
          <w:rFonts w:cs="Times New Roman"/>
          <w:szCs w:val="24"/>
          <w:lang w:val="fr-CA"/>
        </w:rPr>
        <w:t>’</w:t>
      </w:r>
      <w:r w:rsidRPr="00954404">
        <w:rPr>
          <w:rFonts w:cs="Times New Roman"/>
          <w:szCs w:val="24"/>
          <w:lang w:val="fr-CA"/>
        </w:rPr>
        <w:t xml:space="preserve">existent pas en général; elles sont limitées à des relations précises entre des parties précises.  En soi, les relations fiduciaires, historiquement reconnues, existent systématiquement dans les catégories de relations habituelles, comme celles entre le fiduciaire et le </w:t>
      </w:r>
      <w:r w:rsidRPr="00954404">
        <w:rPr>
          <w:rFonts w:cs="Times New Roman"/>
          <w:i/>
          <w:szCs w:val="24"/>
          <w:lang w:val="fr-CA"/>
        </w:rPr>
        <w:t>cestui que trust</w:t>
      </w:r>
      <w:r w:rsidRPr="00954404">
        <w:rPr>
          <w:rFonts w:cs="Times New Roman"/>
          <w:szCs w:val="24"/>
          <w:lang w:val="fr-CA"/>
        </w:rPr>
        <w:t>, l</w:t>
      </w:r>
      <w:r>
        <w:rPr>
          <w:rFonts w:cs="Times New Roman"/>
          <w:szCs w:val="24"/>
          <w:lang w:val="fr-CA"/>
        </w:rPr>
        <w:t>’</w:t>
      </w:r>
      <w:r w:rsidRPr="00954404">
        <w:rPr>
          <w:rFonts w:cs="Times New Roman"/>
          <w:szCs w:val="24"/>
          <w:lang w:val="fr-CA"/>
        </w:rPr>
        <w:t>exécuteur et le bénéficiaire, l</w:t>
      </w:r>
      <w:r>
        <w:rPr>
          <w:rFonts w:cs="Times New Roman"/>
          <w:szCs w:val="24"/>
          <w:lang w:val="fr-CA"/>
        </w:rPr>
        <w:t>’</w:t>
      </w:r>
      <w:r w:rsidRPr="00954404">
        <w:rPr>
          <w:rFonts w:cs="Times New Roman"/>
          <w:szCs w:val="24"/>
          <w:lang w:val="fr-CA"/>
        </w:rPr>
        <w:t>avocat et son client, le mandataire et le mandant, l</w:t>
      </w:r>
      <w:r>
        <w:rPr>
          <w:rFonts w:cs="Times New Roman"/>
          <w:szCs w:val="24"/>
          <w:lang w:val="fr-CA"/>
        </w:rPr>
        <w:t>’</w:t>
      </w:r>
      <w:r w:rsidRPr="00954404">
        <w:rPr>
          <w:rFonts w:cs="Times New Roman"/>
          <w:szCs w:val="24"/>
          <w:lang w:val="fr-CA"/>
        </w:rPr>
        <w:t>administrateur et la société, ainsi que le tuteur et le pupille ou le parent et l</w:t>
      </w:r>
      <w:r>
        <w:rPr>
          <w:rFonts w:cs="Times New Roman"/>
          <w:szCs w:val="24"/>
          <w:lang w:val="fr-CA"/>
        </w:rPr>
        <w:t>’</w:t>
      </w:r>
      <w:r w:rsidRPr="00954404">
        <w:rPr>
          <w:rFonts w:cs="Times New Roman"/>
          <w:szCs w:val="24"/>
          <w:lang w:val="fr-CA"/>
        </w:rPr>
        <w:t>enfant.  À l</w:t>
      </w:r>
      <w:r>
        <w:rPr>
          <w:rFonts w:cs="Times New Roman"/>
          <w:szCs w:val="24"/>
          <w:lang w:val="fr-CA"/>
        </w:rPr>
        <w:t>’</w:t>
      </w:r>
      <w:r w:rsidRPr="00954404">
        <w:rPr>
          <w:rFonts w:cs="Times New Roman"/>
          <w:szCs w:val="24"/>
          <w:lang w:val="fr-CA"/>
        </w:rPr>
        <w:t xml:space="preserve">opposé, les relations fiduciaires </w:t>
      </w:r>
      <w:r w:rsidRPr="00954404">
        <w:rPr>
          <w:rFonts w:cs="Times New Roman"/>
          <w:i/>
          <w:szCs w:val="24"/>
          <w:lang w:val="fr-CA"/>
        </w:rPr>
        <w:t>ad hoc</w:t>
      </w:r>
      <w:r w:rsidRPr="00954404">
        <w:rPr>
          <w:rFonts w:cs="Times New Roman"/>
          <w:szCs w:val="24"/>
          <w:lang w:val="fr-CA"/>
        </w:rPr>
        <w:t xml:space="preserve"> doivent être établies selon les circonstances de chaque cas. </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Enfin, pour établir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 xml:space="preserve">une obligation fiduciaire, le demandeur doit démontrer que le pouvoir du fiduciaire peut </w:t>
      </w:r>
      <w:r w:rsidRPr="00954404">
        <w:rPr>
          <w:rFonts w:cs="Times New Roman"/>
          <w:spacing w:val="-3"/>
          <w:szCs w:val="24"/>
          <w:lang w:val="fr-CA"/>
        </w:rPr>
        <w:t>avoir un effet sur les intérêts juridiques du bénéficiaire ou sur ses intérêts pratiques essentiels</w:t>
      </w:r>
      <w:r>
        <w:rPr>
          <w:rFonts w:cs="Times New Roman"/>
          <w:spacing w:val="-3"/>
          <w:szCs w:val="24"/>
          <w:lang w:val="fr-CA"/>
        </w:rPr>
        <w:t xml:space="preserve"> : </w:t>
      </w:r>
      <w:r w:rsidRPr="00954404">
        <w:rPr>
          <w:rFonts w:cs="Times New Roman"/>
          <w:i/>
          <w:spacing w:val="-3"/>
          <w:szCs w:val="24"/>
          <w:lang w:val="fr-CA"/>
        </w:rPr>
        <w:t>Frame</w:t>
      </w:r>
      <w:r w:rsidRPr="00954404">
        <w:rPr>
          <w:rFonts w:cs="Times New Roman"/>
          <w:spacing w:val="-3"/>
          <w:szCs w:val="24"/>
          <w:lang w:val="fr-CA"/>
        </w:rPr>
        <w:t xml:space="preserve">, la juge Wilson, </w:t>
      </w:r>
      <w:r>
        <w:rPr>
          <w:rFonts w:cs="Times New Roman"/>
          <w:spacing w:val="-3"/>
          <w:szCs w:val="24"/>
          <w:lang w:val="fr-CA"/>
        </w:rPr>
        <w:t>p. </w:t>
      </w:r>
      <w:r w:rsidRPr="00954404">
        <w:rPr>
          <w:rFonts w:cs="Times New Roman"/>
          <w:spacing w:val="-3"/>
          <w:szCs w:val="24"/>
          <w:lang w:val="fr-CA"/>
        </w:rPr>
        <w:t>142.</w:t>
      </w:r>
    </w:p>
    <w:p w:rsidR="00466E7D" w:rsidRPr="00954404" w:rsidRDefault="00466E7D" w:rsidP="00466E7D">
      <w:pPr>
        <w:pStyle w:val="ParaNoNdepar-AltN"/>
        <w:rPr>
          <w:rFonts w:cs="Times New Roman"/>
          <w:szCs w:val="24"/>
          <w:lang w:val="fr-CA"/>
        </w:rPr>
      </w:pPr>
      <w:r w:rsidRPr="00954404">
        <w:rPr>
          <w:rFonts w:cs="Times New Roman"/>
          <w:szCs w:val="24"/>
          <w:lang w:val="fr-CA"/>
        </w:rPr>
        <w:t>Dans les catégories habituelles de relation fiduciaire, la nature de la relation même définit l</w:t>
      </w:r>
      <w:r>
        <w:rPr>
          <w:rFonts w:cs="Times New Roman"/>
          <w:szCs w:val="24"/>
          <w:lang w:val="fr-CA"/>
        </w:rPr>
        <w:t>’</w:t>
      </w:r>
      <w:r w:rsidRPr="00954404">
        <w:rPr>
          <w:rFonts w:cs="Times New Roman"/>
          <w:szCs w:val="24"/>
          <w:lang w:val="fr-CA"/>
        </w:rPr>
        <w:t xml:space="preserve">intérêt en jeu.  Toutefois, la partie cherchant à établir une obligation </w:t>
      </w:r>
      <w:r w:rsidRPr="00954404">
        <w:rPr>
          <w:rFonts w:cs="Times New Roman"/>
          <w:i/>
          <w:szCs w:val="24"/>
          <w:lang w:val="fr-CA"/>
        </w:rPr>
        <w:t>ad hoc</w:t>
      </w:r>
      <w:r w:rsidRPr="00954404">
        <w:rPr>
          <w:rFonts w:cs="Times New Roman"/>
          <w:szCs w:val="24"/>
          <w:lang w:val="fr-CA"/>
        </w:rPr>
        <w:t xml:space="preserve"> doit être en mesure d</w:t>
      </w:r>
      <w:r>
        <w:rPr>
          <w:rFonts w:cs="Times New Roman"/>
          <w:szCs w:val="24"/>
          <w:lang w:val="fr-CA"/>
        </w:rPr>
        <w:t>’</w:t>
      </w:r>
      <w:r w:rsidRPr="00954404">
        <w:rPr>
          <w:rFonts w:cs="Times New Roman"/>
          <w:szCs w:val="24"/>
          <w:lang w:val="fr-CA"/>
        </w:rPr>
        <w:t>indiquer qu</w:t>
      </w:r>
      <w:r>
        <w:rPr>
          <w:rFonts w:cs="Times New Roman"/>
          <w:szCs w:val="24"/>
          <w:lang w:val="fr-CA"/>
        </w:rPr>
        <w:t>’</w:t>
      </w:r>
      <w:r w:rsidRPr="00954404">
        <w:rPr>
          <w:rFonts w:cs="Times New Roman"/>
          <w:szCs w:val="24"/>
          <w:lang w:val="fr-CA"/>
        </w:rPr>
        <w:t>un intérêt juridique ou un intérêt pratique essentiel identifiable est en jeu.  L</w:t>
      </w:r>
      <w:r>
        <w:rPr>
          <w:rFonts w:cs="Times New Roman"/>
          <w:szCs w:val="24"/>
          <w:lang w:val="fr-CA"/>
        </w:rPr>
        <w:t>’</w:t>
      </w:r>
      <w:r w:rsidRPr="00954404">
        <w:rPr>
          <w:rFonts w:cs="Times New Roman"/>
          <w:szCs w:val="24"/>
          <w:lang w:val="fr-CA"/>
        </w:rPr>
        <w:t>exemple le plus évident est celui de l</w:t>
      </w:r>
      <w:r>
        <w:rPr>
          <w:rFonts w:cs="Times New Roman"/>
          <w:szCs w:val="24"/>
          <w:lang w:val="fr-CA"/>
        </w:rPr>
        <w:t>’</w:t>
      </w:r>
      <w:r w:rsidRPr="00954404">
        <w:rPr>
          <w:rFonts w:cs="Times New Roman"/>
          <w:szCs w:val="24"/>
          <w:lang w:val="fr-CA"/>
        </w:rPr>
        <w:t>intérêt à l</w:t>
      </w:r>
      <w:r>
        <w:rPr>
          <w:rFonts w:cs="Times New Roman"/>
          <w:szCs w:val="24"/>
          <w:lang w:val="fr-CA"/>
        </w:rPr>
        <w:t>’</w:t>
      </w:r>
      <w:r w:rsidRPr="00954404">
        <w:rPr>
          <w:rFonts w:cs="Times New Roman"/>
          <w:szCs w:val="24"/>
          <w:lang w:val="fr-CA"/>
        </w:rPr>
        <w:t>égard des biens, bien que d</w:t>
      </w:r>
      <w:r>
        <w:rPr>
          <w:rFonts w:cs="Times New Roman"/>
          <w:szCs w:val="24"/>
          <w:lang w:val="fr-CA"/>
        </w:rPr>
        <w:t>’</w:t>
      </w:r>
      <w:r w:rsidRPr="00954404">
        <w:rPr>
          <w:rFonts w:cs="Times New Roman"/>
          <w:szCs w:val="24"/>
          <w:lang w:val="fr-CA"/>
        </w:rPr>
        <w:t>autres intérêts reconnus par la loi puissent également être protégés.</w:t>
      </w:r>
    </w:p>
    <w:p w:rsidR="00466E7D" w:rsidRPr="00954404" w:rsidRDefault="00466E7D" w:rsidP="00466E7D">
      <w:pPr>
        <w:pStyle w:val="ParaNoNdepar-AltN"/>
        <w:rPr>
          <w:rFonts w:cs="Times New Roman"/>
          <w:i/>
          <w:szCs w:val="24"/>
          <w:lang w:val="fr-CA"/>
        </w:rPr>
      </w:pPr>
      <w:r w:rsidRPr="00954404">
        <w:rPr>
          <w:rFonts w:cs="Times New Roman"/>
          <w:szCs w:val="24"/>
          <w:lang w:val="fr-CA"/>
        </w:rPr>
        <w:t>En bref, pour prouver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 xml:space="preserve">une obligation fiduciaire </w:t>
      </w:r>
      <w:r w:rsidRPr="00954404">
        <w:rPr>
          <w:rFonts w:cs="Times New Roman"/>
          <w:i/>
          <w:szCs w:val="24"/>
          <w:lang w:val="fr-CA"/>
        </w:rPr>
        <w:t>ad hoc</w:t>
      </w:r>
      <w:r w:rsidRPr="00954404">
        <w:rPr>
          <w:rFonts w:cs="Times New Roman"/>
          <w:szCs w:val="24"/>
          <w:lang w:val="fr-CA"/>
        </w:rPr>
        <w:t>, le demandeur doit démontrer, en plus de la vulnérabilité découlant du rapport décrit par la juge Wilson dans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Frame</w:t>
      </w:r>
      <w:r>
        <w:rPr>
          <w:rFonts w:cs="Times New Roman"/>
          <w:szCs w:val="24"/>
          <w:lang w:val="fr-CA"/>
        </w:rPr>
        <w:t> :</w:t>
      </w:r>
      <w:r w:rsidRPr="00954404">
        <w:rPr>
          <w:rFonts w:cs="Times New Roman"/>
          <w:szCs w:val="24"/>
          <w:lang w:val="fr-CA"/>
        </w:rPr>
        <w:t xml:space="preserve"> (1) un engagement de la part du fiduciaire à agir au mieux des intérêts du bénéficiaire ou des bénéficiaires; (2)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personne ou d</w:t>
      </w:r>
      <w:r>
        <w:rPr>
          <w:rFonts w:cs="Times New Roman"/>
          <w:szCs w:val="24"/>
          <w:lang w:val="fr-CA"/>
        </w:rPr>
        <w:t>’</w:t>
      </w:r>
      <w:r w:rsidRPr="00954404">
        <w:rPr>
          <w:rFonts w:cs="Times New Roman"/>
          <w:szCs w:val="24"/>
          <w:lang w:val="fr-CA"/>
        </w:rPr>
        <w:t>un groupe de personnes définies vulnérables au contrôle du fiduciaire (le bénéficiaire ou les bénéficiaires); et (3) un intérêt juridique ou un intérêt pratique important du bénéficiaire ou des bénéficiaires sur lequel l</w:t>
      </w:r>
      <w:r>
        <w:rPr>
          <w:rFonts w:cs="Times New Roman"/>
          <w:szCs w:val="24"/>
          <w:lang w:val="fr-CA"/>
        </w:rPr>
        <w:t>’</w:t>
      </w:r>
      <w:r w:rsidRPr="00954404">
        <w:rPr>
          <w:rFonts w:cs="Times New Roman"/>
          <w:szCs w:val="24"/>
          <w:lang w:val="fr-CA"/>
        </w:rPr>
        <w:t>exercice, par le fiduciaire, de son pouvoir discrétionnaire ou de son contrôle pourrait avoir une incidence défavorable.</w:t>
      </w:r>
    </w:p>
    <w:p w:rsidR="00466E7D" w:rsidRPr="002858C0" w:rsidRDefault="00466E7D" w:rsidP="00466E7D">
      <w:pPr>
        <w:pStyle w:val="TitleTitre-AltT"/>
        <w:tabs>
          <w:tab w:val="clear" w:pos="360"/>
          <w:tab w:val="left" w:pos="1620"/>
        </w:tabs>
        <w:spacing w:after="720"/>
        <w:ind w:left="1166" w:hanging="1166"/>
        <w:rPr>
          <w:lang w:val="fr-CA"/>
        </w:rPr>
      </w:pPr>
      <w:r w:rsidRPr="004114B8">
        <w:rPr>
          <w:lang w:val="fr-CA"/>
        </w:rPr>
        <w:tab/>
      </w:r>
      <w:r w:rsidRPr="002858C0">
        <w:rPr>
          <w:lang w:val="fr-CA"/>
        </w:rPr>
        <w:t>(2)</w:t>
      </w:r>
      <w:r w:rsidRPr="002858C0">
        <w:rPr>
          <w:lang w:val="fr-CA"/>
        </w:rPr>
        <w:tab/>
      </w:r>
      <w:r w:rsidRPr="002858C0">
        <w:rPr>
          <w:u w:val="single"/>
          <w:lang w:val="fr-CA"/>
        </w:rPr>
        <w:t>Les obligations fiduciaires dans le contexte gouvernemental</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Les principes généraux précédemment analysés s</w:t>
      </w:r>
      <w:r>
        <w:rPr>
          <w:rFonts w:cs="Times New Roman"/>
          <w:szCs w:val="24"/>
          <w:lang w:val="fr-CA"/>
        </w:rPr>
        <w:t>’</w:t>
      </w:r>
      <w:r w:rsidRPr="00954404">
        <w:rPr>
          <w:rFonts w:cs="Times New Roman"/>
          <w:szCs w:val="24"/>
          <w:lang w:val="fr-CA"/>
        </w:rPr>
        <w:t>appliquent non seulement aux relations entre des particuliers, mais aussi dans les cas où il est allégué que le gouvernement a une obligation fiduciaire envers une personne ou un groupe de personnes.  Or, les caractéristiques précises des responsabilités et des fonctions du gouvernement signifient que le gouvernement aura des obligations fiduciaires seulement dans des circonstances restreintes et particulières.  Comme le juge Dickson (plus tard Juge en chef) l</w:t>
      </w:r>
      <w:r>
        <w:rPr>
          <w:rFonts w:cs="Times New Roman"/>
          <w:szCs w:val="24"/>
          <w:lang w:val="fr-CA"/>
        </w:rPr>
        <w:t>’</w:t>
      </w:r>
      <w:r w:rsidRPr="00954404">
        <w:rPr>
          <w:rFonts w:cs="Times New Roman"/>
          <w:szCs w:val="24"/>
          <w:lang w:val="fr-CA"/>
        </w:rPr>
        <w:t>a écrit au nom des juges majoritaires dans l</w:t>
      </w:r>
      <w:r>
        <w:rPr>
          <w:rFonts w:cs="Times New Roman"/>
          <w:szCs w:val="24"/>
          <w:lang w:val="fr-CA"/>
        </w:rPr>
        <w:t>’</w:t>
      </w:r>
      <w:r w:rsidRPr="00954404">
        <w:rPr>
          <w:rFonts w:cs="Times New Roman"/>
          <w:szCs w:val="24"/>
          <w:lang w:val="fr-CA"/>
        </w:rPr>
        <w:t>arrêt</w:t>
      </w:r>
      <w:r w:rsidRPr="00954404">
        <w:rPr>
          <w:rFonts w:cs="Times New Roman"/>
          <w:i/>
          <w:szCs w:val="24"/>
          <w:lang w:val="fr-CA"/>
        </w:rPr>
        <w:t xml:space="preserve"> Guerin</w:t>
      </w:r>
      <w:r w:rsidRPr="00954404">
        <w:rPr>
          <w:rFonts w:cs="Times New Roman"/>
          <w:szCs w:val="24"/>
          <w:lang w:val="fr-CA"/>
        </w:rPr>
        <w:t xml:space="preserve">, à la </w:t>
      </w:r>
      <w:r>
        <w:rPr>
          <w:rFonts w:cs="Times New Roman"/>
          <w:szCs w:val="24"/>
          <w:lang w:val="fr-CA"/>
        </w:rPr>
        <w:t>p. </w:t>
      </w:r>
      <w:r w:rsidRPr="00954404">
        <w:rPr>
          <w:rFonts w:cs="Times New Roman"/>
          <w:szCs w:val="24"/>
          <w:lang w:val="fr-CA"/>
        </w:rPr>
        <w:t>385</w:t>
      </w:r>
      <w:r>
        <w:rPr>
          <w:rFonts w:cs="Times New Roman"/>
          <w:szCs w:val="24"/>
          <w:lang w:val="fr-CA"/>
        </w:rPr>
        <w:t> :</w:t>
      </w:r>
    </w:p>
    <w:p w:rsidR="00466E7D" w:rsidRPr="00954404" w:rsidRDefault="00466E7D" w:rsidP="00466E7D">
      <w:pPr>
        <w:pStyle w:val="Citation-AltC"/>
        <w:ind w:hanging="1166"/>
        <w:contextualSpacing w:val="0"/>
        <w:rPr>
          <w:szCs w:val="24"/>
          <w:lang w:val="fr-CA"/>
        </w:rPr>
      </w:pPr>
      <w:r w:rsidRPr="00954404">
        <w:rPr>
          <w:szCs w:val="24"/>
          <w:lang w:val="fr-CA"/>
        </w:rPr>
        <w:tab/>
      </w:r>
      <w:r w:rsidRPr="00954404">
        <w:rPr>
          <w:szCs w:val="24"/>
          <w:lang w:val="fr-CA"/>
        </w:rPr>
        <w:tab/>
        <w:t>Il nous faut remarquer que, de façon générale, il n</w:t>
      </w:r>
      <w:r>
        <w:rPr>
          <w:szCs w:val="24"/>
          <w:lang w:val="fr-CA"/>
        </w:rPr>
        <w:t>’</w:t>
      </w:r>
      <w:r w:rsidRPr="00954404">
        <w:rPr>
          <w:szCs w:val="24"/>
          <w:lang w:val="fr-CA"/>
        </w:rPr>
        <w:t>existe d</w:t>
      </w:r>
      <w:r>
        <w:rPr>
          <w:szCs w:val="24"/>
          <w:lang w:val="fr-CA"/>
        </w:rPr>
        <w:t>’</w:t>
      </w:r>
      <w:r w:rsidRPr="00954404">
        <w:rPr>
          <w:szCs w:val="24"/>
          <w:lang w:val="fr-CA"/>
        </w:rPr>
        <w:t>obligations de fiduciaire que dans le cas d</w:t>
      </w:r>
      <w:r>
        <w:rPr>
          <w:szCs w:val="24"/>
          <w:lang w:val="fr-CA"/>
        </w:rPr>
        <w:t>’</w:t>
      </w:r>
      <w:r w:rsidRPr="00954404">
        <w:rPr>
          <w:szCs w:val="24"/>
          <w:lang w:val="fr-CA"/>
        </w:rPr>
        <w:t xml:space="preserve">obligations prenant naissance dans un contexte de droit privé.  </w:t>
      </w:r>
      <w:r w:rsidRPr="00954404">
        <w:rPr>
          <w:szCs w:val="24"/>
          <w:u w:val="single"/>
          <w:lang w:val="fr-CA"/>
        </w:rPr>
        <w:t>Les obligations de droit public dont l</w:t>
      </w:r>
      <w:r>
        <w:rPr>
          <w:szCs w:val="24"/>
          <w:u w:val="single"/>
          <w:lang w:val="fr-CA"/>
        </w:rPr>
        <w:t>’</w:t>
      </w:r>
      <w:r w:rsidRPr="00954404">
        <w:rPr>
          <w:szCs w:val="24"/>
          <w:u w:val="single"/>
          <w:lang w:val="fr-CA"/>
        </w:rPr>
        <w:t>acquittement nécessite l</w:t>
      </w:r>
      <w:r>
        <w:rPr>
          <w:szCs w:val="24"/>
          <w:u w:val="single"/>
          <w:lang w:val="fr-CA"/>
        </w:rPr>
        <w:t>’</w:t>
      </w:r>
      <w:r w:rsidRPr="00954404">
        <w:rPr>
          <w:szCs w:val="24"/>
          <w:u w:val="single"/>
          <w:lang w:val="fr-CA"/>
        </w:rPr>
        <w:t>exercice d</w:t>
      </w:r>
      <w:r>
        <w:rPr>
          <w:szCs w:val="24"/>
          <w:u w:val="single"/>
          <w:lang w:val="fr-CA"/>
        </w:rPr>
        <w:t>’</w:t>
      </w:r>
      <w:r w:rsidRPr="00954404">
        <w:rPr>
          <w:szCs w:val="24"/>
          <w:u w:val="single"/>
          <w:lang w:val="fr-CA"/>
        </w:rPr>
        <w:t>un pouvoir discrétionnaire ne créent normalement aucun rapport fiduciaire</w:t>
      </w:r>
      <w:r w:rsidRPr="005A3FB1">
        <w:rPr>
          <w:szCs w:val="24"/>
          <w:u w:val="single"/>
          <w:lang w:val="fr-CA"/>
        </w:rPr>
        <w:t>.</w:t>
      </w:r>
      <w:r w:rsidRPr="00954404">
        <w:rPr>
          <w:szCs w:val="24"/>
          <w:lang w:val="fr-CA"/>
        </w:rPr>
        <w:t xml:space="preserve">  Comme il se dégage d</w:t>
      </w:r>
      <w:r>
        <w:rPr>
          <w:szCs w:val="24"/>
          <w:lang w:val="fr-CA"/>
        </w:rPr>
        <w:t>’</w:t>
      </w:r>
      <w:r w:rsidRPr="00954404">
        <w:rPr>
          <w:szCs w:val="24"/>
          <w:lang w:val="fr-CA"/>
        </w:rPr>
        <w:t>ailleurs des décisions portant sur les « fiducies politiques », on ne prête pas généralement à Sa Majesté la qualité de fiduciaire lorsque celle</w:t>
      </w:r>
      <w:r>
        <w:rPr>
          <w:szCs w:val="24"/>
          <w:lang w:val="fr-CA"/>
        </w:rPr>
        <w:noBreakHyphen/>
      </w:r>
      <w:r w:rsidRPr="00954404">
        <w:rPr>
          <w:szCs w:val="24"/>
          <w:lang w:val="fr-CA"/>
        </w:rPr>
        <w:t>ci exerce ses fonctions législatives ou administratives.  [Je souligne.]</w:t>
      </w:r>
    </w:p>
    <w:p w:rsidR="00466E7D" w:rsidRPr="00954404" w:rsidRDefault="00466E7D" w:rsidP="00466E7D">
      <w:pPr>
        <w:pStyle w:val="ParaNoNdepar-AltN"/>
        <w:rPr>
          <w:rFonts w:cs="Times New Roman"/>
          <w:szCs w:val="24"/>
          <w:lang w:val="fr-CA"/>
        </w:rPr>
      </w:pPr>
      <w:r w:rsidRPr="00954404">
        <w:rPr>
          <w:rFonts w:cs="Times New Roman"/>
          <w:szCs w:val="24"/>
          <w:lang w:val="fr-CA"/>
        </w:rPr>
        <w:t>Au nom de la Cour, le juge Binnie a réitéré ce principe dans</w:t>
      </w:r>
      <w:r w:rsidRPr="00954404">
        <w:rPr>
          <w:rFonts w:cs="Times New Roman"/>
          <w:i/>
          <w:szCs w:val="24"/>
          <w:lang w:val="fr-CA"/>
        </w:rPr>
        <w:t xml:space="preserve"> Bande indienne Wewaykum c. Canada</w:t>
      </w:r>
      <w:r w:rsidRPr="00954404">
        <w:rPr>
          <w:rFonts w:cs="Times New Roman"/>
          <w:szCs w:val="24"/>
          <w:lang w:val="fr-CA"/>
        </w:rPr>
        <w:t xml:space="preserve">, 2002 CSC 79, [2002] 4 R.C.S. 245, au </w:t>
      </w:r>
      <w:r>
        <w:rPr>
          <w:rFonts w:cs="Times New Roman"/>
          <w:szCs w:val="24"/>
          <w:lang w:val="fr-CA"/>
        </w:rPr>
        <w:t>par. </w:t>
      </w:r>
      <w:r w:rsidRPr="00954404">
        <w:rPr>
          <w:rFonts w:cs="Times New Roman"/>
          <w:szCs w:val="24"/>
          <w:lang w:val="fr-CA"/>
        </w:rPr>
        <w:t>96</w:t>
      </w:r>
      <w:r>
        <w:rPr>
          <w:rFonts w:cs="Times New Roman"/>
          <w:szCs w:val="24"/>
          <w:lang w:val="fr-CA"/>
        </w:rPr>
        <w:t> :</w:t>
      </w:r>
      <w:r w:rsidRPr="00954404">
        <w:rPr>
          <w:rFonts w:cs="Times New Roman"/>
          <w:szCs w:val="24"/>
          <w:lang w:val="fr-CA"/>
        </w:rPr>
        <w:t xml:space="preserve"> « La Couronne ne saurait être un fiduciaire ordinaire; elle agit en plusieurs qualités et représente de nombreux intérêts, dont certains sont immanquablement opposés ».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 xml:space="preserve">Guerin </w:t>
      </w:r>
      <w:r w:rsidRPr="00954404">
        <w:rPr>
          <w:rFonts w:cs="Times New Roman"/>
          <w:szCs w:val="24"/>
          <w:lang w:val="fr-CA"/>
        </w:rPr>
        <w:t>a exceptionnellement reconnu une obligation fiduciaire de Sa Majesté lorsqu</w:t>
      </w:r>
      <w:r>
        <w:rPr>
          <w:rFonts w:cs="Times New Roman"/>
          <w:szCs w:val="24"/>
          <w:lang w:val="fr-CA"/>
        </w:rPr>
        <w:t>’</w:t>
      </w:r>
      <w:r w:rsidRPr="00954404">
        <w:rPr>
          <w:rFonts w:cs="Times New Roman"/>
          <w:szCs w:val="24"/>
          <w:lang w:val="fr-CA"/>
        </w:rPr>
        <w:t xml:space="preserve">elle gère les terres des Indiens pour leur bénéfice.  Or, dans cette affaire, la Cour a indiqué à la </w:t>
      </w:r>
      <w:r>
        <w:rPr>
          <w:rFonts w:cs="Times New Roman"/>
          <w:szCs w:val="24"/>
          <w:lang w:val="fr-CA"/>
        </w:rPr>
        <w:t>p. </w:t>
      </w:r>
      <w:r w:rsidRPr="00954404">
        <w:rPr>
          <w:rFonts w:cs="Times New Roman"/>
          <w:szCs w:val="24"/>
          <w:lang w:val="fr-CA"/>
        </w:rPr>
        <w:t>385 que l</w:t>
      </w:r>
      <w:r>
        <w:rPr>
          <w:rFonts w:cs="Times New Roman"/>
          <w:szCs w:val="24"/>
          <w:lang w:val="fr-CA"/>
        </w:rPr>
        <w:t>’</w:t>
      </w:r>
      <w:r w:rsidRPr="00954404">
        <w:rPr>
          <w:rFonts w:cs="Times New Roman"/>
          <w:szCs w:val="24"/>
          <w:lang w:val="fr-CA"/>
        </w:rPr>
        <w:t>obligation fiduciaire envers les peuples autochtones du Canada est unique et fondée par analogie sur le droit privé</w:t>
      </w:r>
      <w:r>
        <w:rPr>
          <w:rFonts w:cs="Times New Roman"/>
          <w:szCs w:val="24"/>
          <w:lang w:val="fr-CA"/>
        </w:rPr>
        <w:t> :</w:t>
      </w:r>
    </w:p>
    <w:p w:rsidR="00466E7D" w:rsidRPr="00954404" w:rsidRDefault="00466E7D" w:rsidP="00466E7D">
      <w:pPr>
        <w:pStyle w:val="Citation-AltC"/>
        <w:ind w:hanging="1166"/>
        <w:contextualSpacing w:val="0"/>
        <w:rPr>
          <w:szCs w:val="24"/>
          <w:lang w:val="fr-CA"/>
        </w:rPr>
      </w:pPr>
      <w:r w:rsidRPr="00954404">
        <w:rPr>
          <w:szCs w:val="24"/>
          <w:lang w:val="fr-CA"/>
        </w:rPr>
        <w:lastRenderedPageBreak/>
        <w:tab/>
        <w:t>Cependant, ce n</w:t>
      </w:r>
      <w:r>
        <w:rPr>
          <w:szCs w:val="24"/>
          <w:lang w:val="fr-CA"/>
        </w:rPr>
        <w:t>’</w:t>
      </w:r>
      <w:r w:rsidRPr="00954404">
        <w:rPr>
          <w:szCs w:val="24"/>
          <w:lang w:val="fr-CA"/>
        </w:rPr>
        <w:t>est pas parce que c</w:t>
      </w:r>
      <w:r>
        <w:rPr>
          <w:szCs w:val="24"/>
          <w:lang w:val="fr-CA"/>
        </w:rPr>
        <w:t>’</w:t>
      </w:r>
      <w:r w:rsidRPr="00954404">
        <w:rPr>
          <w:szCs w:val="24"/>
          <w:lang w:val="fr-CA"/>
        </w:rPr>
        <w:t>est à Sa Majesté qu</w:t>
      </w:r>
      <w:r>
        <w:rPr>
          <w:szCs w:val="24"/>
          <w:lang w:val="fr-CA"/>
        </w:rPr>
        <w:t>’</w:t>
      </w:r>
      <w:r w:rsidRPr="00954404">
        <w:rPr>
          <w:szCs w:val="24"/>
          <w:lang w:val="fr-CA"/>
        </w:rPr>
        <w:t>incombe l</w:t>
      </w:r>
      <w:r>
        <w:rPr>
          <w:szCs w:val="24"/>
          <w:lang w:val="fr-CA"/>
        </w:rPr>
        <w:t>’</w:t>
      </w:r>
      <w:r w:rsidRPr="00954404">
        <w:rPr>
          <w:szCs w:val="24"/>
          <w:lang w:val="fr-CA"/>
        </w:rPr>
        <w:t>obligation d</w:t>
      </w:r>
      <w:r>
        <w:rPr>
          <w:szCs w:val="24"/>
          <w:lang w:val="fr-CA"/>
        </w:rPr>
        <w:t>’</w:t>
      </w:r>
      <w:r w:rsidRPr="00954404">
        <w:rPr>
          <w:szCs w:val="24"/>
          <w:lang w:val="fr-CA"/>
        </w:rPr>
        <w:t>agir pour le compte des Indiens que cette obligation échappe à la portée du principe fiduciaire.  Comme nous l</w:t>
      </w:r>
      <w:r>
        <w:rPr>
          <w:szCs w:val="24"/>
          <w:lang w:val="fr-CA"/>
        </w:rPr>
        <w:t>’</w:t>
      </w:r>
      <w:r w:rsidRPr="00954404">
        <w:rPr>
          <w:szCs w:val="24"/>
          <w:lang w:val="fr-CA"/>
        </w:rPr>
        <w:t xml:space="preserve">avons souligné plus haut, le droit des Indiens sur leurs terres a une existence juridique indépendante.  Il ne doit son existence ni au pouvoir législatif ni au pouvoir exécutif.  </w:t>
      </w:r>
      <w:r w:rsidRPr="00954404">
        <w:rPr>
          <w:szCs w:val="24"/>
          <w:u w:val="single"/>
          <w:lang w:val="fr-CA"/>
        </w:rPr>
        <w:t>L</w:t>
      </w:r>
      <w:r>
        <w:rPr>
          <w:szCs w:val="24"/>
          <w:u w:val="single"/>
          <w:lang w:val="fr-CA"/>
        </w:rPr>
        <w:t>’</w:t>
      </w:r>
      <w:r w:rsidRPr="00954404">
        <w:rPr>
          <w:szCs w:val="24"/>
          <w:u w:val="single"/>
          <w:lang w:val="fr-CA"/>
        </w:rPr>
        <w:t>obligation qu</w:t>
      </w:r>
      <w:r>
        <w:rPr>
          <w:szCs w:val="24"/>
          <w:u w:val="single"/>
          <w:lang w:val="fr-CA"/>
        </w:rPr>
        <w:t>’</w:t>
      </w:r>
      <w:r w:rsidRPr="00954404">
        <w:rPr>
          <w:szCs w:val="24"/>
          <w:u w:val="single"/>
          <w:lang w:val="fr-CA"/>
        </w:rPr>
        <w:t>a Sa Majesté envers les Indiens en ce qui concerne ce droit n</w:t>
      </w:r>
      <w:r>
        <w:rPr>
          <w:szCs w:val="24"/>
          <w:u w:val="single"/>
          <w:lang w:val="fr-CA"/>
        </w:rPr>
        <w:t>’</w:t>
      </w:r>
      <w:r w:rsidRPr="00954404">
        <w:rPr>
          <w:szCs w:val="24"/>
          <w:u w:val="single"/>
          <w:lang w:val="fr-CA"/>
        </w:rPr>
        <w:t>est donc pas une obligation de droit public.  Bien qu</w:t>
      </w:r>
      <w:r>
        <w:rPr>
          <w:szCs w:val="24"/>
          <w:u w:val="single"/>
          <w:lang w:val="fr-CA"/>
        </w:rPr>
        <w:t>’</w:t>
      </w:r>
      <w:r w:rsidRPr="00954404">
        <w:rPr>
          <w:szCs w:val="24"/>
          <w:u w:val="single"/>
          <w:lang w:val="fr-CA"/>
        </w:rPr>
        <w:t>il ne s</w:t>
      </w:r>
      <w:r>
        <w:rPr>
          <w:szCs w:val="24"/>
          <w:u w:val="single"/>
          <w:lang w:val="fr-CA"/>
        </w:rPr>
        <w:t>’</w:t>
      </w:r>
      <w:r w:rsidRPr="00954404">
        <w:rPr>
          <w:szCs w:val="24"/>
          <w:u w:val="single"/>
          <w:lang w:val="fr-CA"/>
        </w:rPr>
        <w:t>agisse pas non plus d</w:t>
      </w:r>
      <w:r>
        <w:rPr>
          <w:szCs w:val="24"/>
          <w:u w:val="single"/>
          <w:lang w:val="fr-CA"/>
        </w:rPr>
        <w:t>’</w:t>
      </w:r>
      <w:r w:rsidRPr="00954404">
        <w:rPr>
          <w:szCs w:val="24"/>
          <w:u w:val="single"/>
          <w:lang w:val="fr-CA"/>
        </w:rPr>
        <w:t>une obligation de droit privé au sens strict, elle tient néanmoins de la nature d</w:t>
      </w:r>
      <w:r>
        <w:rPr>
          <w:szCs w:val="24"/>
          <w:u w:val="single"/>
          <w:lang w:val="fr-CA"/>
        </w:rPr>
        <w:t>’</w:t>
      </w:r>
      <w:r w:rsidRPr="00954404">
        <w:rPr>
          <w:szCs w:val="24"/>
          <w:u w:val="single"/>
          <w:lang w:val="fr-CA"/>
        </w:rPr>
        <w:t xml:space="preserve">une obligation de droit privé.  En conséquence, on peut à bon droit, dans le contexte de ce rapport </w:t>
      </w:r>
      <w:r w:rsidRPr="00954404">
        <w:rPr>
          <w:i/>
          <w:iCs/>
          <w:szCs w:val="24"/>
          <w:u w:val="single"/>
          <w:lang w:val="fr-CA"/>
        </w:rPr>
        <w:t>sui generis</w:t>
      </w:r>
      <w:r w:rsidRPr="00954404">
        <w:rPr>
          <w:iCs/>
          <w:szCs w:val="24"/>
          <w:u w:val="single"/>
          <w:lang w:val="fr-CA"/>
        </w:rPr>
        <w:t>,</w:t>
      </w:r>
      <w:r w:rsidRPr="00954404">
        <w:rPr>
          <w:i/>
          <w:iCs/>
          <w:szCs w:val="24"/>
          <w:u w:val="single"/>
          <w:lang w:val="fr-CA"/>
        </w:rPr>
        <w:t xml:space="preserve"> </w:t>
      </w:r>
      <w:r w:rsidRPr="00954404">
        <w:rPr>
          <w:szCs w:val="24"/>
          <w:u w:val="single"/>
          <w:lang w:val="fr-CA"/>
        </w:rPr>
        <w:t>considérer Sa Majesté comme un fiduciaire</w:t>
      </w:r>
      <w:r w:rsidRPr="001C763A">
        <w:rPr>
          <w:szCs w:val="24"/>
          <w:u w:val="single"/>
          <w:lang w:val="fr-CA"/>
        </w:rPr>
        <w:t>.</w:t>
      </w:r>
      <w:r w:rsidRPr="00954404">
        <w:rPr>
          <w:szCs w:val="24"/>
          <w:lang w:val="fr-CA"/>
        </w:rPr>
        <w:t xml:space="preserve">  [Je souligne.]</w:t>
      </w:r>
    </w:p>
    <w:p w:rsidR="00466E7D" w:rsidRPr="002858C0" w:rsidRDefault="00466E7D" w:rsidP="00466E7D">
      <w:pPr>
        <w:pStyle w:val="ContinueParaSuitedupar-AltP"/>
        <w:rPr>
          <w:lang w:val="fr-CA"/>
        </w:rPr>
      </w:pPr>
      <w:r w:rsidRPr="002858C0">
        <w:rPr>
          <w:lang w:val="fr-CA"/>
        </w:rPr>
        <w:t>Soulignant la nature unique de l</w:t>
      </w:r>
      <w:r>
        <w:rPr>
          <w:lang w:val="fr-CA"/>
        </w:rPr>
        <w:t>’</w:t>
      </w:r>
      <w:r w:rsidRPr="002858C0">
        <w:rPr>
          <w:lang w:val="fr-CA"/>
        </w:rPr>
        <w:t>obligation fiduciaire de Sa Majesté dans le contexte autochtone, les tribunaux ont indiqué qu</w:t>
      </w:r>
      <w:r>
        <w:rPr>
          <w:lang w:val="fr-CA"/>
        </w:rPr>
        <w:t>’</w:t>
      </w:r>
      <w:r w:rsidRPr="002858C0">
        <w:rPr>
          <w:lang w:val="fr-CA"/>
        </w:rPr>
        <w:t>il faut établir une distinction entre cette obligation et d</w:t>
      </w:r>
      <w:r>
        <w:rPr>
          <w:lang w:val="fr-CA"/>
        </w:rPr>
        <w:t>’</w:t>
      </w:r>
      <w:r w:rsidRPr="002858C0">
        <w:rPr>
          <w:lang w:val="fr-CA"/>
        </w:rPr>
        <w:t>autres rapports</w:t>
      </w:r>
      <w:r>
        <w:rPr>
          <w:lang w:val="fr-CA"/>
        </w:rPr>
        <w:t> :</w:t>
      </w:r>
      <w:r w:rsidRPr="002858C0">
        <w:rPr>
          <w:lang w:val="fr-CA"/>
        </w:rPr>
        <w:t xml:space="preserve"> </w:t>
      </w:r>
      <w:r w:rsidRPr="002858C0">
        <w:rPr>
          <w:i/>
          <w:lang w:val="fr-CA"/>
        </w:rPr>
        <w:t>Hogan c. Newfoundland (Attorney General)</w:t>
      </w:r>
      <w:r w:rsidRPr="002858C0">
        <w:rPr>
          <w:lang w:val="fr-CA"/>
        </w:rPr>
        <w:t xml:space="preserve"> (2000), 183 D.L.R. (4th) 225 (C.A.T.</w:t>
      </w:r>
      <w:r>
        <w:rPr>
          <w:lang w:val="fr-CA"/>
        </w:rPr>
        <w:noBreakHyphen/>
      </w:r>
      <w:r w:rsidRPr="002858C0">
        <w:rPr>
          <w:lang w:val="fr-CA"/>
        </w:rPr>
        <w:t xml:space="preserve">N.), </w:t>
      </w:r>
      <w:r>
        <w:rPr>
          <w:lang w:val="fr-CA"/>
        </w:rPr>
        <w:t>par. </w:t>
      </w:r>
      <w:r w:rsidRPr="002858C0">
        <w:rPr>
          <w:lang w:val="fr-CA"/>
        </w:rPr>
        <w:t>66</w:t>
      </w:r>
      <w:r>
        <w:rPr>
          <w:lang w:val="fr-CA"/>
        </w:rPr>
        <w:noBreakHyphen/>
      </w:r>
      <w:r w:rsidRPr="002858C0">
        <w:rPr>
          <w:lang w:val="fr-CA"/>
        </w:rPr>
        <w:t>67.</w:t>
      </w:r>
    </w:p>
    <w:p w:rsidR="00466E7D" w:rsidRPr="00954404" w:rsidRDefault="00466E7D" w:rsidP="00466E7D">
      <w:pPr>
        <w:pStyle w:val="ParaNoNdepar-AltN"/>
        <w:rPr>
          <w:rFonts w:cs="Times New Roman"/>
          <w:szCs w:val="24"/>
          <w:lang w:val="fr-CA"/>
        </w:rPr>
      </w:pPr>
      <w:r w:rsidRPr="00954404">
        <w:rPr>
          <w:rFonts w:cs="Times New Roman"/>
          <w:szCs w:val="24"/>
          <w:lang w:val="fr-CA"/>
        </w:rPr>
        <w:t xml:space="preserve">Dans </w:t>
      </w:r>
      <w:r w:rsidRPr="00954404">
        <w:rPr>
          <w:rFonts w:cs="Times New Roman"/>
          <w:i/>
          <w:szCs w:val="24"/>
          <w:lang w:val="fr-CA"/>
        </w:rPr>
        <w:t>R. c. Sparrow</w:t>
      </w:r>
      <w:r w:rsidRPr="00954404">
        <w:rPr>
          <w:rFonts w:cs="Times New Roman"/>
          <w:szCs w:val="24"/>
          <w:lang w:val="fr-CA"/>
        </w:rPr>
        <w:t>, [1990] 1 R.C.S. 1075, la Cour a confirmé que l</w:t>
      </w:r>
      <w:r>
        <w:rPr>
          <w:rFonts w:cs="Times New Roman"/>
          <w:szCs w:val="24"/>
          <w:lang w:val="fr-CA"/>
        </w:rPr>
        <w:t>’</w:t>
      </w:r>
      <w:r w:rsidRPr="00954404">
        <w:rPr>
          <w:rFonts w:cs="Times New Roman"/>
          <w:szCs w:val="24"/>
          <w:lang w:val="fr-CA"/>
        </w:rPr>
        <w:t>obligation fiduciaire de Sa Majesté envers les peuples autochtones à l</w:t>
      </w:r>
      <w:r>
        <w:rPr>
          <w:rFonts w:cs="Times New Roman"/>
          <w:szCs w:val="24"/>
          <w:lang w:val="fr-CA"/>
        </w:rPr>
        <w:t>’</w:t>
      </w:r>
      <w:r w:rsidRPr="00954404">
        <w:rPr>
          <w:rFonts w:cs="Times New Roman"/>
          <w:szCs w:val="24"/>
          <w:lang w:val="fr-CA"/>
        </w:rPr>
        <w:t xml:space="preserve">égard de leurs terres est </w:t>
      </w:r>
      <w:r w:rsidRPr="00954404">
        <w:rPr>
          <w:rFonts w:cs="Times New Roman"/>
          <w:i/>
          <w:szCs w:val="24"/>
          <w:lang w:val="fr-CA"/>
        </w:rPr>
        <w:t>sui generis</w:t>
      </w:r>
      <w:r w:rsidRPr="00954404">
        <w:rPr>
          <w:rFonts w:cs="Times New Roman"/>
          <w:szCs w:val="24"/>
          <w:lang w:val="fr-CA"/>
        </w:rPr>
        <w:t xml:space="preserve">, à la </w:t>
      </w:r>
      <w:r>
        <w:rPr>
          <w:rFonts w:cs="Times New Roman"/>
          <w:szCs w:val="24"/>
          <w:lang w:val="fr-CA"/>
        </w:rPr>
        <w:t>p. </w:t>
      </w:r>
      <w:r w:rsidRPr="00954404">
        <w:rPr>
          <w:rFonts w:cs="Times New Roman"/>
          <w:szCs w:val="24"/>
          <w:lang w:val="fr-CA"/>
        </w:rPr>
        <w:t>1108</w:t>
      </w:r>
      <w:r>
        <w:rPr>
          <w:rFonts w:cs="Times New Roman"/>
          <w:szCs w:val="24"/>
          <w:lang w:val="fr-CA"/>
        </w:rPr>
        <w:t> :</w:t>
      </w:r>
    </w:p>
    <w:p w:rsidR="00466E7D" w:rsidRPr="00954404" w:rsidRDefault="00466E7D" w:rsidP="00466E7D">
      <w:pPr>
        <w:pStyle w:val="Citation-AltC"/>
        <w:ind w:hanging="1166"/>
        <w:contextualSpacing w:val="0"/>
        <w:rPr>
          <w:szCs w:val="24"/>
          <w:lang w:val="fr-CA"/>
        </w:rPr>
      </w:pPr>
      <w:r w:rsidRPr="00954404">
        <w:rPr>
          <w:spacing w:val="-3"/>
          <w:szCs w:val="24"/>
          <w:lang w:val="fr-CA"/>
        </w:rPr>
        <w:tab/>
      </w:r>
      <w:r w:rsidRPr="00954404">
        <w:rPr>
          <w:spacing w:val="-3"/>
          <w:szCs w:val="24"/>
          <w:u w:val="single"/>
          <w:lang w:val="fr-CA"/>
        </w:rPr>
        <w:t>La nature</w:t>
      </w:r>
      <w:r w:rsidRPr="00954404">
        <w:rPr>
          <w:i/>
          <w:iCs/>
          <w:spacing w:val="-3"/>
          <w:szCs w:val="24"/>
          <w:u w:val="single"/>
          <w:lang w:val="fr-CA"/>
        </w:rPr>
        <w:t xml:space="preserve"> sui generis</w:t>
      </w:r>
      <w:r w:rsidRPr="00954404">
        <w:rPr>
          <w:spacing w:val="-3"/>
          <w:szCs w:val="24"/>
          <w:u w:val="single"/>
          <w:lang w:val="fr-CA"/>
        </w:rPr>
        <w:t xml:space="preserve"> du titre indien de même que les pouvoirs et la responsabilité historiques de Sa Majesté constituent la source de cette obligation de fiduciaire</w:t>
      </w:r>
      <w:r w:rsidRPr="001C763A">
        <w:rPr>
          <w:spacing w:val="-3"/>
          <w:szCs w:val="24"/>
          <w:u w:val="single"/>
          <w:lang w:val="fr-CA"/>
        </w:rPr>
        <w:t>.</w:t>
      </w:r>
      <w:r w:rsidRPr="00954404">
        <w:rPr>
          <w:spacing w:val="-3"/>
          <w:szCs w:val="24"/>
          <w:lang w:val="fr-CA"/>
        </w:rPr>
        <w:t xml:space="preserve">  À notre avis, l</w:t>
      </w:r>
      <w:r>
        <w:rPr>
          <w:spacing w:val="-3"/>
          <w:szCs w:val="24"/>
          <w:lang w:val="fr-CA"/>
        </w:rPr>
        <w:t>’</w:t>
      </w:r>
      <w:r w:rsidRPr="00954404">
        <w:rPr>
          <w:spacing w:val="-3"/>
          <w:szCs w:val="24"/>
          <w:lang w:val="fr-CA"/>
        </w:rPr>
        <w:t>arrêt</w:t>
      </w:r>
      <w:r w:rsidRPr="00954404">
        <w:rPr>
          <w:i/>
          <w:iCs/>
          <w:spacing w:val="-3"/>
          <w:szCs w:val="24"/>
          <w:lang w:val="fr-CA"/>
        </w:rPr>
        <w:t xml:space="preserve"> Guerin</w:t>
      </w:r>
      <w:r w:rsidRPr="00954404">
        <w:rPr>
          <w:spacing w:val="-3"/>
          <w:szCs w:val="24"/>
          <w:lang w:val="fr-CA"/>
        </w:rPr>
        <w:t>, conjugué avec l</w:t>
      </w:r>
      <w:r>
        <w:rPr>
          <w:spacing w:val="-3"/>
          <w:szCs w:val="24"/>
          <w:lang w:val="fr-CA"/>
        </w:rPr>
        <w:t>’</w:t>
      </w:r>
      <w:r w:rsidRPr="00954404">
        <w:rPr>
          <w:spacing w:val="-3"/>
          <w:szCs w:val="24"/>
          <w:lang w:val="fr-CA"/>
        </w:rPr>
        <w:t>arrêt</w:t>
      </w:r>
      <w:r w:rsidRPr="00954404">
        <w:rPr>
          <w:i/>
          <w:iCs/>
          <w:spacing w:val="-3"/>
          <w:szCs w:val="24"/>
          <w:lang w:val="fr-CA"/>
        </w:rPr>
        <w:t xml:space="preserve"> R. v. Taylor and Williams</w:t>
      </w:r>
      <w:r w:rsidRPr="00954404">
        <w:rPr>
          <w:spacing w:val="-3"/>
          <w:szCs w:val="24"/>
          <w:lang w:val="fr-CA"/>
        </w:rPr>
        <w:t xml:space="preserve"> </w:t>
      </w:r>
      <w:bookmarkStart w:id="0" w:name="reflex-caselaw-58371400"/>
      <w:bookmarkEnd w:id="0"/>
      <w:r w:rsidRPr="00954404">
        <w:rPr>
          <w:spacing w:val="-3"/>
          <w:szCs w:val="24"/>
          <w:lang w:val="fr-CA"/>
        </w:rPr>
        <w:t>(1981), 34 O.R. (2d) 360, justifie un principe directeur général d</w:t>
      </w:r>
      <w:r>
        <w:rPr>
          <w:spacing w:val="-3"/>
          <w:szCs w:val="24"/>
          <w:lang w:val="fr-CA"/>
        </w:rPr>
        <w:t>’</w:t>
      </w:r>
      <w:r w:rsidRPr="00954404">
        <w:rPr>
          <w:spacing w:val="-3"/>
          <w:szCs w:val="24"/>
          <w:lang w:val="fr-CA"/>
        </w:rPr>
        <w:t xml:space="preserve">interprétation du </w:t>
      </w:r>
      <w:r>
        <w:rPr>
          <w:spacing w:val="-3"/>
          <w:szCs w:val="24"/>
          <w:lang w:val="fr-CA"/>
        </w:rPr>
        <w:t>par. </w:t>
      </w:r>
      <w:r w:rsidRPr="00954404">
        <w:rPr>
          <w:spacing w:val="-3"/>
          <w:szCs w:val="24"/>
          <w:lang w:val="fr-CA"/>
        </w:rPr>
        <w:t xml:space="preserve">35(1), savoir, le </w:t>
      </w:r>
      <w:r w:rsidRPr="00954404">
        <w:rPr>
          <w:szCs w:val="24"/>
          <w:lang w:val="fr-CA"/>
        </w:rPr>
        <w:t>gouvernement</w:t>
      </w:r>
      <w:r w:rsidRPr="00954404">
        <w:rPr>
          <w:spacing w:val="-3"/>
          <w:szCs w:val="24"/>
          <w:lang w:val="fr-CA"/>
        </w:rPr>
        <w:t xml:space="preserve"> a la responsabilité d</w:t>
      </w:r>
      <w:r>
        <w:rPr>
          <w:spacing w:val="-3"/>
          <w:szCs w:val="24"/>
          <w:lang w:val="fr-CA"/>
        </w:rPr>
        <w:t>’</w:t>
      </w:r>
      <w:r w:rsidRPr="00954404">
        <w:rPr>
          <w:spacing w:val="-3"/>
          <w:szCs w:val="24"/>
          <w:lang w:val="fr-CA"/>
        </w:rPr>
        <w:t>agir en qualité de fiduciaire à l</w:t>
      </w:r>
      <w:r>
        <w:rPr>
          <w:spacing w:val="-3"/>
          <w:szCs w:val="24"/>
          <w:lang w:val="fr-CA"/>
        </w:rPr>
        <w:t>’</w:t>
      </w:r>
      <w:r w:rsidRPr="00954404">
        <w:rPr>
          <w:spacing w:val="-3"/>
          <w:szCs w:val="24"/>
          <w:lang w:val="fr-CA"/>
        </w:rPr>
        <w:t xml:space="preserve">égard des peuples autochtones.  Les rapports entre le gouvernement et les Autochtones sont de nature fiduciaire plutôt que contradictoire et la reconnaissance et la confirmation contemporaines des droits ancestraux doivent être définies en fonction de ces rapports historiques.  </w:t>
      </w:r>
      <w:r w:rsidRPr="00954404">
        <w:rPr>
          <w:szCs w:val="24"/>
          <w:lang w:val="fr-CA"/>
        </w:rPr>
        <w:t>[Je souligne.]</w:t>
      </w:r>
    </w:p>
    <w:p w:rsidR="00466E7D" w:rsidRPr="00954404" w:rsidRDefault="00466E7D" w:rsidP="00466E7D">
      <w:pPr>
        <w:pStyle w:val="ContinueParaSuitedupar-AltP"/>
        <w:rPr>
          <w:rFonts w:cs="Times New Roman"/>
          <w:lang w:val="fr-CA"/>
        </w:rPr>
      </w:pPr>
      <w:r w:rsidRPr="00954404">
        <w:rPr>
          <w:rFonts w:cs="Times New Roman"/>
          <w:lang w:val="fr-CA"/>
        </w:rPr>
        <w:lastRenderedPageBreak/>
        <w:t xml:space="preserve">De </w:t>
      </w:r>
      <w:r w:rsidRPr="004114B8">
        <w:rPr>
          <w:lang w:val="fr-CA"/>
        </w:rPr>
        <w:t>même</w:t>
      </w:r>
      <w:r w:rsidRPr="00954404">
        <w:rPr>
          <w:rFonts w:cs="Times New Roman"/>
          <w:lang w:val="fr-CA"/>
        </w:rPr>
        <w:t xml:space="preserve">, dans </w:t>
      </w:r>
      <w:r w:rsidRPr="00954404">
        <w:rPr>
          <w:rFonts w:cs="Times New Roman"/>
          <w:i/>
          <w:lang w:val="fr-CA"/>
        </w:rPr>
        <w:t>Wewaykum</w:t>
      </w:r>
      <w:r w:rsidRPr="00954404">
        <w:rPr>
          <w:rFonts w:cs="Times New Roman"/>
          <w:lang w:val="fr-CA"/>
        </w:rPr>
        <w:t>, le juge Binnie a indiqué que l</w:t>
      </w:r>
      <w:r>
        <w:rPr>
          <w:rFonts w:cs="Times New Roman"/>
          <w:lang w:val="fr-CA"/>
        </w:rPr>
        <w:t>’</w:t>
      </w:r>
      <w:r w:rsidRPr="00954404">
        <w:rPr>
          <w:rFonts w:cs="Times New Roman"/>
          <w:lang w:val="fr-CA"/>
        </w:rPr>
        <w:t>obligation fiduciaire de Sa Majesté envers les peuples autochtones n</w:t>
      </w:r>
      <w:r>
        <w:rPr>
          <w:rFonts w:cs="Times New Roman"/>
          <w:lang w:val="fr-CA"/>
        </w:rPr>
        <w:t>’</w:t>
      </w:r>
      <w:r w:rsidRPr="00954404">
        <w:rPr>
          <w:rFonts w:cs="Times New Roman"/>
          <w:lang w:val="fr-CA"/>
        </w:rPr>
        <w:t>est pas restreinte aux cas où les faits soulèvent d</w:t>
      </w:r>
      <w:r w:rsidR="005A3FB1">
        <w:rPr>
          <w:rFonts w:cs="Times New Roman"/>
          <w:lang w:val="fr-CA"/>
        </w:rPr>
        <w:t>es « considérations participant “</w:t>
      </w:r>
      <w:r w:rsidRPr="00954404">
        <w:rPr>
          <w:rFonts w:cs="Times New Roman"/>
          <w:lang w:val="fr-CA"/>
        </w:rPr>
        <w:t>de la nature d</w:t>
      </w:r>
      <w:r>
        <w:rPr>
          <w:rFonts w:cs="Times New Roman"/>
          <w:lang w:val="fr-CA"/>
        </w:rPr>
        <w:t>’</w:t>
      </w:r>
      <w:r w:rsidRPr="00954404">
        <w:rPr>
          <w:rFonts w:cs="Times New Roman"/>
          <w:lang w:val="fr-CA"/>
        </w:rPr>
        <w:t>une obligation de droit privé</w:t>
      </w:r>
      <w:r w:rsidR="005A3FB1">
        <w:rPr>
          <w:rFonts w:cs="Times New Roman"/>
          <w:lang w:val="fr-CA"/>
        </w:rPr>
        <w:t>”</w:t>
      </w:r>
      <w:r w:rsidRPr="00954404">
        <w:rPr>
          <w:rFonts w:cs="Times New Roman"/>
          <w:lang w:val="fr-CA"/>
        </w:rPr>
        <w:t> » (</w:t>
      </w:r>
      <w:r>
        <w:rPr>
          <w:rFonts w:cs="Times New Roman"/>
          <w:lang w:val="fr-CA"/>
        </w:rPr>
        <w:t>par. </w:t>
      </w:r>
      <w:r w:rsidRPr="00954404">
        <w:rPr>
          <w:rFonts w:cs="Times New Roman"/>
          <w:lang w:val="fr-CA"/>
        </w:rPr>
        <w:t>74).</w:t>
      </w:r>
    </w:p>
    <w:p w:rsidR="00466E7D" w:rsidRPr="00954404" w:rsidRDefault="00466E7D" w:rsidP="00466E7D">
      <w:pPr>
        <w:pStyle w:val="ParaNoNdepar-AltN"/>
        <w:rPr>
          <w:rFonts w:cs="Times New Roman"/>
          <w:szCs w:val="24"/>
          <w:lang w:val="fr-CA"/>
        </w:rPr>
      </w:pPr>
      <w:r w:rsidRPr="00954404">
        <w:rPr>
          <w:rFonts w:cs="Times New Roman"/>
          <w:szCs w:val="24"/>
          <w:lang w:val="fr-CA"/>
        </w:rPr>
        <w:t>La nature unique et historique des relations entre Sa Majesté et les peuples autochtones décrites dans ces arrêts annule la prétention du groupe de demandeurs selon laquelle elles servent de modèle quant à l</w:t>
      </w:r>
      <w:r>
        <w:rPr>
          <w:rFonts w:cs="Times New Roman"/>
          <w:szCs w:val="24"/>
          <w:lang w:val="fr-CA"/>
        </w:rPr>
        <w:t>’</w:t>
      </w:r>
      <w:r w:rsidRPr="00954404">
        <w:rPr>
          <w:rFonts w:cs="Times New Roman"/>
          <w:szCs w:val="24"/>
          <w:lang w:val="fr-CA"/>
        </w:rPr>
        <w:t>obligation du gouvernement envers ses citoyens dans d</w:t>
      </w:r>
      <w:r>
        <w:rPr>
          <w:rFonts w:cs="Times New Roman"/>
          <w:szCs w:val="24"/>
          <w:lang w:val="fr-CA"/>
        </w:rPr>
        <w:t>’</w:t>
      </w:r>
      <w:r w:rsidRPr="00954404">
        <w:rPr>
          <w:rFonts w:cs="Times New Roman"/>
          <w:szCs w:val="24"/>
          <w:lang w:val="fr-CA"/>
        </w:rPr>
        <w:t>autres contextes.  Il en est de même à l</w:t>
      </w:r>
      <w:r>
        <w:rPr>
          <w:rFonts w:cs="Times New Roman"/>
          <w:szCs w:val="24"/>
          <w:lang w:val="fr-CA"/>
        </w:rPr>
        <w:t>’</w:t>
      </w:r>
      <w:r w:rsidRPr="00954404">
        <w:rPr>
          <w:rFonts w:cs="Times New Roman"/>
          <w:szCs w:val="24"/>
          <w:lang w:val="fr-CA"/>
        </w:rPr>
        <w:t>égard de la seule autre situation où une obligation fiduciaire de l</w:t>
      </w:r>
      <w:r>
        <w:rPr>
          <w:rFonts w:cs="Times New Roman"/>
          <w:szCs w:val="24"/>
          <w:lang w:val="fr-CA"/>
        </w:rPr>
        <w:t>’</w:t>
      </w:r>
      <w:r w:rsidRPr="00954404">
        <w:rPr>
          <w:rFonts w:cs="Times New Roman"/>
          <w:szCs w:val="24"/>
          <w:lang w:val="fr-CA"/>
        </w:rPr>
        <w:t>État a été reconnue — soit lorsque celui</w:t>
      </w:r>
      <w:r>
        <w:rPr>
          <w:rFonts w:cs="Times New Roman"/>
          <w:szCs w:val="24"/>
          <w:lang w:val="fr-CA"/>
        </w:rPr>
        <w:noBreakHyphen/>
      </w:r>
      <w:r w:rsidRPr="00954404">
        <w:rPr>
          <w:rFonts w:cs="Times New Roman"/>
          <w:szCs w:val="24"/>
          <w:lang w:val="fr-CA"/>
        </w:rPr>
        <w:t>ci agit en qualité de tuteur et de curateur public.</w:t>
      </w:r>
    </w:p>
    <w:p w:rsidR="00466E7D" w:rsidRPr="00954404" w:rsidRDefault="00466E7D" w:rsidP="00466E7D">
      <w:pPr>
        <w:pStyle w:val="ParaNoNdepar-AltN"/>
        <w:rPr>
          <w:rFonts w:cs="Times New Roman"/>
          <w:szCs w:val="24"/>
          <w:lang w:val="fr-CA"/>
        </w:rPr>
      </w:pPr>
      <w:r w:rsidRPr="00954404">
        <w:rPr>
          <w:rFonts w:cs="Times New Roman"/>
          <w:szCs w:val="24"/>
          <w:lang w:val="fr-CA"/>
        </w:rPr>
        <w:t>La nature particulière du contexte gouvernemental a une incidence sur les conditions d</w:t>
      </w:r>
      <w:r>
        <w:rPr>
          <w:rFonts w:cs="Times New Roman"/>
          <w:szCs w:val="24"/>
          <w:lang w:val="fr-CA"/>
        </w:rPr>
        <w:t>’</w:t>
      </w:r>
      <w:r w:rsidRPr="00954404">
        <w:rPr>
          <w:rFonts w:cs="Times New Roman"/>
          <w:szCs w:val="24"/>
          <w:lang w:val="fr-CA"/>
        </w:rPr>
        <w:t>une relation fiduciaire dont on vient de discuter.</w:t>
      </w:r>
    </w:p>
    <w:p w:rsidR="00466E7D" w:rsidRPr="00954404" w:rsidRDefault="00466E7D" w:rsidP="00466E7D">
      <w:pPr>
        <w:pStyle w:val="ParaNoNdepar-AltN"/>
        <w:rPr>
          <w:rFonts w:cs="Times New Roman"/>
          <w:szCs w:val="24"/>
          <w:lang w:val="fr-CA"/>
        </w:rPr>
      </w:pPr>
      <w:r w:rsidRPr="00954404">
        <w:rPr>
          <w:rFonts w:cs="Times New Roman"/>
          <w:szCs w:val="24"/>
          <w:lang w:val="fr-CA"/>
        </w:rPr>
        <w:t>D</w:t>
      </w:r>
      <w:r>
        <w:rPr>
          <w:rFonts w:cs="Times New Roman"/>
          <w:szCs w:val="24"/>
          <w:lang w:val="fr-CA"/>
        </w:rPr>
        <w:t>’</w:t>
      </w:r>
      <w:r w:rsidRPr="00954404">
        <w:rPr>
          <w:rFonts w:cs="Times New Roman"/>
          <w:szCs w:val="24"/>
          <w:lang w:val="fr-CA"/>
        </w:rPr>
        <w:t>abord, la condition selon laquelle le fiduciaire doit s</w:t>
      </w:r>
      <w:r>
        <w:rPr>
          <w:rFonts w:cs="Times New Roman"/>
          <w:szCs w:val="24"/>
          <w:lang w:val="fr-CA"/>
        </w:rPr>
        <w:t>’</w:t>
      </w:r>
      <w:r w:rsidRPr="00954404">
        <w:rPr>
          <w:rFonts w:cs="Times New Roman"/>
          <w:szCs w:val="24"/>
          <w:lang w:val="fr-CA"/>
        </w:rPr>
        <w:t>engager à agir dans l</w:t>
      </w:r>
      <w:r>
        <w:rPr>
          <w:rFonts w:cs="Times New Roman"/>
          <w:szCs w:val="24"/>
          <w:lang w:val="fr-CA"/>
        </w:rPr>
        <w:t>’</w:t>
      </w:r>
      <w:r w:rsidRPr="00954404">
        <w:rPr>
          <w:rFonts w:cs="Times New Roman"/>
          <w:szCs w:val="24"/>
          <w:lang w:val="fr-CA"/>
        </w:rPr>
        <w:t>intérêt du bénéficiaire sera généralement absente si l</w:t>
      </w:r>
      <w:r>
        <w:rPr>
          <w:rFonts w:cs="Times New Roman"/>
          <w:szCs w:val="24"/>
          <w:lang w:val="fr-CA"/>
        </w:rPr>
        <w:t>’</w:t>
      </w:r>
      <w:r w:rsidRPr="00954404">
        <w:rPr>
          <w:rFonts w:cs="Times New Roman"/>
          <w:szCs w:val="24"/>
          <w:lang w:val="fr-CA"/>
        </w:rPr>
        <w:t>exercice d</w:t>
      </w:r>
      <w:r>
        <w:rPr>
          <w:rFonts w:cs="Times New Roman"/>
          <w:szCs w:val="24"/>
          <w:lang w:val="fr-CA"/>
        </w:rPr>
        <w:t>’</w:t>
      </w:r>
      <w:r w:rsidRPr="00954404">
        <w:rPr>
          <w:rFonts w:cs="Times New Roman"/>
          <w:szCs w:val="24"/>
          <w:lang w:val="fr-CA"/>
        </w:rPr>
        <w:t>un pouvoir discrétionnaire du gouvernement est en cause.</w:t>
      </w:r>
    </w:p>
    <w:p w:rsidR="00466E7D" w:rsidRPr="00954404" w:rsidRDefault="00466E7D" w:rsidP="00466E7D">
      <w:pPr>
        <w:pStyle w:val="ParaNoNdepar-AltN"/>
        <w:rPr>
          <w:rFonts w:cs="Times New Roman"/>
          <w:szCs w:val="24"/>
          <w:lang w:val="fr-CA"/>
        </w:rPr>
      </w:pPr>
      <w:r w:rsidRPr="00954404">
        <w:rPr>
          <w:rFonts w:cs="Times New Roman"/>
          <w:szCs w:val="24"/>
          <w:lang w:val="fr-CA"/>
        </w:rPr>
        <w:t>L</w:t>
      </w:r>
      <w:r>
        <w:rPr>
          <w:rFonts w:cs="Times New Roman"/>
          <w:szCs w:val="24"/>
          <w:lang w:val="fr-CA"/>
        </w:rPr>
        <w:t>’</w:t>
      </w:r>
      <w:r w:rsidRPr="00954404">
        <w:rPr>
          <w:rFonts w:cs="Times New Roman"/>
          <w:szCs w:val="24"/>
          <w:lang w:val="fr-CA"/>
        </w:rPr>
        <w:t>obligation est une obligation de loyauté absolue envers le bénéficiaire.  Comme l</w:t>
      </w:r>
      <w:r>
        <w:rPr>
          <w:rFonts w:cs="Times New Roman"/>
          <w:szCs w:val="24"/>
          <w:lang w:val="fr-CA"/>
        </w:rPr>
        <w:t>’</w:t>
      </w:r>
      <w:r w:rsidRPr="00954404">
        <w:rPr>
          <w:rFonts w:cs="Times New Roman"/>
          <w:szCs w:val="24"/>
          <w:lang w:val="fr-CA"/>
        </w:rPr>
        <w:t>indique Finn, le principe fiduciaire [</w:t>
      </w:r>
      <w:r w:rsidRPr="00954404">
        <w:rPr>
          <w:rFonts w:cs="Times New Roman"/>
          <w:smallCaps/>
          <w:szCs w:val="24"/>
          <w:lang w:val="fr-CA"/>
        </w:rPr>
        <w:t>traduction</w:t>
      </w:r>
      <w:r w:rsidRPr="00954404">
        <w:rPr>
          <w:rFonts w:cs="Times New Roman"/>
          <w:szCs w:val="24"/>
          <w:lang w:val="fr-CA"/>
        </w:rPr>
        <w:t>] « </w:t>
      </w:r>
      <w:r w:rsidRPr="00954404">
        <w:rPr>
          <w:rFonts w:cs="Times New Roman"/>
          <w:szCs w:val="24"/>
          <w:u w:val="single"/>
          <w:lang w:val="fr-CA"/>
        </w:rPr>
        <w:t>n</w:t>
      </w:r>
      <w:r>
        <w:rPr>
          <w:rFonts w:cs="Times New Roman"/>
          <w:szCs w:val="24"/>
          <w:u w:val="single"/>
          <w:lang w:val="fr-CA"/>
        </w:rPr>
        <w:t>’</w:t>
      </w:r>
      <w:r w:rsidRPr="00954404">
        <w:rPr>
          <w:rFonts w:cs="Times New Roman"/>
          <w:szCs w:val="24"/>
          <w:u w:val="single"/>
          <w:lang w:val="fr-CA"/>
        </w:rPr>
        <w:t>a pas pour fonction de concilier les intérêts</w:t>
      </w:r>
      <w:r w:rsidRPr="00954404">
        <w:rPr>
          <w:rFonts w:cs="Times New Roman"/>
          <w:szCs w:val="24"/>
          <w:lang w:val="fr-CA"/>
        </w:rPr>
        <w:t>.  Il doit garantir la suprématie des intérêts de l</w:t>
      </w:r>
      <w:r w:rsidRPr="001C763A">
        <w:rPr>
          <w:rFonts w:cs="Times New Roman"/>
          <w:szCs w:val="24"/>
          <w:lang w:val="fr-CA"/>
        </w:rPr>
        <w:t>’</w:t>
      </w:r>
      <w:r w:rsidRPr="00954404">
        <w:rPr>
          <w:rFonts w:cs="Times New Roman"/>
          <w:i/>
          <w:szCs w:val="24"/>
          <w:lang w:val="fr-CA"/>
        </w:rPr>
        <w:t>une</w:t>
      </w:r>
      <w:r w:rsidRPr="00954404">
        <w:rPr>
          <w:rFonts w:cs="Times New Roman"/>
          <w:szCs w:val="24"/>
          <w:lang w:val="fr-CA"/>
        </w:rPr>
        <w:t xml:space="preserve"> des parties [. . .]  Les intérêts du bénéficiaire doivent être protégés.  Pour ce faire, il faut </w:t>
      </w:r>
      <w:r w:rsidRPr="00954404">
        <w:rPr>
          <w:rFonts w:cs="Times New Roman"/>
          <w:szCs w:val="24"/>
          <w:lang w:val="fr-CA"/>
        </w:rPr>
        <w:lastRenderedPageBreak/>
        <w:t>appliquer un régime conçu pour garantir que ces intérêts seront servis avec loyauté » (</w:t>
      </w:r>
      <w:r>
        <w:rPr>
          <w:rFonts w:cs="Times New Roman"/>
          <w:szCs w:val="24"/>
          <w:lang w:val="fr-CA"/>
        </w:rPr>
        <w:t>P. </w:t>
      </w:r>
      <w:r w:rsidRPr="00954404">
        <w:rPr>
          <w:rFonts w:cs="Times New Roman"/>
          <w:szCs w:val="24"/>
          <w:lang w:val="fr-CA"/>
        </w:rPr>
        <w:t>D. Finn, « The Fiducia</w:t>
      </w:r>
      <w:r w:rsidR="001C763A">
        <w:rPr>
          <w:rFonts w:cs="Times New Roman"/>
          <w:szCs w:val="24"/>
          <w:lang w:val="fr-CA"/>
        </w:rPr>
        <w:t>ry Principle », dans T. G. Youda</w:t>
      </w:r>
      <w:r w:rsidRPr="00954404">
        <w:rPr>
          <w:rFonts w:cs="Times New Roman"/>
          <w:szCs w:val="24"/>
          <w:lang w:val="fr-CA"/>
        </w:rPr>
        <w:t>n</w:t>
      </w:r>
      <w:r w:rsidR="001C763A">
        <w:rPr>
          <w:rFonts w:cs="Times New Roman"/>
          <w:szCs w:val="24"/>
          <w:lang w:val="fr-CA"/>
        </w:rPr>
        <w:t>, dir.</w:t>
      </w:r>
      <w:r w:rsidRPr="00954404">
        <w:rPr>
          <w:rFonts w:cs="Times New Roman"/>
          <w:szCs w:val="24"/>
          <w:lang w:val="fr-CA"/>
        </w:rPr>
        <w:t xml:space="preserve">, </w:t>
      </w:r>
      <w:r w:rsidRPr="00954404">
        <w:rPr>
          <w:rFonts w:cs="Times New Roman"/>
          <w:i/>
          <w:szCs w:val="24"/>
          <w:lang w:val="fr-CA"/>
        </w:rPr>
        <w:t xml:space="preserve">Equity, Fiduciaries and Trusts </w:t>
      </w:r>
      <w:r w:rsidRPr="00954404">
        <w:rPr>
          <w:rFonts w:cs="Times New Roman"/>
          <w:szCs w:val="24"/>
          <w:lang w:val="fr-CA"/>
        </w:rPr>
        <w:t xml:space="preserve">(1989), </w:t>
      </w:r>
      <w:r w:rsidR="001C763A">
        <w:rPr>
          <w:rFonts w:cs="Times New Roman"/>
          <w:szCs w:val="24"/>
          <w:lang w:val="fr-CA"/>
        </w:rPr>
        <w:t xml:space="preserve">1, </w:t>
      </w:r>
      <w:r>
        <w:rPr>
          <w:rFonts w:cs="Times New Roman"/>
          <w:szCs w:val="24"/>
          <w:lang w:val="fr-CA"/>
        </w:rPr>
        <w:t>p. </w:t>
      </w:r>
      <w:r w:rsidR="001C763A">
        <w:rPr>
          <w:rFonts w:cs="Times New Roman"/>
          <w:szCs w:val="24"/>
          <w:lang w:val="fr-CA"/>
        </w:rPr>
        <w:t>27 (j</w:t>
      </w:r>
      <w:r w:rsidRPr="00954404">
        <w:rPr>
          <w:rFonts w:cs="Times New Roman"/>
          <w:szCs w:val="24"/>
          <w:lang w:val="fr-CA"/>
        </w:rPr>
        <w:t>e souligne)</w:t>
      </w:r>
      <w:r w:rsidR="001C763A">
        <w:rPr>
          <w:rFonts w:cs="Times New Roman"/>
          <w:szCs w:val="24"/>
          <w:lang w:val="fr-CA"/>
        </w:rPr>
        <w:t>;</w:t>
      </w:r>
      <w:r w:rsidRPr="00954404">
        <w:rPr>
          <w:rFonts w:cs="Times New Roman"/>
          <w:szCs w:val="24"/>
          <w:lang w:val="fr-CA"/>
        </w:rPr>
        <w:t xml:space="preserve"> </w:t>
      </w:r>
      <w:r w:rsidR="001C763A">
        <w:rPr>
          <w:rFonts w:cs="Times New Roman"/>
          <w:szCs w:val="24"/>
          <w:lang w:val="fr-CA"/>
        </w:rPr>
        <w:t>v</w:t>
      </w:r>
      <w:r w:rsidRPr="00954404">
        <w:rPr>
          <w:rFonts w:cs="Times New Roman"/>
          <w:spacing w:val="-3"/>
          <w:szCs w:val="24"/>
          <w:lang w:val="fr-CA"/>
        </w:rPr>
        <w:t>oir également l</w:t>
      </w:r>
      <w:r>
        <w:rPr>
          <w:rFonts w:cs="Times New Roman"/>
          <w:spacing w:val="-3"/>
          <w:szCs w:val="24"/>
          <w:lang w:val="fr-CA"/>
        </w:rPr>
        <w:t>’</w:t>
      </w:r>
      <w:r w:rsidRPr="00954404">
        <w:rPr>
          <w:rFonts w:cs="Times New Roman"/>
          <w:spacing w:val="-3"/>
          <w:szCs w:val="24"/>
          <w:lang w:val="fr-CA"/>
        </w:rPr>
        <w:t xml:space="preserve">arrêt </w:t>
      </w:r>
      <w:r w:rsidRPr="00954404">
        <w:rPr>
          <w:rFonts w:cs="Times New Roman"/>
          <w:i/>
          <w:spacing w:val="-3"/>
          <w:szCs w:val="24"/>
          <w:lang w:val="fr-CA"/>
        </w:rPr>
        <w:t>Hodgkinson</w:t>
      </w:r>
      <w:r w:rsidRPr="00954404">
        <w:rPr>
          <w:rFonts w:cs="Times New Roman"/>
          <w:spacing w:val="-3"/>
          <w:szCs w:val="24"/>
          <w:lang w:val="fr-CA"/>
        </w:rPr>
        <w:t xml:space="preserve">, </w:t>
      </w:r>
      <w:r w:rsidR="001C763A">
        <w:rPr>
          <w:rFonts w:cs="Times New Roman"/>
          <w:spacing w:val="-3"/>
          <w:szCs w:val="24"/>
          <w:lang w:val="fr-CA"/>
        </w:rPr>
        <w:t xml:space="preserve">p. 468, </w:t>
      </w:r>
      <w:r w:rsidRPr="00954404">
        <w:rPr>
          <w:rFonts w:cs="Times New Roman"/>
          <w:spacing w:val="-3"/>
          <w:szCs w:val="24"/>
          <w:lang w:val="fr-CA"/>
        </w:rPr>
        <w:t xml:space="preserve">les juges Sopinka et </w:t>
      </w:r>
      <w:r w:rsidRPr="00954404">
        <w:rPr>
          <w:rFonts w:cs="Times New Roman"/>
          <w:szCs w:val="24"/>
          <w:lang w:val="fr-CA"/>
        </w:rPr>
        <w:t xml:space="preserve">McLachlin </w:t>
      </w:r>
      <w:r w:rsidR="001C763A">
        <w:rPr>
          <w:rFonts w:cs="Times New Roman"/>
          <w:szCs w:val="24"/>
          <w:lang w:val="fr-CA"/>
        </w:rPr>
        <w:t>(</w:t>
      </w:r>
      <w:r w:rsidRPr="00954404">
        <w:rPr>
          <w:rFonts w:cs="Times New Roman"/>
          <w:szCs w:val="24"/>
          <w:lang w:val="fr-CA"/>
        </w:rPr>
        <w:t>maintenant Juge en chef</w:t>
      </w:r>
      <w:r w:rsidR="001C763A">
        <w:rPr>
          <w:rFonts w:cs="Times New Roman"/>
          <w:szCs w:val="24"/>
          <w:lang w:val="fr-CA"/>
        </w:rPr>
        <w:t>)</w:t>
      </w:r>
      <w:r w:rsidRPr="00954404">
        <w:rPr>
          <w:rFonts w:cs="Times New Roman"/>
          <w:szCs w:val="24"/>
          <w:lang w:val="fr-CA"/>
        </w:rPr>
        <w:t>, dissidents</w:t>
      </w:r>
      <w:r w:rsidR="001C763A">
        <w:rPr>
          <w:rFonts w:cs="Times New Roman"/>
          <w:szCs w:val="24"/>
          <w:lang w:val="fr-CA"/>
        </w:rPr>
        <w:t>)</w:t>
      </w:r>
      <w:r w:rsidRPr="00954404">
        <w:rPr>
          <w:rFonts w:cs="Times New Roman"/>
          <w:szCs w:val="24"/>
          <w:lang w:val="fr-CA"/>
        </w:rPr>
        <w:t>.</w:t>
      </w:r>
    </w:p>
    <w:p w:rsidR="00466E7D" w:rsidRPr="00954404" w:rsidRDefault="00466E7D" w:rsidP="00466E7D">
      <w:pPr>
        <w:pStyle w:val="ParaNoNdepar-AltN"/>
        <w:rPr>
          <w:rFonts w:cs="Times New Roman"/>
          <w:szCs w:val="24"/>
          <w:lang w:val="fr-CA"/>
        </w:rPr>
      </w:pPr>
      <w:r w:rsidRPr="00954404">
        <w:rPr>
          <w:rFonts w:cs="Times New Roman"/>
          <w:szCs w:val="24"/>
          <w:lang w:val="fr-CA"/>
        </w:rPr>
        <w:t>Obliger un fiduciaire à faire passer les intérêts du bénéficiaire avant les siens est donc essentiel à la relation.  Imposer un tel fardeau à l</w:t>
      </w:r>
      <w:r>
        <w:rPr>
          <w:rFonts w:cs="Times New Roman"/>
          <w:szCs w:val="24"/>
          <w:lang w:val="fr-CA"/>
        </w:rPr>
        <w:t>’</w:t>
      </w:r>
      <w:r w:rsidRPr="00954404">
        <w:rPr>
          <w:rFonts w:cs="Times New Roman"/>
          <w:szCs w:val="24"/>
          <w:lang w:val="fr-CA"/>
        </w:rPr>
        <w:t>État va naturellement à l</w:t>
      </w:r>
      <w:r>
        <w:rPr>
          <w:rFonts w:cs="Times New Roman"/>
          <w:szCs w:val="24"/>
          <w:lang w:val="fr-CA"/>
        </w:rPr>
        <w:t>’</w:t>
      </w:r>
      <w:r w:rsidRPr="00954404">
        <w:rPr>
          <w:rFonts w:cs="Times New Roman"/>
          <w:szCs w:val="24"/>
          <w:lang w:val="fr-CA"/>
        </w:rPr>
        <w:t>encontre de son obligation d</w:t>
      </w:r>
      <w:r>
        <w:rPr>
          <w:rFonts w:cs="Times New Roman"/>
          <w:szCs w:val="24"/>
          <w:lang w:val="fr-CA"/>
        </w:rPr>
        <w:t>’</w:t>
      </w:r>
      <w:r w:rsidRPr="00954404">
        <w:rPr>
          <w:rFonts w:cs="Times New Roman"/>
          <w:szCs w:val="24"/>
          <w:lang w:val="fr-CA"/>
        </w:rPr>
        <w:t>agir au mieux des intérêts de la société dans son ensemble et de répartir les ressources limitées entre les groupes opposés dont les demandes d</w:t>
      </w:r>
      <w:r>
        <w:rPr>
          <w:rFonts w:cs="Times New Roman"/>
          <w:szCs w:val="24"/>
          <w:lang w:val="fr-CA"/>
        </w:rPr>
        <w:t>’</w:t>
      </w:r>
      <w:r w:rsidRPr="00954404">
        <w:rPr>
          <w:rFonts w:cs="Times New Roman"/>
          <w:szCs w:val="24"/>
          <w:lang w:val="fr-CA"/>
        </w:rPr>
        <w:t>aide sont tout aussi valables</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Sagharian (Litigation Guardian of) c. Ontario (Minister of Education)</w:t>
      </w:r>
      <w:r w:rsidRPr="00954404">
        <w:rPr>
          <w:rFonts w:cs="Times New Roman"/>
          <w:szCs w:val="24"/>
          <w:lang w:val="fr-CA"/>
        </w:rPr>
        <w:t xml:space="preserve">, 2008 ONCA 411, 172 C.R.R. (2d) 105, </w:t>
      </w:r>
      <w:r>
        <w:rPr>
          <w:rFonts w:cs="Times New Roman"/>
          <w:szCs w:val="24"/>
          <w:lang w:val="fr-CA"/>
        </w:rPr>
        <w:t>par. </w:t>
      </w:r>
      <w:r w:rsidRPr="00954404">
        <w:rPr>
          <w:rFonts w:cs="Times New Roman"/>
          <w:szCs w:val="24"/>
          <w:lang w:val="fr-CA"/>
        </w:rPr>
        <w:t>47</w:t>
      </w:r>
      <w:r>
        <w:rPr>
          <w:rFonts w:cs="Times New Roman"/>
          <w:szCs w:val="24"/>
          <w:lang w:val="fr-CA"/>
        </w:rPr>
        <w:noBreakHyphen/>
      </w:r>
      <w:r w:rsidRPr="00954404">
        <w:rPr>
          <w:rFonts w:cs="Times New Roman"/>
          <w:szCs w:val="24"/>
          <w:lang w:val="fr-CA"/>
        </w:rPr>
        <w:t>49.  Cela ne se produira que dans de rares circonstances.  Vu la responsabilité générale de l</w:t>
      </w:r>
      <w:r>
        <w:rPr>
          <w:rFonts w:cs="Times New Roman"/>
          <w:szCs w:val="24"/>
          <w:lang w:val="fr-CA"/>
        </w:rPr>
        <w:t>’</w:t>
      </w:r>
      <w:r w:rsidRPr="00954404">
        <w:rPr>
          <w:rFonts w:cs="Times New Roman"/>
          <w:szCs w:val="24"/>
          <w:lang w:val="fr-CA"/>
        </w:rPr>
        <w:t>État d</w:t>
      </w:r>
      <w:r>
        <w:rPr>
          <w:rFonts w:cs="Times New Roman"/>
          <w:szCs w:val="24"/>
          <w:lang w:val="fr-CA"/>
        </w:rPr>
        <w:t>’</w:t>
      </w:r>
      <w:r w:rsidRPr="00954404">
        <w:rPr>
          <w:rFonts w:cs="Times New Roman"/>
          <w:szCs w:val="24"/>
          <w:lang w:val="fr-CA"/>
        </w:rPr>
        <w:t>agir dans l</w:t>
      </w:r>
      <w:r>
        <w:rPr>
          <w:rFonts w:cs="Times New Roman"/>
          <w:szCs w:val="24"/>
          <w:lang w:val="fr-CA"/>
        </w:rPr>
        <w:t>’</w:t>
      </w:r>
      <w:r w:rsidRPr="00954404">
        <w:rPr>
          <w:rFonts w:cs="Times New Roman"/>
          <w:szCs w:val="24"/>
          <w:lang w:val="fr-CA"/>
        </w:rPr>
        <w:t>intérêt public, son obligation de loyauté envers une personne ou un groupe en particulier ne sera démontrée que dans de rares cas</w:t>
      </w:r>
      <w:r>
        <w:rPr>
          <w:rFonts w:cs="Times New Roman"/>
          <w:szCs w:val="24"/>
          <w:lang w:val="fr-CA"/>
        </w:rPr>
        <w:t> :</w:t>
      </w:r>
      <w:r w:rsidRPr="00954404">
        <w:rPr>
          <w:rFonts w:cs="Times New Roman"/>
          <w:szCs w:val="24"/>
          <w:lang w:val="fr-CA"/>
        </w:rPr>
        <w:t xml:space="preserve"> voir </w:t>
      </w:r>
      <w:r w:rsidRPr="00954404">
        <w:rPr>
          <w:rFonts w:cs="Times New Roman"/>
          <w:i/>
          <w:szCs w:val="24"/>
          <w:lang w:val="fr-CA"/>
        </w:rPr>
        <w:t>Harris c. Canada</w:t>
      </w:r>
      <w:r w:rsidRPr="00954404">
        <w:rPr>
          <w:rFonts w:cs="Times New Roman"/>
          <w:szCs w:val="24"/>
          <w:lang w:val="fr-CA"/>
        </w:rPr>
        <w:t xml:space="preserve">, 2001 CFPI 1408, [2002] 2 C.F. 484, </w:t>
      </w:r>
      <w:r>
        <w:rPr>
          <w:rFonts w:cs="Times New Roman"/>
          <w:szCs w:val="24"/>
          <w:lang w:val="fr-CA"/>
        </w:rPr>
        <w:t>par. </w:t>
      </w:r>
      <w:r w:rsidRPr="00954404">
        <w:rPr>
          <w:rFonts w:cs="Times New Roman"/>
          <w:szCs w:val="24"/>
          <w:lang w:val="fr-CA"/>
        </w:rPr>
        <w:t>178.</w:t>
      </w:r>
    </w:p>
    <w:p w:rsidR="00466E7D" w:rsidRPr="00954404" w:rsidRDefault="00466E7D" w:rsidP="00466E7D">
      <w:pPr>
        <w:pStyle w:val="ParaNoNdepar-AltN"/>
        <w:rPr>
          <w:rFonts w:cs="Times New Roman"/>
          <w:szCs w:val="24"/>
          <w:lang w:val="fr-CA"/>
        </w:rPr>
      </w:pPr>
      <w:r w:rsidRPr="00954404">
        <w:rPr>
          <w:rFonts w:cs="Times New Roman"/>
          <w:szCs w:val="24"/>
          <w:lang w:val="fr-CA"/>
        </w:rPr>
        <w:t>S</w:t>
      </w:r>
      <w:r>
        <w:rPr>
          <w:rFonts w:cs="Times New Roman"/>
          <w:szCs w:val="24"/>
          <w:lang w:val="fr-CA"/>
        </w:rPr>
        <w:t>’</w:t>
      </w:r>
      <w:r w:rsidRPr="00954404">
        <w:rPr>
          <w:rFonts w:cs="Times New Roman"/>
          <w:szCs w:val="24"/>
          <w:lang w:val="fr-CA"/>
        </w:rPr>
        <w:t>il est allégué que l</w:t>
      </w:r>
      <w:r>
        <w:rPr>
          <w:rFonts w:cs="Times New Roman"/>
          <w:szCs w:val="24"/>
          <w:lang w:val="fr-CA"/>
        </w:rPr>
        <w:t>’</w:t>
      </w:r>
      <w:r w:rsidRPr="00954404">
        <w:rPr>
          <w:rFonts w:cs="Times New Roman"/>
          <w:szCs w:val="24"/>
          <w:lang w:val="fr-CA"/>
        </w:rPr>
        <w:t>engagement découle d</w:t>
      </w:r>
      <w:r>
        <w:rPr>
          <w:rFonts w:cs="Times New Roman"/>
          <w:szCs w:val="24"/>
          <w:lang w:val="fr-CA"/>
        </w:rPr>
        <w:t>’</w:t>
      </w:r>
      <w:r w:rsidRPr="00954404">
        <w:rPr>
          <w:rFonts w:cs="Times New Roman"/>
          <w:szCs w:val="24"/>
          <w:lang w:val="fr-CA"/>
        </w:rPr>
        <w:t>une loi, le libellé de la loi doit manifestement l</w:t>
      </w:r>
      <w:r>
        <w:rPr>
          <w:rFonts w:cs="Times New Roman"/>
          <w:szCs w:val="24"/>
          <w:lang w:val="fr-CA"/>
        </w:rPr>
        <w:t>’</w:t>
      </w:r>
      <w:r w:rsidRPr="00954404">
        <w:rPr>
          <w:rFonts w:cs="Times New Roman"/>
          <w:szCs w:val="24"/>
          <w:lang w:val="fr-CA"/>
        </w:rPr>
        <w:t>appuyer</w:t>
      </w:r>
      <w:r>
        <w:rPr>
          <w:rFonts w:cs="Times New Roman"/>
          <w:szCs w:val="24"/>
          <w:lang w:val="fr-CA"/>
        </w:rPr>
        <w:t> :</w:t>
      </w:r>
      <w:r w:rsidRPr="00954404">
        <w:rPr>
          <w:rFonts w:cs="Times New Roman"/>
          <w:i/>
          <w:szCs w:val="24"/>
          <w:lang w:val="fr-CA"/>
        </w:rPr>
        <w:t xml:space="preserve"> K.L.B. c. Colombie</w:t>
      </w:r>
      <w:r>
        <w:rPr>
          <w:rFonts w:cs="Times New Roman"/>
          <w:i/>
          <w:szCs w:val="24"/>
          <w:lang w:val="fr-CA"/>
        </w:rPr>
        <w:noBreakHyphen/>
      </w:r>
      <w:r w:rsidRPr="00954404">
        <w:rPr>
          <w:rFonts w:cs="Times New Roman"/>
          <w:i/>
          <w:szCs w:val="24"/>
          <w:lang w:val="fr-CA"/>
        </w:rPr>
        <w:t>Britannique</w:t>
      </w:r>
      <w:r w:rsidRPr="00954404">
        <w:rPr>
          <w:rFonts w:cs="Times New Roman"/>
          <w:szCs w:val="24"/>
          <w:lang w:val="fr-CA"/>
        </w:rPr>
        <w:t xml:space="preserve">, 2003 CSC 51, [2003] 2 R.C.S. 403, </w:t>
      </w:r>
      <w:r>
        <w:rPr>
          <w:rFonts w:cs="Times New Roman"/>
          <w:szCs w:val="24"/>
          <w:lang w:val="fr-CA"/>
        </w:rPr>
        <w:t>par. </w:t>
      </w:r>
      <w:r w:rsidRPr="00954404">
        <w:rPr>
          <w:rFonts w:cs="Times New Roman"/>
          <w:szCs w:val="24"/>
          <w:lang w:val="fr-CA"/>
        </w:rPr>
        <w:t>40;</w:t>
      </w:r>
      <w:r w:rsidRPr="00954404">
        <w:rPr>
          <w:rFonts w:cs="Times New Roman"/>
          <w:i/>
          <w:szCs w:val="24"/>
          <w:lang w:val="fr-CA"/>
        </w:rPr>
        <w:t xml:space="preserve"> Authorson c. Canada (Attorney General)</w:t>
      </w:r>
      <w:r w:rsidRPr="00954404">
        <w:rPr>
          <w:rFonts w:cs="Times New Roman"/>
          <w:szCs w:val="24"/>
          <w:lang w:val="fr-CA"/>
        </w:rPr>
        <w:t xml:space="preserve"> (2</w:t>
      </w:r>
      <w:r w:rsidR="005A3FB1">
        <w:rPr>
          <w:rFonts w:cs="Times New Roman"/>
          <w:szCs w:val="24"/>
          <w:lang w:val="fr-CA"/>
        </w:rPr>
        <w:t>000), 53 O.R. (3d) 221 (C.S.J</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 xml:space="preserve">28, conf. (2002), 58 O.R. (3d) 417 (C.A.), </w:t>
      </w:r>
      <w:r>
        <w:rPr>
          <w:rFonts w:cs="Times New Roman"/>
          <w:szCs w:val="24"/>
          <w:lang w:val="fr-CA"/>
        </w:rPr>
        <w:t>par. </w:t>
      </w:r>
      <w:r w:rsidRPr="00954404">
        <w:rPr>
          <w:rFonts w:cs="Times New Roman"/>
          <w:szCs w:val="24"/>
          <w:lang w:val="fr-CA"/>
        </w:rPr>
        <w:t>73, inf. pour d</w:t>
      </w:r>
      <w:r>
        <w:rPr>
          <w:rFonts w:cs="Times New Roman"/>
          <w:szCs w:val="24"/>
          <w:lang w:val="fr-CA"/>
        </w:rPr>
        <w:t>’</w:t>
      </w:r>
      <w:r w:rsidRPr="00954404">
        <w:rPr>
          <w:rFonts w:cs="Times New Roman"/>
          <w:szCs w:val="24"/>
          <w:lang w:val="fr-CA"/>
        </w:rPr>
        <w:t>autres motifs, 2003 CSC 39, [2003] 2 R.C.S. 40.  Il ne suffit pas simplement de conférer à une autorité publique un pouvoir discrétionnaire ayant une incidence sur les intérêts d</w:t>
      </w:r>
      <w:r>
        <w:rPr>
          <w:rFonts w:cs="Times New Roman"/>
          <w:szCs w:val="24"/>
          <w:lang w:val="fr-CA"/>
        </w:rPr>
        <w:t>’</w:t>
      </w:r>
      <w:r w:rsidRPr="00954404">
        <w:rPr>
          <w:rFonts w:cs="Times New Roman"/>
          <w:szCs w:val="24"/>
          <w:lang w:val="fr-CA"/>
        </w:rPr>
        <w:t>une personne.  Un examen minutieux des dispositions en litige est nécessaire</w:t>
      </w:r>
      <w:r>
        <w:rPr>
          <w:rFonts w:cs="Times New Roman"/>
          <w:szCs w:val="24"/>
          <w:lang w:val="fr-CA"/>
        </w:rPr>
        <w:t> :</w:t>
      </w:r>
      <w:r w:rsidRPr="00954404">
        <w:rPr>
          <w:rFonts w:cs="Times New Roman"/>
          <w:i/>
          <w:szCs w:val="24"/>
          <w:lang w:val="fr-CA"/>
        </w:rPr>
        <w:t xml:space="preserve"> </w:t>
      </w:r>
      <w:r w:rsidRPr="00954404">
        <w:rPr>
          <w:rFonts w:cs="Times New Roman"/>
          <w:szCs w:val="24"/>
          <w:lang w:val="fr-CA"/>
        </w:rPr>
        <w:t xml:space="preserve">dans </w:t>
      </w:r>
      <w:r w:rsidRPr="00954404">
        <w:rPr>
          <w:rFonts w:cs="Times New Roman"/>
          <w:i/>
          <w:szCs w:val="24"/>
          <w:lang w:val="fr-CA"/>
        </w:rPr>
        <w:lastRenderedPageBreak/>
        <w:t>Guerin</w:t>
      </w:r>
      <w:r w:rsidRPr="00954404">
        <w:rPr>
          <w:rFonts w:cs="Times New Roman"/>
          <w:szCs w:val="24"/>
          <w:lang w:val="fr-CA"/>
        </w:rPr>
        <w:t>, les cours ont analysé le par</w:t>
      </w:r>
      <w:r w:rsidR="001C763A">
        <w:rPr>
          <w:rFonts w:cs="Times New Roman"/>
          <w:szCs w:val="24"/>
          <w:lang w:val="fr-CA"/>
        </w:rPr>
        <w:t>.</w:t>
      </w:r>
      <w:r w:rsidRPr="00954404">
        <w:rPr>
          <w:rFonts w:cs="Times New Roman"/>
          <w:szCs w:val="24"/>
          <w:lang w:val="fr-CA"/>
        </w:rPr>
        <w:t xml:space="preserve"> 18(1) de la </w:t>
      </w:r>
      <w:r w:rsidRPr="00954404">
        <w:rPr>
          <w:rFonts w:cs="Times New Roman"/>
          <w:i/>
          <w:szCs w:val="24"/>
          <w:lang w:val="fr-CA"/>
        </w:rPr>
        <w:t>Loi sur les Indiens</w:t>
      </w:r>
      <w:r w:rsidRPr="00954404">
        <w:rPr>
          <w:rFonts w:cs="Times New Roman"/>
          <w:szCs w:val="24"/>
          <w:lang w:val="fr-CA"/>
        </w:rPr>
        <w:t>, S</w:t>
      </w:r>
      <w:r w:rsidRPr="00954404">
        <w:rPr>
          <w:rStyle w:val="verdana"/>
          <w:rFonts w:cs="Times New Roman"/>
          <w:szCs w:val="24"/>
          <w:lang w:val="fr-CA"/>
        </w:rPr>
        <w:t xml:space="preserve">.R.C. 1952, </w:t>
      </w:r>
      <w:r>
        <w:rPr>
          <w:rStyle w:val="verdana"/>
          <w:rFonts w:cs="Times New Roman"/>
          <w:szCs w:val="24"/>
          <w:lang w:val="fr-CA"/>
        </w:rPr>
        <w:t>ch. </w:t>
      </w:r>
      <w:r w:rsidRPr="00954404">
        <w:rPr>
          <w:rStyle w:val="verdana"/>
          <w:rFonts w:cs="Times New Roman"/>
          <w:szCs w:val="24"/>
          <w:lang w:val="fr-CA"/>
        </w:rPr>
        <w:t xml:space="preserve">149 </w:t>
      </w:r>
      <w:r w:rsidRPr="00954404">
        <w:rPr>
          <w:rFonts w:cs="Times New Roman"/>
          <w:szCs w:val="24"/>
          <w:lang w:val="fr-CA"/>
        </w:rPr>
        <w:t>(lequel confirme l</w:t>
      </w:r>
      <w:r>
        <w:rPr>
          <w:rFonts w:cs="Times New Roman"/>
          <w:szCs w:val="24"/>
          <w:lang w:val="fr-CA"/>
        </w:rPr>
        <w:t>’</w:t>
      </w:r>
      <w:r w:rsidRPr="00954404">
        <w:rPr>
          <w:rFonts w:cs="Times New Roman"/>
          <w:szCs w:val="24"/>
          <w:lang w:val="fr-CA"/>
        </w:rPr>
        <w:t>obligation de Sa Majesté de gérer les terres indiennes à l</w:t>
      </w:r>
      <w:r>
        <w:rPr>
          <w:rFonts w:cs="Times New Roman"/>
          <w:szCs w:val="24"/>
          <w:lang w:val="fr-CA"/>
        </w:rPr>
        <w:t>’</w:t>
      </w:r>
      <w:r w:rsidRPr="00954404">
        <w:rPr>
          <w:rFonts w:cs="Times New Roman"/>
          <w:szCs w:val="24"/>
          <w:lang w:val="fr-CA"/>
        </w:rPr>
        <w:t>usage et au profit des Indiens);</w:t>
      </w:r>
      <w:r w:rsidRPr="00954404">
        <w:rPr>
          <w:rFonts w:cs="Times New Roman"/>
          <w:i/>
          <w:szCs w:val="24"/>
          <w:lang w:val="fr-CA"/>
        </w:rPr>
        <w:t xml:space="preserve"> </w:t>
      </w:r>
      <w:r w:rsidRPr="00954404">
        <w:rPr>
          <w:rFonts w:cs="Times New Roman"/>
          <w:szCs w:val="24"/>
          <w:lang w:val="fr-CA"/>
        </w:rPr>
        <w:t xml:space="preserve">dans </w:t>
      </w:r>
      <w:r w:rsidRPr="00954404">
        <w:rPr>
          <w:rFonts w:cs="Times New Roman"/>
          <w:i/>
          <w:szCs w:val="24"/>
          <w:lang w:val="fr-CA"/>
        </w:rPr>
        <w:t>Authorson</w:t>
      </w:r>
      <w:r w:rsidRPr="00954404">
        <w:rPr>
          <w:rFonts w:cs="Times New Roman"/>
          <w:szCs w:val="24"/>
          <w:lang w:val="fr-CA"/>
        </w:rPr>
        <w:t xml:space="preserve">, les cours ont examiné la </w:t>
      </w:r>
      <w:r w:rsidRPr="00954404">
        <w:rPr>
          <w:rFonts w:cs="Times New Roman"/>
          <w:i/>
          <w:szCs w:val="24"/>
          <w:lang w:val="fr-CA"/>
        </w:rPr>
        <w:t>Loi sur les pensions</w:t>
      </w:r>
      <w:r w:rsidRPr="00954404">
        <w:rPr>
          <w:rFonts w:cs="Times New Roman"/>
          <w:szCs w:val="24"/>
          <w:lang w:val="fr-CA"/>
        </w:rPr>
        <w:t xml:space="preserve">, L.R.C. 1970, </w:t>
      </w:r>
      <w:r>
        <w:rPr>
          <w:rFonts w:cs="Times New Roman"/>
          <w:szCs w:val="24"/>
          <w:lang w:val="fr-CA"/>
        </w:rPr>
        <w:t>ch. </w:t>
      </w:r>
      <w:r w:rsidRPr="00954404">
        <w:rPr>
          <w:rFonts w:cs="Times New Roman"/>
          <w:szCs w:val="24"/>
          <w:lang w:val="fr-CA"/>
        </w:rPr>
        <w:t>P</w:t>
      </w:r>
      <w:r>
        <w:rPr>
          <w:rFonts w:cs="Times New Roman"/>
          <w:szCs w:val="24"/>
          <w:lang w:val="fr-CA"/>
        </w:rPr>
        <w:noBreakHyphen/>
      </w:r>
      <w:r w:rsidRPr="00954404">
        <w:rPr>
          <w:rFonts w:cs="Times New Roman"/>
          <w:szCs w:val="24"/>
          <w:lang w:val="fr-CA"/>
        </w:rPr>
        <w:t>7, le par</w:t>
      </w:r>
      <w:r w:rsidR="001C763A">
        <w:rPr>
          <w:rFonts w:cs="Times New Roman"/>
          <w:szCs w:val="24"/>
          <w:lang w:val="fr-CA"/>
        </w:rPr>
        <w:t>.</w:t>
      </w:r>
      <w:r w:rsidRPr="00954404">
        <w:rPr>
          <w:rFonts w:cs="Times New Roman"/>
          <w:szCs w:val="24"/>
          <w:lang w:val="fr-CA"/>
        </w:rPr>
        <w:t xml:space="preserve"> 15(2) de la </w:t>
      </w:r>
      <w:r w:rsidRPr="00954404">
        <w:rPr>
          <w:rFonts w:cs="Times New Roman"/>
          <w:i/>
          <w:szCs w:val="24"/>
          <w:lang w:val="fr-CA"/>
        </w:rPr>
        <w:t>Loi sur les allocations aux anciens combattants</w:t>
      </w:r>
      <w:r w:rsidRPr="00954404">
        <w:rPr>
          <w:rStyle w:val="verdana"/>
          <w:rFonts w:cs="Times New Roman"/>
          <w:szCs w:val="24"/>
          <w:lang w:val="fr-CA"/>
        </w:rPr>
        <w:t xml:space="preserve">, L.R.C. 1985, </w:t>
      </w:r>
      <w:r>
        <w:rPr>
          <w:rStyle w:val="verdana"/>
          <w:rFonts w:cs="Times New Roman"/>
          <w:szCs w:val="24"/>
          <w:lang w:val="fr-CA"/>
        </w:rPr>
        <w:t>ch. </w:t>
      </w:r>
      <w:r w:rsidRPr="00954404">
        <w:rPr>
          <w:rStyle w:val="verdana"/>
          <w:rFonts w:cs="Times New Roman"/>
          <w:szCs w:val="24"/>
          <w:lang w:val="fr-CA"/>
        </w:rPr>
        <w:t>W</w:t>
      </w:r>
      <w:r>
        <w:rPr>
          <w:rStyle w:val="verdana"/>
          <w:rFonts w:cs="Times New Roman"/>
          <w:szCs w:val="24"/>
          <w:lang w:val="fr-CA"/>
        </w:rPr>
        <w:noBreakHyphen/>
      </w:r>
      <w:r w:rsidRPr="00954404">
        <w:rPr>
          <w:rStyle w:val="verdana"/>
          <w:rFonts w:cs="Times New Roman"/>
          <w:szCs w:val="24"/>
          <w:lang w:val="fr-CA"/>
        </w:rPr>
        <w:t xml:space="preserve">3, et la </w:t>
      </w:r>
      <w:r w:rsidRPr="00954404">
        <w:rPr>
          <w:rStyle w:val="verdana"/>
          <w:rFonts w:cs="Times New Roman"/>
          <w:i/>
          <w:szCs w:val="24"/>
          <w:lang w:val="fr-CA"/>
        </w:rPr>
        <w:t>Loi des pensions</w:t>
      </w:r>
      <w:r w:rsidRPr="00954404">
        <w:rPr>
          <w:rStyle w:val="verdana"/>
          <w:rFonts w:cs="Times New Roman"/>
          <w:szCs w:val="24"/>
          <w:lang w:val="fr-CA"/>
        </w:rPr>
        <w:t xml:space="preserve">, L.R.C. 1927, </w:t>
      </w:r>
      <w:r>
        <w:rPr>
          <w:rStyle w:val="verdana"/>
          <w:rFonts w:cs="Times New Roman"/>
          <w:szCs w:val="24"/>
          <w:lang w:val="fr-CA"/>
        </w:rPr>
        <w:t>ch. </w:t>
      </w:r>
      <w:r w:rsidRPr="00954404">
        <w:rPr>
          <w:rStyle w:val="verdana"/>
          <w:rFonts w:cs="Times New Roman"/>
          <w:szCs w:val="24"/>
          <w:lang w:val="fr-CA"/>
        </w:rPr>
        <w:t>157 (laquelle énonce l</w:t>
      </w:r>
      <w:r>
        <w:rPr>
          <w:rStyle w:val="verdana"/>
          <w:rFonts w:cs="Times New Roman"/>
          <w:szCs w:val="24"/>
          <w:lang w:val="fr-CA"/>
        </w:rPr>
        <w:t>’</w:t>
      </w:r>
      <w:r w:rsidRPr="00954404">
        <w:rPr>
          <w:rStyle w:val="verdana"/>
          <w:rFonts w:cs="Times New Roman"/>
          <w:szCs w:val="24"/>
          <w:lang w:val="fr-CA"/>
        </w:rPr>
        <w:t>obligation du gouvernement de détenir et de gérer les fonds au nom et dans l</w:t>
      </w:r>
      <w:r>
        <w:rPr>
          <w:rStyle w:val="verdana"/>
          <w:rFonts w:cs="Times New Roman"/>
          <w:szCs w:val="24"/>
          <w:lang w:val="fr-CA"/>
        </w:rPr>
        <w:t>’</w:t>
      </w:r>
      <w:r w:rsidRPr="00954404">
        <w:rPr>
          <w:rStyle w:val="verdana"/>
          <w:rFonts w:cs="Times New Roman"/>
          <w:szCs w:val="24"/>
          <w:lang w:val="fr-CA"/>
        </w:rPr>
        <w:t>intérêt des anciens combattants inaptes et de leurs personnes à charge); et dans l</w:t>
      </w:r>
      <w:r>
        <w:rPr>
          <w:rStyle w:val="verdana"/>
          <w:rFonts w:cs="Times New Roman"/>
          <w:szCs w:val="24"/>
          <w:lang w:val="fr-CA"/>
        </w:rPr>
        <w:t>’</w:t>
      </w:r>
      <w:r w:rsidRPr="00954404">
        <w:rPr>
          <w:rStyle w:val="verdana"/>
          <w:rFonts w:cs="Times New Roman"/>
          <w:szCs w:val="24"/>
          <w:lang w:val="fr-CA"/>
        </w:rPr>
        <w:t>arrêt </w:t>
      </w:r>
      <w:r w:rsidRPr="00954404">
        <w:rPr>
          <w:rStyle w:val="verdana"/>
          <w:rFonts w:cs="Times New Roman"/>
          <w:i/>
          <w:szCs w:val="24"/>
          <w:lang w:val="fr-CA"/>
        </w:rPr>
        <w:t>K.L.B.</w:t>
      </w:r>
      <w:r w:rsidRPr="00954404">
        <w:rPr>
          <w:rStyle w:val="verdana"/>
          <w:rFonts w:cs="Times New Roman"/>
          <w:szCs w:val="24"/>
          <w:lang w:val="fr-CA"/>
        </w:rPr>
        <w:t xml:space="preserve">, la Cour a conclu que la </w:t>
      </w:r>
      <w:r w:rsidRPr="00954404">
        <w:rPr>
          <w:rFonts w:cs="Times New Roman"/>
          <w:i/>
          <w:iCs/>
          <w:szCs w:val="24"/>
          <w:lang w:val="fr-CA"/>
        </w:rPr>
        <w:t>Protection of Children Act</w:t>
      </w:r>
      <w:r w:rsidRPr="00954404">
        <w:rPr>
          <w:rFonts w:cs="Times New Roman"/>
          <w:szCs w:val="24"/>
          <w:lang w:val="fr-CA"/>
        </w:rPr>
        <w:t xml:space="preserve">, R.S.B.C. 1960, </w:t>
      </w:r>
      <w:r>
        <w:rPr>
          <w:rFonts w:cs="Times New Roman"/>
          <w:szCs w:val="24"/>
          <w:lang w:val="fr-CA"/>
        </w:rPr>
        <w:t>ch. </w:t>
      </w:r>
      <w:r w:rsidRPr="00954404">
        <w:rPr>
          <w:rFonts w:cs="Times New Roman"/>
          <w:szCs w:val="24"/>
          <w:lang w:val="fr-CA"/>
        </w:rPr>
        <w:t>303, ne prévoyait pas l</w:t>
      </w:r>
      <w:r>
        <w:rPr>
          <w:rFonts w:cs="Times New Roman"/>
          <w:szCs w:val="24"/>
          <w:lang w:val="fr-CA"/>
        </w:rPr>
        <w:t>’</w:t>
      </w:r>
      <w:r w:rsidRPr="00954404">
        <w:rPr>
          <w:rFonts w:cs="Times New Roman"/>
          <w:szCs w:val="24"/>
          <w:lang w:val="fr-CA"/>
        </w:rPr>
        <w:t>obligation invoquée.</w:t>
      </w:r>
    </w:p>
    <w:p w:rsidR="00466E7D" w:rsidRPr="00954404" w:rsidRDefault="00466E7D" w:rsidP="00466E7D">
      <w:pPr>
        <w:pStyle w:val="ParaNoNdepar-AltN"/>
        <w:rPr>
          <w:rFonts w:cs="Times New Roman"/>
          <w:szCs w:val="24"/>
          <w:lang w:val="fr-CA"/>
        </w:rPr>
      </w:pPr>
      <w:r w:rsidRPr="00954404">
        <w:rPr>
          <w:rFonts w:cs="Times New Roman"/>
          <w:szCs w:val="24"/>
          <w:lang w:val="fr-CA"/>
        </w:rPr>
        <w:t>Si l</w:t>
      </w:r>
      <w:r>
        <w:rPr>
          <w:rFonts w:cs="Times New Roman"/>
          <w:szCs w:val="24"/>
          <w:lang w:val="fr-CA"/>
        </w:rPr>
        <w:t>’</w:t>
      </w:r>
      <w:r w:rsidRPr="00954404">
        <w:rPr>
          <w:rFonts w:cs="Times New Roman"/>
          <w:szCs w:val="24"/>
          <w:lang w:val="fr-CA"/>
        </w:rPr>
        <w:t>engagement allégué découle, par déduction, de la relation entre les parties, le contenu de l</w:t>
      </w:r>
      <w:r>
        <w:rPr>
          <w:rFonts w:cs="Times New Roman"/>
          <w:szCs w:val="24"/>
          <w:lang w:val="fr-CA"/>
        </w:rPr>
        <w:t>’</w:t>
      </w:r>
      <w:r w:rsidRPr="00954404">
        <w:rPr>
          <w:rFonts w:cs="Times New Roman"/>
          <w:szCs w:val="24"/>
          <w:lang w:val="fr-CA"/>
        </w:rPr>
        <w:t>obligation de l</w:t>
      </w:r>
      <w:r>
        <w:rPr>
          <w:rFonts w:cs="Times New Roman"/>
          <w:szCs w:val="24"/>
          <w:lang w:val="fr-CA"/>
        </w:rPr>
        <w:t>’</w:t>
      </w:r>
      <w:r w:rsidRPr="00954404">
        <w:rPr>
          <w:rFonts w:cs="Times New Roman"/>
          <w:szCs w:val="24"/>
          <w:lang w:val="fr-CA"/>
        </w:rPr>
        <w:t>État variera en fonction de la nature de la relation et devrait être fixé en nous intéressant à des cas analogues</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K.L.B.</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 xml:space="preserve">41. </w:t>
      </w:r>
    </w:p>
    <w:p w:rsidR="00466E7D" w:rsidRPr="00954404" w:rsidRDefault="00466E7D" w:rsidP="00466E7D">
      <w:pPr>
        <w:pStyle w:val="ParaNoNdepar-AltN"/>
        <w:rPr>
          <w:rFonts w:cs="Times New Roman"/>
          <w:szCs w:val="24"/>
          <w:lang w:val="fr-CA"/>
        </w:rPr>
      </w:pPr>
      <w:r w:rsidRPr="00954404">
        <w:rPr>
          <w:rFonts w:cs="Times New Roman"/>
          <w:szCs w:val="24"/>
          <w:lang w:val="fr-CA"/>
        </w:rPr>
        <w:t>En règle générale, un lien étroit avec l</w:t>
      </w:r>
      <w:r>
        <w:rPr>
          <w:rFonts w:cs="Times New Roman"/>
          <w:szCs w:val="24"/>
          <w:lang w:val="fr-CA"/>
        </w:rPr>
        <w:t>’</w:t>
      </w:r>
      <w:r w:rsidRPr="00954404">
        <w:rPr>
          <w:rFonts w:cs="Times New Roman"/>
          <w:szCs w:val="24"/>
          <w:lang w:val="fr-CA"/>
        </w:rPr>
        <w:t xml:space="preserve">une des catégories habituelles de relation fiduciaire — entre le fiduciaire et le </w:t>
      </w:r>
      <w:r w:rsidRPr="00954404">
        <w:rPr>
          <w:rFonts w:cs="Times New Roman"/>
          <w:i/>
          <w:szCs w:val="24"/>
          <w:lang w:val="fr-CA"/>
        </w:rPr>
        <w:t>cestui qu</w:t>
      </w:r>
      <w:r w:rsidR="001C763A">
        <w:rPr>
          <w:rFonts w:cs="Times New Roman"/>
          <w:i/>
          <w:szCs w:val="24"/>
          <w:lang w:val="fr-CA"/>
        </w:rPr>
        <w:t>e</w:t>
      </w:r>
      <w:r w:rsidRPr="00954404">
        <w:rPr>
          <w:rFonts w:cs="Times New Roman"/>
          <w:i/>
          <w:szCs w:val="24"/>
          <w:lang w:val="fr-CA"/>
        </w:rPr>
        <w:t xml:space="preserve"> trust</w:t>
      </w:r>
      <w:r w:rsidRPr="00954404">
        <w:rPr>
          <w:rFonts w:cs="Times New Roman"/>
          <w:szCs w:val="24"/>
          <w:lang w:val="fr-CA"/>
        </w:rPr>
        <w:t>, l</w:t>
      </w:r>
      <w:r>
        <w:rPr>
          <w:rFonts w:cs="Times New Roman"/>
          <w:szCs w:val="24"/>
          <w:lang w:val="fr-CA"/>
        </w:rPr>
        <w:t>’</w:t>
      </w:r>
      <w:r w:rsidRPr="00954404">
        <w:rPr>
          <w:rFonts w:cs="Times New Roman"/>
          <w:szCs w:val="24"/>
          <w:lang w:val="fr-CA"/>
        </w:rPr>
        <w:t>exécuteur et le bénéficiaire, l</w:t>
      </w:r>
      <w:r>
        <w:rPr>
          <w:rFonts w:cs="Times New Roman"/>
          <w:szCs w:val="24"/>
          <w:lang w:val="fr-CA"/>
        </w:rPr>
        <w:t>’</w:t>
      </w:r>
      <w:r w:rsidRPr="00954404">
        <w:rPr>
          <w:rFonts w:cs="Times New Roman"/>
          <w:szCs w:val="24"/>
          <w:lang w:val="fr-CA"/>
        </w:rPr>
        <w:t>avocat et son client, le mandataire et le mandant, l</w:t>
      </w:r>
      <w:r>
        <w:rPr>
          <w:rFonts w:cs="Times New Roman"/>
          <w:szCs w:val="24"/>
          <w:lang w:val="fr-CA"/>
        </w:rPr>
        <w:t>’</w:t>
      </w:r>
      <w:r w:rsidRPr="00954404">
        <w:rPr>
          <w:rFonts w:cs="Times New Roman"/>
          <w:szCs w:val="24"/>
          <w:lang w:val="fr-CA"/>
        </w:rPr>
        <w:t>administrateur et la société, le tuteur et le pupille ou le parent et l</w:t>
      </w:r>
      <w:r>
        <w:rPr>
          <w:rFonts w:cs="Times New Roman"/>
          <w:szCs w:val="24"/>
          <w:lang w:val="fr-CA"/>
        </w:rPr>
        <w:t>’</w:t>
      </w:r>
      <w:r w:rsidRPr="00954404">
        <w:rPr>
          <w:rFonts w:cs="Times New Roman"/>
          <w:szCs w:val="24"/>
          <w:lang w:val="fr-CA"/>
        </w:rPr>
        <w:t>enfant — constitue une condition préalable pour pouvoir conclure à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obligation fiduciaire implicite de l</w:t>
      </w:r>
      <w:r>
        <w:rPr>
          <w:rFonts w:cs="Times New Roman"/>
          <w:szCs w:val="24"/>
          <w:lang w:val="fr-CA"/>
        </w:rPr>
        <w:t>’</w:t>
      </w:r>
      <w:r w:rsidRPr="00954404">
        <w:rPr>
          <w:rFonts w:cs="Times New Roman"/>
          <w:szCs w:val="24"/>
          <w:lang w:val="fr-CA"/>
        </w:rPr>
        <w:t>État.</w:t>
      </w:r>
    </w:p>
    <w:p w:rsidR="00466E7D" w:rsidRPr="00954404" w:rsidRDefault="00466E7D" w:rsidP="00466E7D">
      <w:pPr>
        <w:pStyle w:val="ParaNoNdepar-AltN"/>
        <w:rPr>
          <w:rFonts w:cs="Times New Roman"/>
          <w:szCs w:val="24"/>
          <w:lang w:val="fr-CA"/>
        </w:rPr>
      </w:pPr>
      <w:r w:rsidRPr="00954404">
        <w:rPr>
          <w:rFonts w:cs="Times New Roman"/>
          <w:szCs w:val="24"/>
          <w:lang w:val="fr-CA"/>
        </w:rPr>
        <w:t>En somme, bien qu</w:t>
      </w:r>
      <w:r>
        <w:rPr>
          <w:rFonts w:cs="Times New Roman"/>
          <w:szCs w:val="24"/>
          <w:lang w:val="fr-CA"/>
        </w:rPr>
        <w:t>’</w:t>
      </w:r>
      <w:r w:rsidRPr="00954404">
        <w:rPr>
          <w:rFonts w:cs="Times New Roman"/>
          <w:szCs w:val="24"/>
          <w:lang w:val="fr-CA"/>
        </w:rPr>
        <w:t>il ne soit pas impossible pour un représentant de l</w:t>
      </w:r>
      <w:r>
        <w:rPr>
          <w:rFonts w:cs="Times New Roman"/>
          <w:szCs w:val="24"/>
          <w:lang w:val="fr-CA"/>
        </w:rPr>
        <w:t>’</w:t>
      </w:r>
      <w:r w:rsidRPr="00954404">
        <w:rPr>
          <w:rFonts w:cs="Times New Roman"/>
          <w:szCs w:val="24"/>
          <w:lang w:val="fr-CA"/>
        </w:rPr>
        <w:t>État de remplir les conditions d</w:t>
      </w:r>
      <w:r>
        <w:rPr>
          <w:rFonts w:cs="Times New Roman"/>
          <w:szCs w:val="24"/>
          <w:lang w:val="fr-CA"/>
        </w:rPr>
        <w:t>’</w:t>
      </w:r>
      <w:r w:rsidRPr="00954404">
        <w:rPr>
          <w:rFonts w:cs="Times New Roman"/>
          <w:szCs w:val="24"/>
          <w:lang w:val="fr-CA"/>
        </w:rPr>
        <w:t>un engagement qu</w:t>
      </w:r>
      <w:r>
        <w:rPr>
          <w:rFonts w:cs="Times New Roman"/>
          <w:szCs w:val="24"/>
          <w:lang w:val="fr-CA"/>
        </w:rPr>
        <w:t>’</w:t>
      </w:r>
      <w:r w:rsidRPr="00954404">
        <w:rPr>
          <w:rFonts w:cs="Times New Roman"/>
          <w:szCs w:val="24"/>
          <w:lang w:val="fr-CA"/>
        </w:rPr>
        <w:t xml:space="preserve">il a pris, ce sera rarement le cas.  </w:t>
      </w:r>
      <w:r w:rsidRPr="00954404">
        <w:rPr>
          <w:rFonts w:cs="Times New Roman"/>
          <w:szCs w:val="24"/>
          <w:lang w:val="fr-CA"/>
        </w:rPr>
        <w:lastRenderedPageBreak/>
        <w:t>Ces conditions sont remplies à l</w:t>
      </w:r>
      <w:r>
        <w:rPr>
          <w:rFonts w:cs="Times New Roman"/>
          <w:szCs w:val="24"/>
          <w:lang w:val="fr-CA"/>
        </w:rPr>
        <w:t>’</w:t>
      </w:r>
      <w:r w:rsidRPr="00954404">
        <w:rPr>
          <w:rFonts w:cs="Times New Roman"/>
          <w:szCs w:val="24"/>
          <w:lang w:val="fr-CA"/>
        </w:rPr>
        <w:t xml:space="preserve">égard des peuples autochtones compte tenu des obligations que la </w:t>
      </w:r>
      <w:r w:rsidRPr="00954404">
        <w:rPr>
          <w:rFonts w:cs="Times New Roman"/>
          <w:i/>
          <w:szCs w:val="24"/>
          <w:lang w:val="fr-CA"/>
        </w:rPr>
        <w:t xml:space="preserve">Proclamation royale </w:t>
      </w:r>
      <w:r w:rsidRPr="00954404">
        <w:rPr>
          <w:rFonts w:cs="Times New Roman"/>
          <w:szCs w:val="24"/>
          <w:lang w:val="fr-CA"/>
        </w:rPr>
        <w:t xml:space="preserve">de 1763 </w:t>
      </w:r>
      <w:r w:rsidR="005A3FB1">
        <w:rPr>
          <w:rFonts w:cs="Times New Roman"/>
          <w:szCs w:val="24"/>
          <w:lang w:val="fr-CA"/>
        </w:rPr>
        <w:t>(reproduite dans L.R.C. 1985, app. II, n</w:t>
      </w:r>
      <w:r w:rsidR="005A3FB1" w:rsidRPr="005A3FB1">
        <w:rPr>
          <w:rFonts w:cs="Times New Roman"/>
          <w:szCs w:val="24"/>
          <w:vertAlign w:val="superscript"/>
          <w:lang w:val="fr-CA"/>
        </w:rPr>
        <w:t>o</w:t>
      </w:r>
      <w:r w:rsidR="005A3FB1">
        <w:rPr>
          <w:rFonts w:cs="Times New Roman"/>
          <w:szCs w:val="24"/>
          <w:lang w:val="fr-CA"/>
        </w:rPr>
        <w:t xml:space="preserve"> 1) </w:t>
      </w:r>
      <w:r w:rsidRPr="00954404">
        <w:rPr>
          <w:rFonts w:cs="Times New Roman"/>
          <w:szCs w:val="24"/>
          <w:lang w:val="fr-CA"/>
        </w:rPr>
        <w:t xml:space="preserve">et la </w:t>
      </w:r>
      <w:r w:rsidRPr="00954404">
        <w:rPr>
          <w:rFonts w:cs="Times New Roman"/>
          <w:i/>
          <w:szCs w:val="24"/>
          <w:lang w:val="fr-CA"/>
        </w:rPr>
        <w:t>Loi constitutionnelle de 1982</w:t>
      </w:r>
      <w:r w:rsidRPr="00954404">
        <w:rPr>
          <w:rFonts w:cs="Times New Roman"/>
          <w:szCs w:val="24"/>
          <w:lang w:val="fr-CA"/>
        </w:rPr>
        <w:t xml:space="preserve"> imposent au gouvernement et des facteurs semblables à ceux que l</w:t>
      </w:r>
      <w:r>
        <w:rPr>
          <w:rFonts w:cs="Times New Roman"/>
          <w:szCs w:val="24"/>
          <w:lang w:val="fr-CA"/>
        </w:rPr>
        <w:t>’</w:t>
      </w:r>
      <w:r w:rsidRPr="00954404">
        <w:rPr>
          <w:rFonts w:cs="Times New Roman"/>
          <w:szCs w:val="24"/>
          <w:lang w:val="fr-CA"/>
        </w:rPr>
        <w:t>on trouve dans le secteur privé.  Elles peuvent également l</w:t>
      </w:r>
      <w:r>
        <w:rPr>
          <w:rFonts w:cs="Times New Roman"/>
          <w:szCs w:val="24"/>
          <w:lang w:val="fr-CA"/>
        </w:rPr>
        <w:t>’</w:t>
      </w:r>
      <w:r w:rsidRPr="00954404">
        <w:rPr>
          <w:rFonts w:cs="Times New Roman"/>
          <w:szCs w:val="24"/>
          <w:lang w:val="fr-CA"/>
        </w:rPr>
        <w:t>être lorsque la relation est semblable à l</w:t>
      </w:r>
      <w:r>
        <w:rPr>
          <w:rFonts w:cs="Times New Roman"/>
          <w:szCs w:val="24"/>
          <w:lang w:val="fr-CA"/>
        </w:rPr>
        <w:t>’</w:t>
      </w:r>
      <w:r w:rsidRPr="00954404">
        <w:rPr>
          <w:rFonts w:cs="Times New Roman"/>
          <w:szCs w:val="24"/>
          <w:lang w:val="fr-CA"/>
        </w:rPr>
        <w:t>une de celles où l</w:t>
      </w:r>
      <w:r>
        <w:rPr>
          <w:rFonts w:cs="Times New Roman"/>
          <w:szCs w:val="24"/>
          <w:lang w:val="fr-CA"/>
        </w:rPr>
        <w:t>’</w:t>
      </w:r>
      <w:r w:rsidRPr="00954404">
        <w:rPr>
          <w:rFonts w:cs="Times New Roman"/>
          <w:szCs w:val="24"/>
          <w:lang w:val="fr-CA"/>
        </w:rPr>
        <w:t>obligation fiduciaire a été reconnue à l</w:t>
      </w:r>
      <w:r>
        <w:rPr>
          <w:rFonts w:cs="Times New Roman"/>
          <w:szCs w:val="24"/>
          <w:lang w:val="fr-CA"/>
        </w:rPr>
        <w:t>’</w:t>
      </w:r>
      <w:r w:rsidRPr="00954404">
        <w:rPr>
          <w:rFonts w:cs="Times New Roman"/>
          <w:szCs w:val="24"/>
          <w:lang w:val="fr-CA"/>
        </w:rPr>
        <w:t>égard des entités privées.  Mais une obligation générale envers le public ou des secteurs du public ne peut remplir les conditions d</w:t>
      </w:r>
      <w:r>
        <w:rPr>
          <w:rFonts w:cs="Times New Roman"/>
          <w:szCs w:val="24"/>
          <w:lang w:val="fr-CA"/>
        </w:rPr>
        <w:t>’</w:t>
      </w:r>
      <w:r w:rsidRPr="00954404">
        <w:rPr>
          <w:rFonts w:cs="Times New Roman"/>
          <w:szCs w:val="24"/>
          <w:lang w:val="fr-CA"/>
        </w:rPr>
        <w:t>un engagement.</w:t>
      </w:r>
    </w:p>
    <w:p w:rsidR="00466E7D" w:rsidRPr="00954404" w:rsidRDefault="00466E7D" w:rsidP="00466E7D">
      <w:pPr>
        <w:pStyle w:val="ParaNoNdepar-AltN"/>
        <w:rPr>
          <w:rFonts w:cs="Times New Roman"/>
          <w:szCs w:val="24"/>
          <w:lang w:val="fr-CA"/>
        </w:rPr>
      </w:pPr>
      <w:r w:rsidRPr="00954404">
        <w:rPr>
          <w:rFonts w:cs="Times New Roman"/>
          <w:szCs w:val="24"/>
          <w:lang w:val="fr-CA"/>
        </w:rPr>
        <w:t>Pour les mêmes raisons, lorsque le prétendu fiduciaire est l</w:t>
      </w:r>
      <w:r>
        <w:rPr>
          <w:rFonts w:cs="Times New Roman"/>
          <w:szCs w:val="24"/>
          <w:lang w:val="fr-CA"/>
        </w:rPr>
        <w:t>’</w:t>
      </w:r>
      <w:r w:rsidRPr="00954404">
        <w:rPr>
          <w:rFonts w:cs="Times New Roman"/>
          <w:szCs w:val="24"/>
          <w:lang w:val="fr-CA"/>
        </w:rPr>
        <w:t>État, il pourrait être difficile d</w:t>
      </w:r>
      <w:r>
        <w:rPr>
          <w:rFonts w:cs="Times New Roman"/>
          <w:szCs w:val="24"/>
          <w:lang w:val="fr-CA"/>
        </w:rPr>
        <w:t>’</w:t>
      </w:r>
      <w:r w:rsidRPr="00954404">
        <w:rPr>
          <w:rFonts w:cs="Times New Roman"/>
          <w:szCs w:val="24"/>
          <w:lang w:val="fr-CA"/>
        </w:rPr>
        <w:t>établir la deuxième condition, celle relative à la personne ou au groupe de personne définies qui sont vulnérables par rapport à l</w:t>
      </w:r>
      <w:r>
        <w:rPr>
          <w:rFonts w:cs="Times New Roman"/>
          <w:szCs w:val="24"/>
          <w:lang w:val="fr-CA"/>
        </w:rPr>
        <w:t>’</w:t>
      </w:r>
      <w:r w:rsidRPr="00954404">
        <w:rPr>
          <w:rFonts w:cs="Times New Roman"/>
          <w:szCs w:val="24"/>
          <w:lang w:val="fr-CA"/>
        </w:rPr>
        <w:t>exercice, par le fiduciaire, de son pouvoir discrétionnaire.  En règle générale, le gouvernement doit agir dans l</w:t>
      </w:r>
      <w:r>
        <w:rPr>
          <w:rFonts w:cs="Times New Roman"/>
          <w:szCs w:val="24"/>
          <w:lang w:val="fr-CA"/>
        </w:rPr>
        <w:t>’</w:t>
      </w:r>
      <w:r w:rsidRPr="00954404">
        <w:rPr>
          <w:rFonts w:cs="Times New Roman"/>
          <w:szCs w:val="24"/>
          <w:lang w:val="fr-CA"/>
        </w:rPr>
        <w:t>intérêt de tous les citoyens</w:t>
      </w:r>
      <w:r>
        <w:rPr>
          <w:rFonts w:cs="Times New Roman"/>
          <w:szCs w:val="24"/>
          <w:lang w:val="fr-CA"/>
        </w:rPr>
        <w:t> :</w:t>
      </w:r>
      <w:r w:rsidRPr="00954404">
        <w:rPr>
          <w:rFonts w:cs="Times New Roman"/>
          <w:szCs w:val="24"/>
          <w:lang w:val="fr-CA"/>
        </w:rPr>
        <w:t> </w:t>
      </w:r>
      <w:r w:rsidRPr="00954404">
        <w:rPr>
          <w:rFonts w:cs="Times New Roman"/>
          <w:i/>
          <w:szCs w:val="24"/>
          <w:lang w:val="fr-CA"/>
        </w:rPr>
        <w:t>Bennett c. British Columbia</w:t>
      </w:r>
      <w:r w:rsidRPr="00954404">
        <w:rPr>
          <w:rFonts w:cs="Times New Roman"/>
          <w:szCs w:val="24"/>
          <w:lang w:val="fr-CA"/>
        </w:rPr>
        <w:t xml:space="preserve">, 2009 BCSC 1358 (CanLII), </w:t>
      </w:r>
      <w:r>
        <w:rPr>
          <w:rFonts w:cs="Times New Roman"/>
          <w:szCs w:val="24"/>
          <w:lang w:val="fr-CA"/>
        </w:rPr>
        <w:t>par. </w:t>
      </w:r>
      <w:r w:rsidRPr="00954404">
        <w:rPr>
          <w:rFonts w:cs="Times New Roman"/>
          <w:szCs w:val="24"/>
          <w:lang w:val="fr-CA"/>
        </w:rPr>
        <w:t>61</w:t>
      </w:r>
      <w:r w:rsidR="001C763A">
        <w:rPr>
          <w:rFonts w:cs="Times New Roman"/>
          <w:szCs w:val="24"/>
          <w:lang w:val="fr-CA"/>
        </w:rPr>
        <w:t xml:space="preserve"> et</w:t>
      </w:r>
      <w:r w:rsidRPr="00954404">
        <w:rPr>
          <w:rFonts w:cs="Times New Roman"/>
          <w:szCs w:val="24"/>
          <w:lang w:val="fr-CA"/>
        </w:rPr>
        <w:t xml:space="preserve"> 71; et </w:t>
      </w:r>
      <w:r w:rsidRPr="00954404">
        <w:rPr>
          <w:rFonts w:cs="Times New Roman"/>
          <w:i/>
          <w:szCs w:val="24"/>
          <w:lang w:val="fr-CA"/>
        </w:rPr>
        <w:t>Drady c. Canada</w:t>
      </w:r>
      <w:r w:rsidRPr="00954404">
        <w:rPr>
          <w:rFonts w:cs="Times New Roman"/>
          <w:szCs w:val="24"/>
          <w:lang w:val="fr-CA"/>
        </w:rPr>
        <w:t>, 2007 CanLII 27970 (C.</w:t>
      </w:r>
      <w:r w:rsidR="001C763A">
        <w:rPr>
          <w:rFonts w:cs="Times New Roman"/>
          <w:szCs w:val="24"/>
          <w:lang w:val="fr-CA"/>
        </w:rPr>
        <w:t>S.J.</w:t>
      </w:r>
      <w:r>
        <w:rPr>
          <w:rFonts w:cs="Times New Roman"/>
          <w:szCs w:val="24"/>
          <w:lang w:val="fr-CA"/>
        </w:rPr>
        <w:t> </w:t>
      </w:r>
      <w:r w:rsidRPr="00954404">
        <w:rPr>
          <w:rFonts w:cs="Times New Roman"/>
          <w:szCs w:val="24"/>
          <w:lang w:val="fr-CA"/>
        </w:rPr>
        <w:t xml:space="preserve">Ont.), </w:t>
      </w:r>
      <w:r>
        <w:rPr>
          <w:rFonts w:cs="Times New Roman"/>
          <w:szCs w:val="24"/>
          <w:lang w:val="fr-CA"/>
        </w:rPr>
        <w:t>par. </w:t>
      </w:r>
      <w:r w:rsidRPr="00954404">
        <w:rPr>
          <w:rFonts w:cs="Times New Roman"/>
          <w:szCs w:val="24"/>
          <w:lang w:val="fr-CA"/>
        </w:rPr>
        <w:t>28, conf. 2008 ONCA 659, 300 D.L.R. (4th) 443, autorisation d</w:t>
      </w:r>
      <w:r>
        <w:rPr>
          <w:rFonts w:cs="Times New Roman"/>
          <w:szCs w:val="24"/>
          <w:lang w:val="fr-CA"/>
        </w:rPr>
        <w:t>’</w:t>
      </w:r>
      <w:r w:rsidRPr="00954404">
        <w:rPr>
          <w:rFonts w:cs="Times New Roman"/>
          <w:szCs w:val="24"/>
          <w:lang w:val="fr-CA"/>
        </w:rPr>
        <w:t>appel refusée</w:t>
      </w:r>
      <w:r w:rsidR="001C763A">
        <w:rPr>
          <w:rFonts w:cs="Times New Roman"/>
          <w:szCs w:val="24"/>
          <w:lang w:val="fr-CA"/>
        </w:rPr>
        <w:t>,</w:t>
      </w:r>
      <w:r w:rsidRPr="00954404">
        <w:rPr>
          <w:rFonts w:cs="Times New Roman"/>
          <w:szCs w:val="24"/>
          <w:lang w:val="fr-CA"/>
        </w:rPr>
        <w:t xml:space="preserve"> [2009] 1 R.C.S. </w:t>
      </w:r>
      <w:r w:rsidRPr="001C763A">
        <w:rPr>
          <w:rFonts w:cs="Times New Roman"/>
          <w:szCs w:val="24"/>
          <w:lang w:val="fr-CA"/>
        </w:rPr>
        <w:t>viii</w:t>
      </w:r>
      <w:r w:rsidRPr="00954404">
        <w:rPr>
          <w:rFonts w:cs="Times New Roman"/>
          <w:szCs w:val="24"/>
          <w:lang w:val="fr-CA"/>
        </w:rPr>
        <w:t>.  Il a le droit d</w:t>
      </w:r>
      <w:r>
        <w:rPr>
          <w:rFonts w:cs="Times New Roman"/>
          <w:szCs w:val="24"/>
          <w:lang w:val="fr-CA"/>
        </w:rPr>
        <w:t>’</w:t>
      </w:r>
      <w:r w:rsidRPr="00954404">
        <w:rPr>
          <w:rFonts w:cs="Times New Roman"/>
          <w:szCs w:val="24"/>
          <w:lang w:val="fr-CA"/>
        </w:rPr>
        <w:t>établir des distinctions entre différents groupes lorsqu</w:t>
      </w:r>
      <w:r>
        <w:rPr>
          <w:rFonts w:cs="Times New Roman"/>
          <w:szCs w:val="24"/>
          <w:lang w:val="fr-CA"/>
        </w:rPr>
        <w:t>’</w:t>
      </w:r>
      <w:r w:rsidRPr="00954404">
        <w:rPr>
          <w:rFonts w:cs="Times New Roman"/>
          <w:szCs w:val="24"/>
          <w:lang w:val="fr-CA"/>
        </w:rPr>
        <w:t>il impose un fardeau ou offre des prestations, sous réserve de l</w:t>
      </w:r>
      <w:r>
        <w:rPr>
          <w:rFonts w:cs="Times New Roman"/>
          <w:szCs w:val="24"/>
          <w:lang w:val="fr-CA"/>
        </w:rPr>
        <w:t>’art. </w:t>
      </w:r>
      <w:r w:rsidRPr="00954404">
        <w:rPr>
          <w:rFonts w:cs="Times New Roman"/>
          <w:szCs w:val="24"/>
          <w:lang w:val="fr-CA"/>
        </w:rPr>
        <w:t xml:space="preserve">15 de la </w:t>
      </w:r>
      <w:r w:rsidRPr="00954404">
        <w:rPr>
          <w:rFonts w:cs="Times New Roman"/>
          <w:i/>
          <w:szCs w:val="24"/>
          <w:lang w:val="fr-CA"/>
        </w:rPr>
        <w:t>Charte</w:t>
      </w:r>
      <w:r w:rsidRPr="00954404">
        <w:rPr>
          <w:rFonts w:cs="Times New Roman"/>
          <w:szCs w:val="24"/>
          <w:lang w:val="fr-CA"/>
        </w:rPr>
        <w:t>, lequel interdit la discrimination.  Comme l</w:t>
      </w:r>
      <w:r>
        <w:rPr>
          <w:rFonts w:cs="Times New Roman"/>
          <w:szCs w:val="24"/>
          <w:lang w:val="fr-CA"/>
        </w:rPr>
        <w:t>’</w:t>
      </w:r>
      <w:r w:rsidRPr="00954404">
        <w:rPr>
          <w:rFonts w:cs="Times New Roman"/>
          <w:szCs w:val="24"/>
          <w:lang w:val="fr-CA"/>
        </w:rPr>
        <w:t>indique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Galambos</w:t>
      </w:r>
      <w:r w:rsidRPr="00954404">
        <w:rPr>
          <w:rFonts w:cs="Times New Roman"/>
          <w:szCs w:val="24"/>
          <w:lang w:val="fr-CA"/>
        </w:rPr>
        <w:t>, le demandeur doit démontrer que le fiduciaire a renoncé délibérément aux intérêts de toutes les autres parties en sa faveur ou en faveur de son groupe.  Dans le contexte autochtone, une obligation exclusive relativement aux terres indiennes est établie par les responsabilités particulières de Sa Majesté envers cette partie de la population et aucune autre.  De même, lorsque l</w:t>
      </w:r>
      <w:r>
        <w:rPr>
          <w:rFonts w:cs="Times New Roman"/>
          <w:szCs w:val="24"/>
          <w:lang w:val="fr-CA"/>
        </w:rPr>
        <w:t>’</w:t>
      </w:r>
      <w:r w:rsidRPr="00954404">
        <w:rPr>
          <w:rFonts w:cs="Times New Roman"/>
          <w:szCs w:val="24"/>
          <w:lang w:val="fr-CA"/>
        </w:rPr>
        <w:t>obligation de l</w:t>
      </w:r>
      <w:r>
        <w:rPr>
          <w:rFonts w:cs="Times New Roman"/>
          <w:szCs w:val="24"/>
          <w:lang w:val="fr-CA"/>
        </w:rPr>
        <w:t>’</w:t>
      </w:r>
      <w:r w:rsidRPr="00954404">
        <w:rPr>
          <w:rFonts w:cs="Times New Roman"/>
          <w:szCs w:val="24"/>
          <w:lang w:val="fr-CA"/>
        </w:rPr>
        <w:t xml:space="preserve">État est effectivement une </w:t>
      </w:r>
      <w:r w:rsidRPr="00954404">
        <w:rPr>
          <w:rFonts w:cs="Times New Roman"/>
          <w:szCs w:val="24"/>
          <w:lang w:val="fr-CA"/>
        </w:rPr>
        <w:lastRenderedPageBreak/>
        <w:t>obligation privée dont il s</w:t>
      </w:r>
      <w:r>
        <w:rPr>
          <w:rFonts w:cs="Times New Roman"/>
          <w:szCs w:val="24"/>
          <w:lang w:val="fr-CA"/>
        </w:rPr>
        <w:t>’</w:t>
      </w:r>
      <w:r w:rsidRPr="00954404">
        <w:rPr>
          <w:rFonts w:cs="Times New Roman"/>
          <w:szCs w:val="24"/>
          <w:lang w:val="fr-CA"/>
        </w:rPr>
        <w:t>acquitte, cette condition peut être établie.  Sauf dans ces cas, il est difficile de démontrer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 groupe de personnes précis envers qui le gouvernement a une obligation de loyauté exclusive.</w:t>
      </w:r>
    </w:p>
    <w:p w:rsidR="00466E7D" w:rsidRPr="00954404" w:rsidRDefault="00466E7D" w:rsidP="00466E7D">
      <w:pPr>
        <w:pStyle w:val="ParaNoNdepar-AltN"/>
        <w:rPr>
          <w:rFonts w:cs="Times New Roman"/>
          <w:szCs w:val="24"/>
          <w:lang w:val="fr-CA"/>
        </w:rPr>
      </w:pPr>
      <w:r w:rsidRPr="00954404">
        <w:rPr>
          <w:rFonts w:cs="Times New Roman"/>
          <w:szCs w:val="24"/>
          <w:lang w:val="fr-CA"/>
        </w:rPr>
        <w:t>Il n</w:t>
      </w:r>
      <w:r>
        <w:rPr>
          <w:rFonts w:cs="Times New Roman"/>
          <w:szCs w:val="24"/>
          <w:lang w:val="fr-CA"/>
        </w:rPr>
        <w:t>’</w:t>
      </w:r>
      <w:r w:rsidRPr="00954404">
        <w:rPr>
          <w:rFonts w:cs="Times New Roman"/>
          <w:szCs w:val="24"/>
          <w:lang w:val="fr-CA"/>
        </w:rPr>
        <w:t>existe aucune obligation fiduciaire envers le public dans son ensemble et, généralement, il faut examiner chaque cas séparément pour établir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obligation fiduciaire envers une personne ou un groupe en particulier.  Une obligation fiduciaire peut exister envers un groupe — par exemple, les adultes qui ont besoin d</w:t>
      </w:r>
      <w:r>
        <w:rPr>
          <w:rFonts w:cs="Times New Roman"/>
          <w:szCs w:val="24"/>
          <w:lang w:val="fr-CA"/>
        </w:rPr>
        <w:t>’</w:t>
      </w:r>
      <w:r w:rsidRPr="00954404">
        <w:rPr>
          <w:rFonts w:cs="Times New Roman"/>
          <w:szCs w:val="24"/>
          <w:lang w:val="fr-CA"/>
        </w:rPr>
        <w:t>un tuteur ou d</w:t>
      </w:r>
      <w:r>
        <w:rPr>
          <w:rFonts w:cs="Times New Roman"/>
          <w:szCs w:val="24"/>
          <w:lang w:val="fr-CA"/>
        </w:rPr>
        <w:t>’</w:t>
      </w:r>
      <w:r w:rsidRPr="00954404">
        <w:rPr>
          <w:rFonts w:cs="Times New Roman"/>
          <w:szCs w:val="24"/>
          <w:lang w:val="fr-CA"/>
        </w:rPr>
        <w:t>un curateur, ou les enfants qui ont besoin d</w:t>
      </w:r>
      <w:r>
        <w:rPr>
          <w:rFonts w:cs="Times New Roman"/>
          <w:szCs w:val="24"/>
          <w:lang w:val="fr-CA"/>
        </w:rPr>
        <w:t>’</w:t>
      </w:r>
      <w:r w:rsidRPr="00954404">
        <w:rPr>
          <w:rFonts w:cs="Times New Roman"/>
          <w:szCs w:val="24"/>
          <w:lang w:val="fr-CA"/>
        </w:rPr>
        <w:t>un tuteur — mais pour que l</w:t>
      </w:r>
      <w:r>
        <w:rPr>
          <w:rFonts w:cs="Times New Roman"/>
          <w:szCs w:val="24"/>
          <w:lang w:val="fr-CA"/>
        </w:rPr>
        <w:t>’</w:t>
      </w:r>
      <w:r w:rsidRPr="00954404">
        <w:rPr>
          <w:rFonts w:cs="Times New Roman"/>
          <w:szCs w:val="24"/>
          <w:lang w:val="fr-CA"/>
        </w:rPr>
        <w:t>on puisse reconnaître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obligation envers une personne, celle</w:t>
      </w:r>
      <w:r>
        <w:rPr>
          <w:rFonts w:cs="Times New Roman"/>
          <w:szCs w:val="24"/>
          <w:lang w:val="fr-CA"/>
        </w:rPr>
        <w:noBreakHyphen/>
      </w:r>
      <w:r w:rsidRPr="00954404">
        <w:rPr>
          <w:rFonts w:cs="Times New Roman"/>
          <w:szCs w:val="24"/>
          <w:lang w:val="fr-CA"/>
        </w:rPr>
        <w:t>ci doit établir son appartenance au groupe en raison de sa situation unique.  On n</w:t>
      </w:r>
      <w:r>
        <w:rPr>
          <w:rFonts w:cs="Times New Roman"/>
          <w:szCs w:val="24"/>
          <w:lang w:val="fr-CA"/>
        </w:rPr>
        <w:t>’</w:t>
      </w:r>
      <w:r w:rsidRPr="00954404">
        <w:rPr>
          <w:rFonts w:cs="Times New Roman"/>
          <w:szCs w:val="24"/>
          <w:lang w:val="fr-CA"/>
        </w:rPr>
        <w:t>a pas souvent conclu à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obligations envers des groupes; jusqu</w:t>
      </w:r>
      <w:r>
        <w:rPr>
          <w:rFonts w:cs="Times New Roman"/>
          <w:szCs w:val="24"/>
          <w:lang w:val="fr-CA"/>
        </w:rPr>
        <w:t>’</w:t>
      </w:r>
      <w:r w:rsidRPr="00954404">
        <w:rPr>
          <w:rFonts w:cs="Times New Roman"/>
          <w:szCs w:val="24"/>
          <w:lang w:val="fr-CA"/>
        </w:rPr>
        <w:t>à maintenant, la seule obligation reconnue collectivement est celle de Sa Majesté envers les peuples autochtones à l</w:t>
      </w:r>
      <w:r>
        <w:rPr>
          <w:rFonts w:cs="Times New Roman"/>
          <w:szCs w:val="24"/>
          <w:lang w:val="fr-CA"/>
        </w:rPr>
        <w:t>’</w:t>
      </w:r>
      <w:r w:rsidRPr="00954404">
        <w:rPr>
          <w:rFonts w:cs="Times New Roman"/>
          <w:szCs w:val="24"/>
          <w:lang w:val="fr-CA"/>
        </w:rPr>
        <w:t>égard des terres détenues en fiducie pour eux.</w:t>
      </w:r>
    </w:p>
    <w:p w:rsidR="00466E7D" w:rsidRPr="00954404" w:rsidRDefault="00466E7D" w:rsidP="00466E7D">
      <w:pPr>
        <w:pStyle w:val="ParaNoNdepar-AltN"/>
        <w:rPr>
          <w:rFonts w:cs="Times New Roman"/>
          <w:szCs w:val="24"/>
          <w:lang w:val="fr-CA"/>
        </w:rPr>
      </w:pPr>
      <w:r w:rsidRPr="00954404">
        <w:rPr>
          <w:rFonts w:cs="Times New Roman"/>
          <w:szCs w:val="24"/>
          <w:lang w:val="fr-CA"/>
        </w:rPr>
        <w:t>Enfin, lorsque l</w:t>
      </w:r>
      <w:r>
        <w:rPr>
          <w:rFonts w:cs="Times New Roman"/>
          <w:szCs w:val="24"/>
          <w:lang w:val="fr-CA"/>
        </w:rPr>
        <w:t>’</w:t>
      </w:r>
      <w:r w:rsidRPr="00954404">
        <w:rPr>
          <w:rFonts w:cs="Times New Roman"/>
          <w:szCs w:val="24"/>
          <w:lang w:val="fr-CA"/>
        </w:rPr>
        <w:t>on affirme que le gouvernement est le fiduciaire, il peut être difficile d</w:t>
      </w:r>
      <w:r>
        <w:rPr>
          <w:rFonts w:cs="Times New Roman"/>
          <w:szCs w:val="24"/>
          <w:lang w:val="fr-CA"/>
        </w:rPr>
        <w:t>’</w:t>
      </w:r>
      <w:r w:rsidRPr="00954404">
        <w:rPr>
          <w:rFonts w:cs="Times New Roman"/>
          <w:szCs w:val="24"/>
          <w:lang w:val="fr-CA"/>
        </w:rPr>
        <w:t>établir la condition selon laquelle le pouvoir contesté du gouvernement a une incidence sur un intérêt juridique ou un intérêt pratique important.  Il ne suffit pas que les mesures qu</w:t>
      </w:r>
      <w:r>
        <w:rPr>
          <w:rFonts w:cs="Times New Roman"/>
          <w:szCs w:val="24"/>
          <w:lang w:val="fr-CA"/>
        </w:rPr>
        <w:t>’</w:t>
      </w:r>
      <w:r w:rsidRPr="00954404">
        <w:rPr>
          <w:rFonts w:cs="Times New Roman"/>
          <w:szCs w:val="24"/>
          <w:lang w:val="fr-CA"/>
        </w:rPr>
        <w:t>aurait prises le fiduciaire aient une incidence d</w:t>
      </w:r>
      <w:r>
        <w:rPr>
          <w:rFonts w:cs="Times New Roman"/>
          <w:szCs w:val="24"/>
          <w:lang w:val="fr-CA"/>
        </w:rPr>
        <w:t>’</w:t>
      </w:r>
      <w:r w:rsidRPr="00954404">
        <w:rPr>
          <w:rFonts w:cs="Times New Roman"/>
          <w:szCs w:val="24"/>
          <w:lang w:val="fr-CA"/>
        </w:rPr>
        <w:t>un caractère général sur le bien</w:t>
      </w:r>
      <w:r>
        <w:rPr>
          <w:rFonts w:cs="Times New Roman"/>
          <w:szCs w:val="24"/>
          <w:lang w:val="fr-CA"/>
        </w:rPr>
        <w:noBreakHyphen/>
      </w:r>
      <w:r w:rsidRPr="00954404">
        <w:rPr>
          <w:rFonts w:cs="Times New Roman"/>
          <w:szCs w:val="24"/>
          <w:lang w:val="fr-CA"/>
        </w:rPr>
        <w:t>être, les biens ou la sécurité d</w:t>
      </w:r>
      <w:r>
        <w:rPr>
          <w:rFonts w:cs="Times New Roman"/>
          <w:szCs w:val="24"/>
          <w:lang w:val="fr-CA"/>
        </w:rPr>
        <w:t>’</w:t>
      </w:r>
      <w:r w:rsidRPr="00954404">
        <w:rPr>
          <w:rFonts w:cs="Times New Roman"/>
          <w:szCs w:val="24"/>
          <w:lang w:val="fr-CA"/>
        </w:rPr>
        <w:t>une personne.  L</w:t>
      </w:r>
      <w:r>
        <w:rPr>
          <w:rFonts w:cs="Times New Roman"/>
          <w:szCs w:val="24"/>
          <w:lang w:val="fr-CA"/>
        </w:rPr>
        <w:t>’</w:t>
      </w:r>
      <w:r w:rsidRPr="00954404">
        <w:rPr>
          <w:rFonts w:cs="Times New Roman"/>
          <w:szCs w:val="24"/>
          <w:lang w:val="fr-CA"/>
        </w:rPr>
        <w:t xml:space="preserve">intérêt touché doit être un intérêt de </w:t>
      </w:r>
      <w:r w:rsidRPr="00954404">
        <w:rPr>
          <w:rFonts w:cs="Times New Roman"/>
          <w:i/>
          <w:szCs w:val="24"/>
          <w:lang w:val="fr-CA"/>
        </w:rPr>
        <w:t xml:space="preserve">droit privé </w:t>
      </w:r>
      <w:r w:rsidRPr="00954404">
        <w:rPr>
          <w:rFonts w:cs="Times New Roman"/>
          <w:szCs w:val="24"/>
          <w:lang w:val="fr-CA"/>
        </w:rPr>
        <w:t>précis sur lequel la personne exerçait déjà un droit distinct et absolu.  À titre d</w:t>
      </w:r>
      <w:r>
        <w:rPr>
          <w:rFonts w:cs="Times New Roman"/>
          <w:szCs w:val="24"/>
          <w:lang w:val="fr-CA"/>
        </w:rPr>
        <w:t>’</w:t>
      </w:r>
      <w:r w:rsidRPr="00954404">
        <w:rPr>
          <w:rFonts w:cs="Times New Roman"/>
          <w:szCs w:val="24"/>
          <w:lang w:val="fr-CA"/>
        </w:rPr>
        <w:t xml:space="preserve">exemples de tels intérêts, mentionnons les droits de </w:t>
      </w:r>
      <w:r w:rsidRPr="00954404">
        <w:rPr>
          <w:rFonts w:cs="Times New Roman"/>
          <w:szCs w:val="24"/>
          <w:lang w:val="fr-CA"/>
        </w:rPr>
        <w:lastRenderedPageBreak/>
        <w:t>propriété, les intérêts analogues aux droits de propriété et les intérêts humains fondamentaux ou personnels du genre de ceux qui entrent en jeu lorsque l</w:t>
      </w:r>
      <w:r>
        <w:rPr>
          <w:rFonts w:cs="Times New Roman"/>
          <w:szCs w:val="24"/>
          <w:lang w:val="fr-CA"/>
        </w:rPr>
        <w:t>’</w:t>
      </w:r>
      <w:r w:rsidRPr="00954404">
        <w:rPr>
          <w:rFonts w:cs="Times New Roman"/>
          <w:szCs w:val="24"/>
          <w:lang w:val="fr-CA"/>
        </w:rPr>
        <w:t>État assume la tutelle d</w:t>
      </w:r>
      <w:r>
        <w:rPr>
          <w:rFonts w:cs="Times New Roman"/>
          <w:szCs w:val="24"/>
          <w:lang w:val="fr-CA"/>
        </w:rPr>
        <w:t>’</w:t>
      </w:r>
      <w:r w:rsidRPr="00954404">
        <w:rPr>
          <w:rFonts w:cs="Times New Roman"/>
          <w:szCs w:val="24"/>
          <w:lang w:val="fr-CA"/>
        </w:rPr>
        <w:t>un enfant ou d</w:t>
      </w:r>
      <w:r>
        <w:rPr>
          <w:rFonts w:cs="Times New Roman"/>
          <w:szCs w:val="24"/>
          <w:lang w:val="fr-CA"/>
        </w:rPr>
        <w:t>’</w:t>
      </w:r>
      <w:r w:rsidRPr="00954404">
        <w:rPr>
          <w:rFonts w:cs="Times New Roman"/>
          <w:szCs w:val="24"/>
          <w:lang w:val="fr-CA"/>
        </w:rPr>
        <w:t>une personne incapable.  Le droit ne doit pas dépendre d</w:t>
      </w:r>
      <w:r>
        <w:rPr>
          <w:rFonts w:cs="Times New Roman"/>
          <w:szCs w:val="24"/>
          <w:lang w:val="fr-CA"/>
        </w:rPr>
        <w:t>’</w:t>
      </w:r>
      <w:r w:rsidRPr="00954404">
        <w:rPr>
          <w:rFonts w:cs="Times New Roman"/>
          <w:szCs w:val="24"/>
          <w:lang w:val="fr-CA"/>
        </w:rPr>
        <w:t>une mesure ultérieure de l</w:t>
      </w:r>
      <w:r>
        <w:rPr>
          <w:rFonts w:cs="Times New Roman"/>
          <w:szCs w:val="24"/>
          <w:lang w:val="fr-CA"/>
        </w:rPr>
        <w:t>’</w:t>
      </w:r>
      <w:r w:rsidRPr="00954404">
        <w:rPr>
          <w:rFonts w:cs="Times New Roman"/>
          <w:szCs w:val="24"/>
          <w:lang w:val="fr-CA"/>
        </w:rPr>
        <w:t xml:space="preserve">État.  Par exemple, dans </w:t>
      </w:r>
      <w:r w:rsidRPr="00954404">
        <w:rPr>
          <w:rFonts w:cs="Times New Roman"/>
          <w:i/>
          <w:szCs w:val="24"/>
          <w:lang w:val="fr-CA"/>
        </w:rPr>
        <w:t>Authorson</w:t>
      </w:r>
      <w:r w:rsidRPr="00954404">
        <w:rPr>
          <w:rFonts w:cs="Times New Roman"/>
          <w:szCs w:val="24"/>
          <w:lang w:val="fr-CA"/>
        </w:rPr>
        <w:t xml:space="preserve">, le droit aux fonds avait entièrement été dévolu aux anciens combattants </w:t>
      </w:r>
      <w:r w:rsidRPr="00954404">
        <w:rPr>
          <w:rFonts w:cs="Times New Roman"/>
          <w:i/>
          <w:szCs w:val="24"/>
          <w:lang w:val="fr-CA"/>
        </w:rPr>
        <w:t>avant</w:t>
      </w:r>
      <w:r w:rsidRPr="00954404">
        <w:rPr>
          <w:rFonts w:cs="Times New Roman"/>
          <w:szCs w:val="24"/>
          <w:lang w:val="fr-CA"/>
        </w:rPr>
        <w:t xml:space="preserve"> que Sa Majesté n</w:t>
      </w:r>
      <w:r>
        <w:rPr>
          <w:rFonts w:cs="Times New Roman"/>
          <w:szCs w:val="24"/>
          <w:lang w:val="fr-CA"/>
        </w:rPr>
        <w:t>’</w:t>
      </w:r>
      <w:r w:rsidRPr="00954404">
        <w:rPr>
          <w:rFonts w:cs="Times New Roman"/>
          <w:szCs w:val="24"/>
          <w:lang w:val="fr-CA"/>
        </w:rPr>
        <w:t>assume la responsabilité de l</w:t>
      </w:r>
      <w:r>
        <w:rPr>
          <w:rFonts w:cs="Times New Roman"/>
          <w:szCs w:val="24"/>
          <w:lang w:val="fr-CA"/>
        </w:rPr>
        <w:t>’</w:t>
      </w:r>
      <w:r w:rsidRPr="00954404">
        <w:rPr>
          <w:rFonts w:cs="Times New Roman"/>
          <w:szCs w:val="24"/>
          <w:lang w:val="fr-CA"/>
        </w:rPr>
        <w:t>administration de ces fonds</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Authorson</w:t>
      </w:r>
      <w:r w:rsidRPr="00954404">
        <w:rPr>
          <w:rFonts w:cs="Times New Roman"/>
          <w:szCs w:val="24"/>
          <w:lang w:val="fr-CA"/>
        </w:rPr>
        <w:t xml:space="preserve"> (C.A.), </w:t>
      </w:r>
      <w:r>
        <w:rPr>
          <w:rFonts w:cs="Times New Roman"/>
          <w:szCs w:val="24"/>
          <w:lang w:val="fr-CA"/>
        </w:rPr>
        <w:t>par. </w:t>
      </w:r>
      <w:r w:rsidRPr="00954404">
        <w:rPr>
          <w:rFonts w:cs="Times New Roman"/>
          <w:szCs w:val="24"/>
          <w:lang w:val="fr-CA"/>
        </w:rPr>
        <w:t xml:space="preserve">60, 73b) et 73h); dans le contexte autochtone, voir </w:t>
      </w:r>
      <w:r w:rsidRPr="00954404">
        <w:rPr>
          <w:rFonts w:cs="Times New Roman"/>
          <w:i/>
          <w:szCs w:val="24"/>
          <w:lang w:val="fr-CA"/>
        </w:rPr>
        <w:t>Guerin</w:t>
      </w:r>
      <w:r w:rsidRPr="00954404">
        <w:rPr>
          <w:rFonts w:cs="Times New Roman"/>
          <w:szCs w:val="24"/>
          <w:lang w:val="fr-CA"/>
        </w:rPr>
        <w:t xml:space="preserve">, </w:t>
      </w:r>
      <w:r>
        <w:rPr>
          <w:rFonts w:cs="Times New Roman"/>
          <w:szCs w:val="24"/>
          <w:lang w:val="fr-CA"/>
        </w:rPr>
        <w:t>p. </w:t>
      </w:r>
      <w:r w:rsidRPr="00954404">
        <w:rPr>
          <w:rFonts w:cs="Times New Roman"/>
          <w:szCs w:val="24"/>
          <w:lang w:val="fr-CA"/>
        </w:rPr>
        <w:t>385.  Dans d</w:t>
      </w:r>
      <w:r>
        <w:rPr>
          <w:rFonts w:cs="Times New Roman"/>
          <w:szCs w:val="24"/>
          <w:lang w:val="fr-CA"/>
        </w:rPr>
        <w:t>’</w:t>
      </w:r>
      <w:r w:rsidRPr="00954404">
        <w:rPr>
          <w:rFonts w:cs="Times New Roman"/>
          <w:szCs w:val="24"/>
          <w:lang w:val="fr-CA"/>
        </w:rPr>
        <w:t>autres circonstances, une loi créant un droit absolu pourrait également donner naissance à une obligation fiduciaire de l</w:t>
      </w:r>
      <w:r>
        <w:rPr>
          <w:rFonts w:cs="Times New Roman"/>
          <w:szCs w:val="24"/>
          <w:lang w:val="fr-CA"/>
        </w:rPr>
        <w:t>’</w:t>
      </w:r>
      <w:r w:rsidRPr="00954404">
        <w:rPr>
          <w:rFonts w:cs="Times New Roman"/>
          <w:szCs w:val="24"/>
          <w:lang w:val="fr-CA"/>
        </w:rPr>
        <w:t>État relativement à l</w:t>
      </w:r>
      <w:r>
        <w:rPr>
          <w:rFonts w:cs="Times New Roman"/>
          <w:szCs w:val="24"/>
          <w:lang w:val="fr-CA"/>
        </w:rPr>
        <w:t>’</w:t>
      </w:r>
      <w:r w:rsidRPr="00954404">
        <w:rPr>
          <w:rFonts w:cs="Times New Roman"/>
          <w:szCs w:val="24"/>
          <w:lang w:val="fr-CA"/>
        </w:rPr>
        <w:t>administration de l</w:t>
      </w:r>
      <w:r>
        <w:rPr>
          <w:rFonts w:cs="Times New Roman"/>
          <w:szCs w:val="24"/>
          <w:lang w:val="fr-CA"/>
        </w:rPr>
        <w:t>’</w:t>
      </w:r>
      <w:r w:rsidRPr="00954404">
        <w:rPr>
          <w:rFonts w:cs="Times New Roman"/>
          <w:szCs w:val="24"/>
          <w:lang w:val="fr-CA"/>
        </w:rPr>
        <w:t>intérêt.</w:t>
      </w:r>
    </w:p>
    <w:p w:rsidR="00466E7D" w:rsidRPr="00954404" w:rsidRDefault="00466E7D" w:rsidP="00466E7D">
      <w:pPr>
        <w:pStyle w:val="ParaNoNdepar-AltN"/>
        <w:rPr>
          <w:rFonts w:cs="Times New Roman"/>
          <w:szCs w:val="24"/>
          <w:lang w:val="fr-CA"/>
        </w:rPr>
      </w:pPr>
      <w:r w:rsidRPr="00954404">
        <w:rPr>
          <w:rFonts w:cs="Times New Roman"/>
          <w:szCs w:val="24"/>
          <w:lang w:val="fr-CA"/>
        </w:rPr>
        <w:t>L</w:t>
      </w:r>
      <w:r>
        <w:rPr>
          <w:rFonts w:cs="Times New Roman"/>
          <w:szCs w:val="24"/>
          <w:lang w:val="fr-CA"/>
        </w:rPr>
        <w:t>’</w:t>
      </w:r>
      <w:r w:rsidRPr="00954404">
        <w:rPr>
          <w:rFonts w:cs="Times New Roman"/>
          <w:szCs w:val="24"/>
          <w:lang w:val="fr-CA"/>
        </w:rPr>
        <w:t>accès à un régime de prestations à lui seul ne constituera pas un intérêt susceptible de donner naissance à une obligation fiduciaire.  Bien qu</w:t>
      </w:r>
      <w:r>
        <w:rPr>
          <w:rFonts w:cs="Times New Roman"/>
          <w:szCs w:val="24"/>
          <w:lang w:val="fr-CA"/>
        </w:rPr>
        <w:t>’</w:t>
      </w:r>
      <w:r w:rsidRPr="00954404">
        <w:rPr>
          <w:rFonts w:cs="Times New Roman"/>
          <w:szCs w:val="24"/>
          <w:lang w:val="fr-CA"/>
        </w:rPr>
        <w:t>une prestation prévue par la loi puisse avoir une incidence sur le bien</w:t>
      </w:r>
      <w:r>
        <w:rPr>
          <w:rFonts w:cs="Times New Roman"/>
          <w:szCs w:val="24"/>
          <w:lang w:val="fr-CA"/>
        </w:rPr>
        <w:noBreakHyphen/>
      </w:r>
      <w:r w:rsidRPr="00954404">
        <w:rPr>
          <w:rFonts w:cs="Times New Roman"/>
          <w:szCs w:val="24"/>
          <w:lang w:val="fr-CA"/>
        </w:rPr>
        <w:t>être financier de la personne qui la reçoit, en l</w:t>
      </w:r>
      <w:r>
        <w:rPr>
          <w:rFonts w:cs="Times New Roman"/>
          <w:szCs w:val="24"/>
          <w:lang w:val="fr-CA"/>
        </w:rPr>
        <w:t>’</w:t>
      </w:r>
      <w:r w:rsidRPr="00954404">
        <w:rPr>
          <w:rFonts w:cs="Times New Roman"/>
          <w:szCs w:val="24"/>
          <w:lang w:val="fr-CA"/>
        </w:rPr>
        <w:t>absence de preuve d</w:t>
      </w:r>
      <w:r>
        <w:rPr>
          <w:rFonts w:cs="Times New Roman"/>
          <w:szCs w:val="24"/>
          <w:lang w:val="fr-CA"/>
        </w:rPr>
        <w:t>’</w:t>
      </w:r>
      <w:r w:rsidRPr="00954404">
        <w:rPr>
          <w:rFonts w:cs="Times New Roman"/>
          <w:szCs w:val="24"/>
          <w:lang w:val="fr-CA"/>
        </w:rPr>
        <w:t>une intention autre du législateur, le droit à une telle prestation est une création du droit public et est assujetti aux obligations de droit public du gouvernement dans l</w:t>
      </w:r>
      <w:r>
        <w:rPr>
          <w:rFonts w:cs="Times New Roman"/>
          <w:szCs w:val="24"/>
          <w:lang w:val="fr-CA"/>
        </w:rPr>
        <w:t>’</w:t>
      </w:r>
      <w:r w:rsidRPr="00954404">
        <w:rPr>
          <w:rFonts w:cs="Times New Roman"/>
          <w:szCs w:val="24"/>
          <w:lang w:val="fr-CA"/>
        </w:rPr>
        <w:t>administration du régime.</w:t>
      </w:r>
    </w:p>
    <w:p w:rsidR="00466E7D" w:rsidRPr="00954404" w:rsidRDefault="00466E7D" w:rsidP="00466E7D">
      <w:pPr>
        <w:pStyle w:val="ParaNoNdepar-AltN"/>
        <w:rPr>
          <w:rFonts w:cs="Times New Roman"/>
          <w:szCs w:val="24"/>
          <w:lang w:val="fr-CA"/>
        </w:rPr>
      </w:pPr>
      <w:r w:rsidRPr="00954404">
        <w:rPr>
          <w:rFonts w:cs="Times New Roman"/>
          <w:szCs w:val="24"/>
          <w:lang w:val="fr-CA"/>
        </w:rPr>
        <w:t>De plus, avant que l</w:t>
      </w:r>
      <w:r>
        <w:rPr>
          <w:rFonts w:cs="Times New Roman"/>
          <w:szCs w:val="24"/>
          <w:lang w:val="fr-CA"/>
        </w:rPr>
        <w:t>’</w:t>
      </w:r>
      <w:r w:rsidRPr="00954404">
        <w:rPr>
          <w:rFonts w:cs="Times New Roman"/>
          <w:szCs w:val="24"/>
          <w:lang w:val="fr-CA"/>
        </w:rPr>
        <w:t>on puisse conclure à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relation fiduciaire, le niveau de contrôle exercé par le gouvernement sur l</w:t>
      </w:r>
      <w:r>
        <w:rPr>
          <w:rFonts w:cs="Times New Roman"/>
          <w:szCs w:val="24"/>
          <w:lang w:val="fr-CA"/>
        </w:rPr>
        <w:t>’</w:t>
      </w:r>
      <w:r w:rsidRPr="00954404">
        <w:rPr>
          <w:rFonts w:cs="Times New Roman"/>
          <w:szCs w:val="24"/>
          <w:lang w:val="fr-CA"/>
        </w:rPr>
        <w:t>intérêt en question doit être équivalent ou semblable à l</w:t>
      </w:r>
      <w:r>
        <w:rPr>
          <w:rFonts w:cs="Times New Roman"/>
          <w:szCs w:val="24"/>
          <w:lang w:val="fr-CA"/>
        </w:rPr>
        <w:t>’</w:t>
      </w:r>
      <w:r w:rsidRPr="00954404">
        <w:rPr>
          <w:rFonts w:cs="Times New Roman"/>
          <w:szCs w:val="24"/>
          <w:lang w:val="fr-CA"/>
        </w:rPr>
        <w:t>administration directe de cet intérêt.  Relativement aux prestations prévues par la loi, il ne suffit pas que le type de contrôle juridique sur un intérêt soit celui qui découle de l</w:t>
      </w:r>
      <w:r>
        <w:rPr>
          <w:rFonts w:cs="Times New Roman"/>
          <w:szCs w:val="24"/>
          <w:lang w:val="fr-CA"/>
        </w:rPr>
        <w:t>’</w:t>
      </w:r>
      <w:r w:rsidRPr="00954404">
        <w:rPr>
          <w:rFonts w:cs="Times New Roman"/>
          <w:szCs w:val="24"/>
          <w:lang w:val="fr-CA"/>
        </w:rPr>
        <w:t xml:space="preserve">exercice habituel de pouvoirs conférés par la loi.  Sinon, le gouvernement serait tenu à des obligations fiduciaires </w:t>
      </w:r>
      <w:r w:rsidRPr="00954404">
        <w:rPr>
          <w:rFonts w:cs="Times New Roman"/>
          <w:szCs w:val="24"/>
          <w:lang w:val="fr-CA"/>
        </w:rPr>
        <w:lastRenderedPageBreak/>
        <w:t>dans la plupart de ses fonctions quotidiennes, ce qui rendrait difficile ou presque impossible la prise de mesures générales pour le bien public.</w:t>
      </w:r>
    </w:p>
    <w:p w:rsidR="00466E7D" w:rsidRPr="00954404" w:rsidRDefault="00466E7D" w:rsidP="00466E7D">
      <w:pPr>
        <w:pStyle w:val="ParaNoNdepar-AltN"/>
        <w:rPr>
          <w:rFonts w:cs="Times New Roman"/>
          <w:i/>
          <w:szCs w:val="24"/>
          <w:lang w:val="fr-CA"/>
        </w:rPr>
      </w:pPr>
      <w:r w:rsidRPr="00954404">
        <w:rPr>
          <w:rFonts w:cs="Times New Roman"/>
          <w:szCs w:val="24"/>
          <w:lang w:val="fr-CA"/>
        </w:rPr>
        <w:t>Il appert donc qu</w:t>
      </w:r>
      <w:r>
        <w:rPr>
          <w:rFonts w:cs="Times New Roman"/>
          <w:szCs w:val="24"/>
          <w:lang w:val="fr-CA"/>
        </w:rPr>
        <w:t>’</w:t>
      </w:r>
      <w:r w:rsidRPr="00954404">
        <w:rPr>
          <w:rFonts w:cs="Times New Roman"/>
          <w:szCs w:val="24"/>
          <w:lang w:val="fr-CA"/>
        </w:rPr>
        <w:t>une application rigoureuse des conditions générales pour imposer une obligation fiduciaire limitera forcément les cas où l</w:t>
      </w:r>
      <w:r>
        <w:rPr>
          <w:rFonts w:cs="Times New Roman"/>
          <w:szCs w:val="24"/>
          <w:lang w:val="fr-CA"/>
        </w:rPr>
        <w:t>’</w:t>
      </w:r>
      <w:r w:rsidRPr="00954404">
        <w:rPr>
          <w:rFonts w:cs="Times New Roman"/>
          <w:szCs w:val="24"/>
          <w:lang w:val="fr-CA"/>
        </w:rPr>
        <w:t>on peut conclure à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obligation fiduciaire de l</w:t>
      </w:r>
      <w:r>
        <w:rPr>
          <w:rFonts w:cs="Times New Roman"/>
          <w:szCs w:val="24"/>
          <w:lang w:val="fr-CA"/>
        </w:rPr>
        <w:t>’</w:t>
      </w:r>
      <w:r w:rsidRPr="00954404">
        <w:rPr>
          <w:rFonts w:cs="Times New Roman"/>
          <w:szCs w:val="24"/>
          <w:lang w:val="fr-CA"/>
        </w:rPr>
        <w:t>État.  Les demandes présentées contre le gouvernement qui ne respectent pas les conditions juridiques d</w:t>
      </w:r>
      <w:r>
        <w:rPr>
          <w:rFonts w:cs="Times New Roman"/>
          <w:szCs w:val="24"/>
          <w:lang w:val="fr-CA"/>
        </w:rPr>
        <w:t>’</w:t>
      </w:r>
      <w:r w:rsidRPr="00954404">
        <w:rPr>
          <w:rFonts w:cs="Times New Roman"/>
          <w:szCs w:val="24"/>
          <w:lang w:val="fr-CA"/>
        </w:rPr>
        <w:t>une obligation fiduciaire ne devraient pas être jugées recevables dans l</w:t>
      </w:r>
      <w:r>
        <w:rPr>
          <w:rFonts w:cs="Times New Roman"/>
          <w:szCs w:val="24"/>
          <w:lang w:val="fr-CA"/>
        </w:rPr>
        <w:t>’</w:t>
      </w:r>
      <w:r w:rsidRPr="00954404">
        <w:rPr>
          <w:rFonts w:cs="Times New Roman"/>
          <w:szCs w:val="24"/>
          <w:lang w:val="fr-CA"/>
        </w:rPr>
        <w:t>espoir qu</w:t>
      </w:r>
      <w:r>
        <w:rPr>
          <w:rFonts w:cs="Times New Roman"/>
          <w:szCs w:val="24"/>
          <w:lang w:val="fr-CA"/>
        </w:rPr>
        <w:t>’</w:t>
      </w:r>
      <w:r w:rsidRPr="00954404">
        <w:rPr>
          <w:rFonts w:cs="Times New Roman"/>
          <w:szCs w:val="24"/>
          <w:lang w:val="fr-CA"/>
        </w:rPr>
        <w:t>elles puissent finalement être accueillies.  Le truisme selon lequel les catégories d</w:t>
      </w:r>
      <w:r>
        <w:rPr>
          <w:rFonts w:cs="Times New Roman"/>
          <w:szCs w:val="24"/>
          <w:lang w:val="fr-CA"/>
        </w:rPr>
        <w:t>’</w:t>
      </w:r>
      <w:r w:rsidRPr="00954404">
        <w:rPr>
          <w:rFonts w:cs="Times New Roman"/>
          <w:szCs w:val="24"/>
          <w:lang w:val="fr-CA"/>
        </w:rPr>
        <w:t>obligation fiduciaire ne sont pas exhaustives (comme l</w:t>
      </w:r>
      <w:r>
        <w:rPr>
          <w:rFonts w:cs="Times New Roman"/>
          <w:szCs w:val="24"/>
          <w:lang w:val="fr-CA"/>
        </w:rPr>
        <w:t>’</w:t>
      </w:r>
      <w:r w:rsidRPr="00954404">
        <w:rPr>
          <w:rFonts w:cs="Times New Roman"/>
          <w:szCs w:val="24"/>
          <w:lang w:val="fr-CA"/>
        </w:rPr>
        <w:t>a indiqué le juge Dickson</w:t>
      </w:r>
      <w:r w:rsidR="001C763A">
        <w:rPr>
          <w:rFonts w:cs="Times New Roman"/>
          <w:szCs w:val="24"/>
          <w:lang w:val="fr-CA"/>
        </w:rPr>
        <w:t xml:space="preserve"> </w:t>
      </w:r>
      <w:r w:rsidRPr="00954404">
        <w:rPr>
          <w:rFonts w:cs="Times New Roman"/>
          <w:szCs w:val="24"/>
          <w:lang w:val="fr-CA"/>
        </w:rPr>
        <w:t>dans l</w:t>
      </w:r>
      <w:r>
        <w:rPr>
          <w:rFonts w:cs="Times New Roman"/>
          <w:szCs w:val="24"/>
          <w:lang w:val="fr-CA"/>
        </w:rPr>
        <w:t>’</w:t>
      </w:r>
      <w:r w:rsidRPr="00954404">
        <w:rPr>
          <w:rFonts w:cs="Times New Roman"/>
          <w:szCs w:val="24"/>
          <w:lang w:val="fr-CA"/>
        </w:rPr>
        <w:t>arrêt </w:t>
      </w:r>
      <w:r w:rsidRPr="00954404">
        <w:rPr>
          <w:rFonts w:cs="Times New Roman"/>
          <w:i/>
          <w:szCs w:val="24"/>
          <w:lang w:val="fr-CA"/>
        </w:rPr>
        <w:t>Guerin</w:t>
      </w:r>
      <w:r w:rsidRPr="00954404">
        <w:rPr>
          <w:rFonts w:cs="Times New Roman"/>
          <w:szCs w:val="24"/>
          <w:lang w:val="fr-CA"/>
        </w:rPr>
        <w:t xml:space="preserve">, </w:t>
      </w:r>
      <w:r>
        <w:rPr>
          <w:rFonts w:cs="Times New Roman"/>
          <w:szCs w:val="24"/>
          <w:lang w:val="fr-CA"/>
        </w:rPr>
        <w:t>p. </w:t>
      </w:r>
      <w:r w:rsidRPr="00954404">
        <w:rPr>
          <w:rFonts w:cs="Times New Roman"/>
          <w:szCs w:val="24"/>
          <w:lang w:val="fr-CA"/>
        </w:rPr>
        <w:t>384) ne justifie pas que l</w:t>
      </w:r>
      <w:r>
        <w:rPr>
          <w:rFonts w:cs="Times New Roman"/>
          <w:szCs w:val="24"/>
          <w:lang w:val="fr-CA"/>
        </w:rPr>
        <w:t>’</w:t>
      </w:r>
      <w:r w:rsidRPr="00954404">
        <w:rPr>
          <w:rFonts w:cs="Times New Roman"/>
          <w:szCs w:val="24"/>
          <w:lang w:val="fr-CA"/>
        </w:rPr>
        <w:t>on autorise l</w:t>
      </w:r>
      <w:r>
        <w:rPr>
          <w:rFonts w:cs="Times New Roman"/>
          <w:szCs w:val="24"/>
          <w:lang w:val="fr-CA"/>
        </w:rPr>
        <w:t>’</w:t>
      </w:r>
      <w:r w:rsidRPr="00954404">
        <w:rPr>
          <w:rFonts w:cs="Times New Roman"/>
          <w:szCs w:val="24"/>
          <w:lang w:val="fr-CA"/>
        </w:rPr>
        <w:t>instruction des demandes vouées à l</w:t>
      </w:r>
      <w:r>
        <w:rPr>
          <w:rFonts w:cs="Times New Roman"/>
          <w:szCs w:val="24"/>
          <w:lang w:val="fr-CA"/>
        </w:rPr>
        <w:t>’</w:t>
      </w:r>
      <w:r w:rsidRPr="00954404">
        <w:rPr>
          <w:rFonts w:cs="Times New Roman"/>
          <w:szCs w:val="24"/>
          <w:lang w:val="fr-CA"/>
        </w:rPr>
        <w:t>échec</w:t>
      </w:r>
      <w:r>
        <w:rPr>
          <w:rFonts w:cs="Times New Roman"/>
          <w:szCs w:val="24"/>
          <w:lang w:val="fr-CA"/>
        </w:rPr>
        <w:t> :</w:t>
      </w:r>
      <w:r w:rsidR="001C763A">
        <w:rPr>
          <w:rFonts w:cs="Times New Roman"/>
          <w:szCs w:val="24"/>
          <w:lang w:val="fr-CA"/>
        </w:rPr>
        <w:t xml:space="preserve"> voir M. V.</w:t>
      </w:r>
      <w:r w:rsidRPr="00954404">
        <w:rPr>
          <w:rFonts w:cs="Times New Roman"/>
          <w:szCs w:val="24"/>
          <w:lang w:val="fr-CA"/>
        </w:rPr>
        <w:t xml:space="preserve"> Ellis, </w:t>
      </w:r>
      <w:r w:rsidRPr="00954404">
        <w:rPr>
          <w:rFonts w:cs="Times New Roman"/>
          <w:i/>
          <w:szCs w:val="24"/>
          <w:lang w:val="fr-CA"/>
        </w:rPr>
        <w:t>Fiduciary Duties in Canada</w:t>
      </w:r>
      <w:r w:rsidRPr="00954404">
        <w:rPr>
          <w:rFonts w:cs="Times New Roman"/>
          <w:szCs w:val="24"/>
          <w:lang w:val="fr-CA"/>
        </w:rPr>
        <w:t xml:space="preserve"> (feuilles mobiles), </w:t>
      </w:r>
      <w:r>
        <w:rPr>
          <w:rFonts w:cs="Times New Roman"/>
          <w:szCs w:val="24"/>
          <w:lang w:val="fr-CA"/>
        </w:rPr>
        <w:t>p. </w:t>
      </w:r>
      <w:r w:rsidRPr="00954404">
        <w:rPr>
          <w:rFonts w:cs="Times New Roman"/>
          <w:szCs w:val="24"/>
          <w:lang w:val="fr-CA"/>
        </w:rPr>
        <w:t>19</w:t>
      </w:r>
      <w:r>
        <w:rPr>
          <w:rFonts w:cs="Times New Roman"/>
          <w:szCs w:val="24"/>
          <w:lang w:val="fr-CA"/>
        </w:rPr>
        <w:noBreakHyphen/>
      </w:r>
      <w:r w:rsidRPr="00954404">
        <w:rPr>
          <w:rFonts w:cs="Times New Roman"/>
          <w:szCs w:val="24"/>
          <w:lang w:val="fr-CA"/>
        </w:rPr>
        <w:t>3 et 19</w:t>
      </w:r>
      <w:r>
        <w:rPr>
          <w:rFonts w:cs="Times New Roman"/>
          <w:szCs w:val="24"/>
          <w:lang w:val="fr-CA"/>
        </w:rPr>
        <w:noBreakHyphen/>
      </w:r>
      <w:r w:rsidRPr="00954404">
        <w:rPr>
          <w:rFonts w:cs="Times New Roman"/>
          <w:szCs w:val="24"/>
          <w:lang w:val="fr-CA"/>
        </w:rPr>
        <w:t>24.10.  Dans les poursuites pour manquement à une obligation fiduciaire, les demandeurs doivent être prêts à accepter que leur réclamation soit examinée au stade du dépôt des actes de procédure, comme pour toute cause d</w:t>
      </w:r>
      <w:r>
        <w:rPr>
          <w:rFonts w:cs="Times New Roman"/>
          <w:szCs w:val="24"/>
          <w:lang w:val="fr-CA"/>
        </w:rPr>
        <w:t>’</w:t>
      </w:r>
      <w:r w:rsidRPr="00954404">
        <w:rPr>
          <w:rFonts w:cs="Times New Roman"/>
          <w:szCs w:val="24"/>
          <w:lang w:val="fr-CA"/>
        </w:rPr>
        <w:t>action.</w:t>
      </w:r>
    </w:p>
    <w:p w:rsidR="00466E7D" w:rsidRPr="00954404" w:rsidRDefault="00466E7D" w:rsidP="00466E7D">
      <w:pPr>
        <w:pStyle w:val="TitleTitre-AltT"/>
        <w:tabs>
          <w:tab w:val="clear" w:pos="360"/>
          <w:tab w:val="left" w:pos="1620"/>
        </w:tabs>
        <w:spacing w:after="720"/>
        <w:ind w:left="1166" w:hanging="1166"/>
        <w:rPr>
          <w:rFonts w:cs="Times New Roman"/>
          <w:lang w:val="fr-CA"/>
        </w:rPr>
      </w:pPr>
      <w:r w:rsidRPr="00954404">
        <w:rPr>
          <w:rFonts w:cs="Times New Roman"/>
          <w:i/>
          <w:lang w:val="fr-CA"/>
        </w:rPr>
        <w:tab/>
      </w:r>
      <w:r w:rsidRPr="00954404">
        <w:rPr>
          <w:rFonts w:cs="Times New Roman"/>
          <w:lang w:val="fr-CA"/>
        </w:rPr>
        <w:t>(3)</w:t>
      </w:r>
      <w:r w:rsidRPr="00954404">
        <w:rPr>
          <w:rFonts w:cs="Times New Roman"/>
          <w:lang w:val="fr-CA"/>
        </w:rPr>
        <w:tab/>
      </w:r>
      <w:r w:rsidRPr="004F4D3C">
        <w:rPr>
          <w:u w:val="single"/>
          <w:lang w:val="fr-CA"/>
        </w:rPr>
        <w:t>Application</w:t>
      </w:r>
      <w:r w:rsidRPr="00954404">
        <w:rPr>
          <w:rFonts w:cs="Times New Roman"/>
          <w:u w:val="single"/>
          <w:lang w:val="fr-CA"/>
        </w:rPr>
        <w:t xml:space="preserve"> à l</w:t>
      </w:r>
      <w:r>
        <w:rPr>
          <w:rFonts w:cs="Times New Roman"/>
          <w:u w:val="single"/>
          <w:lang w:val="fr-CA"/>
        </w:rPr>
        <w:t>’</w:t>
      </w:r>
      <w:r w:rsidRPr="00954404">
        <w:rPr>
          <w:rFonts w:cs="Times New Roman"/>
          <w:u w:val="single"/>
          <w:lang w:val="fr-CA"/>
        </w:rPr>
        <w:t>espèce</w:t>
      </w:r>
    </w:p>
    <w:p w:rsidR="00466E7D" w:rsidRPr="00954404" w:rsidRDefault="00466E7D" w:rsidP="00466E7D">
      <w:pPr>
        <w:pStyle w:val="ParaNoNdepar-AltN"/>
        <w:rPr>
          <w:rFonts w:cs="Times New Roman"/>
          <w:szCs w:val="24"/>
          <w:lang w:val="fr-CA"/>
        </w:rPr>
      </w:pPr>
      <w:r w:rsidRPr="00954404">
        <w:rPr>
          <w:rFonts w:cs="Times New Roman"/>
          <w:szCs w:val="24"/>
          <w:lang w:val="fr-CA"/>
        </w:rPr>
        <w:t>J</w:t>
      </w:r>
      <w:r>
        <w:rPr>
          <w:rFonts w:cs="Times New Roman"/>
          <w:szCs w:val="24"/>
          <w:lang w:val="fr-CA"/>
        </w:rPr>
        <w:t>’</w:t>
      </w:r>
      <w:r w:rsidRPr="00954404">
        <w:rPr>
          <w:rFonts w:cs="Times New Roman"/>
          <w:szCs w:val="24"/>
          <w:lang w:val="fr-CA"/>
        </w:rPr>
        <w:t>aborde maintenant l</w:t>
      </w:r>
      <w:r>
        <w:rPr>
          <w:rFonts w:cs="Times New Roman"/>
          <w:szCs w:val="24"/>
          <w:lang w:val="fr-CA"/>
        </w:rPr>
        <w:t>’</w:t>
      </w:r>
      <w:r w:rsidRPr="00954404">
        <w:rPr>
          <w:rFonts w:cs="Times New Roman"/>
          <w:szCs w:val="24"/>
          <w:lang w:val="fr-CA"/>
        </w:rPr>
        <w:t>application de ces principes au pourvoi dont nous sommes saisis.  L</w:t>
      </w:r>
      <w:r>
        <w:rPr>
          <w:rFonts w:cs="Times New Roman"/>
          <w:szCs w:val="24"/>
          <w:lang w:val="fr-CA"/>
        </w:rPr>
        <w:t>’</w:t>
      </w:r>
      <w:r w:rsidRPr="00954404">
        <w:rPr>
          <w:rFonts w:cs="Times New Roman"/>
          <w:szCs w:val="24"/>
          <w:lang w:val="fr-CA"/>
        </w:rPr>
        <w:t>allégation d</w:t>
      </w:r>
      <w:r>
        <w:rPr>
          <w:rFonts w:cs="Times New Roman"/>
          <w:szCs w:val="24"/>
          <w:lang w:val="fr-CA"/>
        </w:rPr>
        <w:t>’</w:t>
      </w:r>
      <w:r w:rsidRPr="00954404">
        <w:rPr>
          <w:rFonts w:cs="Times New Roman"/>
          <w:szCs w:val="24"/>
          <w:lang w:val="fr-CA"/>
        </w:rPr>
        <w:t>obligation fiduciaire des demandeurs se trouve pour l</w:t>
      </w:r>
      <w:r>
        <w:rPr>
          <w:rFonts w:cs="Times New Roman"/>
          <w:szCs w:val="24"/>
          <w:lang w:val="fr-CA"/>
        </w:rPr>
        <w:t>’</w:t>
      </w:r>
      <w:r w:rsidRPr="00954404">
        <w:rPr>
          <w:rFonts w:cs="Times New Roman"/>
          <w:szCs w:val="24"/>
          <w:lang w:val="fr-CA"/>
        </w:rPr>
        <w:t>essentiel au par</w:t>
      </w:r>
      <w:r w:rsidR="001C763A">
        <w:rPr>
          <w:rFonts w:cs="Times New Roman"/>
          <w:szCs w:val="24"/>
          <w:lang w:val="fr-CA"/>
        </w:rPr>
        <w:t>.</w:t>
      </w:r>
      <w:r w:rsidRPr="00954404">
        <w:rPr>
          <w:rFonts w:cs="Times New Roman"/>
          <w:szCs w:val="24"/>
          <w:lang w:val="fr-CA"/>
        </w:rPr>
        <w:t> 40 de la deuxième nouvelle déclaration</w:t>
      </w:r>
      <w:r>
        <w:rPr>
          <w:rFonts w:cs="Times New Roman"/>
          <w:szCs w:val="24"/>
          <w:lang w:val="fr-CA"/>
        </w:rPr>
        <w:t> :</w:t>
      </w:r>
    </w:p>
    <w:p w:rsidR="00466E7D" w:rsidRPr="00954404" w:rsidRDefault="00466E7D" w:rsidP="001C763A">
      <w:pPr>
        <w:pStyle w:val="Citation-AltC"/>
        <w:spacing w:after="480"/>
        <w:ind w:hanging="1166"/>
        <w:contextualSpacing w:val="0"/>
        <w:rPr>
          <w:szCs w:val="24"/>
          <w:lang w:val="fr-CA"/>
        </w:rPr>
      </w:pPr>
      <w:r w:rsidRPr="00954404">
        <w:rPr>
          <w:szCs w:val="24"/>
          <w:lang w:val="fr-CA"/>
        </w:rPr>
        <w:tab/>
      </w:r>
      <w:r w:rsidRPr="00954404">
        <w:rPr>
          <w:szCs w:val="24"/>
          <w:lang w:val="fr-CA"/>
        </w:rPr>
        <w:tab/>
        <w:t>[</w:t>
      </w:r>
      <w:r w:rsidRPr="00954404">
        <w:rPr>
          <w:smallCaps/>
          <w:szCs w:val="24"/>
          <w:lang w:val="fr-CA"/>
        </w:rPr>
        <w:t>traduction</w:t>
      </w:r>
      <w:r w:rsidRPr="00954404">
        <w:rPr>
          <w:szCs w:val="24"/>
          <w:lang w:val="fr-CA"/>
        </w:rPr>
        <w:t xml:space="preserve">]  Sa Majesté avait </w:t>
      </w:r>
      <w:r w:rsidRPr="00954404">
        <w:rPr>
          <w:szCs w:val="24"/>
          <w:u w:val="single"/>
          <w:lang w:val="fr-CA"/>
        </w:rPr>
        <w:t>envers les membres du groupe une obligation fiduciaire relativement à la mise en œuvre et à l</w:t>
      </w:r>
      <w:r>
        <w:rPr>
          <w:szCs w:val="24"/>
          <w:u w:val="single"/>
          <w:lang w:val="fr-CA"/>
        </w:rPr>
        <w:t>’</w:t>
      </w:r>
      <w:r w:rsidRPr="00954404">
        <w:rPr>
          <w:szCs w:val="24"/>
          <w:u w:val="single"/>
          <w:lang w:val="fr-CA"/>
        </w:rPr>
        <w:t xml:space="preserve">administration </w:t>
      </w:r>
      <w:r w:rsidRPr="00954404">
        <w:rPr>
          <w:szCs w:val="24"/>
          <w:u w:val="single"/>
          <w:lang w:val="fr-CA"/>
        </w:rPr>
        <w:lastRenderedPageBreak/>
        <w:t>des frais d</w:t>
      </w:r>
      <w:r>
        <w:rPr>
          <w:szCs w:val="24"/>
          <w:u w:val="single"/>
          <w:lang w:val="fr-CA"/>
        </w:rPr>
        <w:t>’</w:t>
      </w:r>
      <w:r w:rsidRPr="00954404">
        <w:rPr>
          <w:szCs w:val="24"/>
          <w:u w:val="single"/>
          <w:lang w:val="fr-CA"/>
        </w:rPr>
        <w:t>hébergement afin de s</w:t>
      </w:r>
      <w:r>
        <w:rPr>
          <w:szCs w:val="24"/>
          <w:u w:val="single"/>
          <w:lang w:val="fr-CA"/>
        </w:rPr>
        <w:t>’</w:t>
      </w:r>
      <w:r w:rsidRPr="00954404">
        <w:rPr>
          <w:szCs w:val="24"/>
          <w:u w:val="single"/>
          <w:lang w:val="fr-CA"/>
        </w:rPr>
        <w:t>assurer que ces frais soient justes, raisonnables et justifiables, qu</w:t>
      </w:r>
      <w:r>
        <w:rPr>
          <w:szCs w:val="24"/>
          <w:u w:val="single"/>
          <w:lang w:val="fr-CA"/>
        </w:rPr>
        <w:t>’</w:t>
      </w:r>
      <w:r w:rsidRPr="00954404">
        <w:rPr>
          <w:szCs w:val="24"/>
          <w:u w:val="single"/>
          <w:lang w:val="fr-CA"/>
        </w:rPr>
        <w:t>ils reflètent le coût de l</w:t>
      </w:r>
      <w:r>
        <w:rPr>
          <w:szCs w:val="24"/>
          <w:u w:val="single"/>
          <w:lang w:val="fr-CA"/>
        </w:rPr>
        <w:t>’</w:t>
      </w:r>
      <w:r w:rsidRPr="00954404">
        <w:rPr>
          <w:szCs w:val="24"/>
          <w:u w:val="single"/>
          <w:lang w:val="fr-CA"/>
        </w:rPr>
        <w:t>hébergement et des repas et qu</w:t>
      </w:r>
      <w:r>
        <w:rPr>
          <w:szCs w:val="24"/>
          <w:u w:val="single"/>
          <w:lang w:val="fr-CA"/>
        </w:rPr>
        <w:t>’</w:t>
      </w:r>
      <w:r w:rsidRPr="00954404">
        <w:rPr>
          <w:szCs w:val="24"/>
          <w:u w:val="single"/>
          <w:lang w:val="fr-CA"/>
        </w:rPr>
        <w:t>ils servent</w:t>
      </w:r>
      <w:r w:rsidRPr="00954404">
        <w:rPr>
          <w:szCs w:val="24"/>
          <w:lang w:val="fr-CA"/>
        </w:rPr>
        <w:t xml:space="preserve"> au mieux leurs intérêts, ainsi que de veiller à ce que les sommes versées au titre des frais d</w:t>
      </w:r>
      <w:r>
        <w:rPr>
          <w:szCs w:val="24"/>
          <w:lang w:val="fr-CA"/>
        </w:rPr>
        <w:t>’</w:t>
      </w:r>
      <w:r w:rsidRPr="00954404">
        <w:rPr>
          <w:szCs w:val="24"/>
          <w:lang w:val="fr-CA"/>
        </w:rPr>
        <w:t>hébergement ne servent pas à financer le coût des soins de santé.  [Je souligne.]</w:t>
      </w:r>
    </w:p>
    <w:p w:rsidR="00466E7D" w:rsidRPr="00954404" w:rsidRDefault="00466E7D" w:rsidP="00466E7D">
      <w:pPr>
        <w:pStyle w:val="ContinueParaSuitedupar-AltP"/>
      </w:pPr>
      <w:r w:rsidRPr="00954404">
        <w:t xml:space="preserve">Voir également les </w:t>
      </w:r>
      <w:r>
        <w:t>par. </w:t>
      </w:r>
      <w:r w:rsidRPr="00954404">
        <w:t>32</w:t>
      </w:r>
      <w:r>
        <w:noBreakHyphen/>
      </w:r>
      <w:r w:rsidRPr="00954404">
        <w:t>42.</w:t>
      </w:r>
    </w:p>
    <w:p w:rsidR="00466E7D" w:rsidRPr="00954404" w:rsidRDefault="00466E7D" w:rsidP="00466E7D">
      <w:pPr>
        <w:pStyle w:val="ParaNoNdepar-AltN"/>
        <w:rPr>
          <w:rFonts w:cs="Times New Roman"/>
          <w:szCs w:val="24"/>
          <w:lang w:val="fr-CA"/>
        </w:rPr>
      </w:pPr>
      <w:r w:rsidRPr="00954404">
        <w:rPr>
          <w:rFonts w:cs="Times New Roman"/>
          <w:szCs w:val="24"/>
          <w:lang w:val="fr-CA"/>
        </w:rPr>
        <w:t>Dans leurs allégations, les demandeurs mettent l</w:t>
      </w:r>
      <w:r>
        <w:rPr>
          <w:rFonts w:cs="Times New Roman"/>
          <w:szCs w:val="24"/>
          <w:lang w:val="fr-CA"/>
        </w:rPr>
        <w:t>’</w:t>
      </w:r>
      <w:r w:rsidRPr="00954404">
        <w:rPr>
          <w:rFonts w:cs="Times New Roman"/>
          <w:szCs w:val="24"/>
          <w:lang w:val="fr-CA"/>
        </w:rPr>
        <w:t>accent sur la vulnérabilité des membres du groupe</w:t>
      </w:r>
      <w:r>
        <w:rPr>
          <w:rFonts w:cs="Times New Roman"/>
          <w:szCs w:val="24"/>
          <w:lang w:val="fr-CA"/>
        </w:rPr>
        <w:t> :</w:t>
      </w:r>
    </w:p>
    <w:p w:rsidR="00466E7D" w:rsidRPr="00954404" w:rsidRDefault="00466E7D" w:rsidP="00466E7D">
      <w:pPr>
        <w:pStyle w:val="Citation-AltC"/>
        <w:ind w:hanging="1166"/>
        <w:contextualSpacing w:val="0"/>
        <w:rPr>
          <w:szCs w:val="24"/>
          <w:lang w:val="fr-CA"/>
        </w:rPr>
      </w:pPr>
      <w:r w:rsidRPr="00954404">
        <w:rPr>
          <w:szCs w:val="24"/>
          <w:lang w:val="fr-CA"/>
        </w:rPr>
        <w:tab/>
        <w:t>[</w:t>
      </w:r>
      <w:r w:rsidRPr="00954404">
        <w:rPr>
          <w:smallCaps/>
          <w:szCs w:val="24"/>
          <w:lang w:val="fr-CA"/>
        </w:rPr>
        <w:t>traduction</w:t>
      </w:r>
      <w:r w:rsidRPr="00954404">
        <w:rPr>
          <w:szCs w:val="24"/>
          <w:lang w:val="fr-CA"/>
        </w:rPr>
        <w:t>]  34. Les membres du groupe sont frêles, âgés et ont des affections chroniques.  Ils ne sont pas capables de prendre soin d</w:t>
      </w:r>
      <w:r>
        <w:rPr>
          <w:szCs w:val="24"/>
          <w:lang w:val="fr-CA"/>
        </w:rPr>
        <w:t>’</w:t>
      </w:r>
      <w:r w:rsidRPr="00954404">
        <w:rPr>
          <w:szCs w:val="24"/>
          <w:lang w:val="fr-CA"/>
        </w:rPr>
        <w:t>eux</w:t>
      </w:r>
      <w:r>
        <w:rPr>
          <w:szCs w:val="24"/>
          <w:lang w:val="fr-CA"/>
        </w:rPr>
        <w:noBreakHyphen/>
      </w:r>
      <w:r w:rsidRPr="00954404">
        <w:rPr>
          <w:szCs w:val="24"/>
          <w:lang w:val="fr-CA"/>
        </w:rPr>
        <w:t>mêmes ou de vivre seuls.  Ils comptent parmi les membres les plus vulnérables de notre société.  Un médecin a déterminé que chaque membre du groupe requiert des soins de longue durée.</w:t>
      </w:r>
    </w:p>
    <w:p w:rsidR="00466E7D" w:rsidRPr="00954404" w:rsidRDefault="00466E7D" w:rsidP="00466E7D">
      <w:pPr>
        <w:pStyle w:val="ParaNoNdepar-AltN"/>
        <w:rPr>
          <w:rFonts w:cs="Times New Roman"/>
          <w:szCs w:val="24"/>
          <w:lang w:val="fr-CA"/>
        </w:rPr>
      </w:pPr>
      <w:r w:rsidRPr="00954404">
        <w:rPr>
          <w:rFonts w:cs="Times New Roman"/>
          <w:szCs w:val="24"/>
          <w:lang w:val="fr-CA"/>
        </w:rPr>
        <w:t>Or, comme nous l</w:t>
      </w:r>
      <w:r>
        <w:rPr>
          <w:rFonts w:cs="Times New Roman"/>
          <w:szCs w:val="24"/>
          <w:lang w:val="fr-CA"/>
        </w:rPr>
        <w:t>’</w:t>
      </w:r>
      <w:r w:rsidRPr="00954404">
        <w:rPr>
          <w:rFonts w:cs="Times New Roman"/>
          <w:szCs w:val="24"/>
          <w:lang w:val="fr-CA"/>
        </w:rPr>
        <w:t>avons vu, la vulnérabilité à elle seule ne suffit pas pour établir une obligation fiduciaire.  En l</w:t>
      </w:r>
      <w:r>
        <w:rPr>
          <w:rFonts w:cs="Times New Roman"/>
          <w:szCs w:val="24"/>
          <w:lang w:val="fr-CA"/>
        </w:rPr>
        <w:t>’</w:t>
      </w:r>
      <w:r w:rsidRPr="00954404">
        <w:rPr>
          <w:rFonts w:cs="Times New Roman"/>
          <w:szCs w:val="24"/>
          <w:lang w:val="fr-CA"/>
        </w:rPr>
        <w:t>espèce, la vulnérabilité des membres du groupe ne résulte pas de leur relation avec l</w:t>
      </w:r>
      <w:r>
        <w:rPr>
          <w:rFonts w:cs="Times New Roman"/>
          <w:szCs w:val="24"/>
          <w:lang w:val="fr-CA"/>
        </w:rPr>
        <w:t>’</w:t>
      </w:r>
      <w:r w:rsidRPr="00954404">
        <w:rPr>
          <w:rFonts w:cs="Times New Roman"/>
          <w:szCs w:val="24"/>
          <w:lang w:val="fr-CA"/>
        </w:rPr>
        <w:t>Alberta</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Galambos</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67</w:t>
      </w:r>
      <w:r>
        <w:rPr>
          <w:rFonts w:cs="Times New Roman"/>
          <w:szCs w:val="24"/>
          <w:lang w:val="fr-CA"/>
        </w:rPr>
        <w:noBreakHyphen/>
      </w:r>
      <w:r w:rsidRPr="00954404">
        <w:rPr>
          <w:rFonts w:cs="Times New Roman"/>
          <w:szCs w:val="24"/>
          <w:lang w:val="fr-CA"/>
        </w:rPr>
        <w:t>68.  De plus, comme le souligne l</w:t>
      </w:r>
      <w:r>
        <w:rPr>
          <w:rFonts w:cs="Times New Roman"/>
          <w:szCs w:val="24"/>
          <w:lang w:val="fr-CA"/>
        </w:rPr>
        <w:t>’</w:t>
      </w:r>
      <w:r w:rsidRPr="00954404">
        <w:rPr>
          <w:rFonts w:cs="Times New Roman"/>
          <w:szCs w:val="24"/>
          <w:lang w:val="fr-CA"/>
        </w:rPr>
        <w:t>Alberta, les membres du groupe seront généralement encore capables de gérer leurs propres affaires ou seront bénéficiaires des obligations de leurs propres tuteurs et fiduciaires; la province n</w:t>
      </w:r>
      <w:r>
        <w:rPr>
          <w:rFonts w:cs="Times New Roman"/>
          <w:szCs w:val="24"/>
          <w:lang w:val="fr-CA"/>
        </w:rPr>
        <w:t>’</w:t>
      </w:r>
      <w:r w:rsidRPr="00954404">
        <w:rPr>
          <w:rFonts w:cs="Times New Roman"/>
          <w:szCs w:val="24"/>
          <w:lang w:val="fr-CA"/>
        </w:rPr>
        <w:t>est pas responsable d</w:t>
      </w:r>
      <w:r>
        <w:rPr>
          <w:rFonts w:cs="Times New Roman"/>
          <w:szCs w:val="24"/>
          <w:lang w:val="fr-CA"/>
        </w:rPr>
        <w:t>’</w:t>
      </w:r>
      <w:r w:rsidRPr="00954404">
        <w:rPr>
          <w:rFonts w:cs="Times New Roman"/>
          <w:szCs w:val="24"/>
          <w:lang w:val="fr-CA"/>
        </w:rPr>
        <w:t>eux.  Les soins ne leur sont pas refusés et bien que leur situation financière puisse être touchée par l</w:t>
      </w:r>
      <w:r>
        <w:rPr>
          <w:rFonts w:cs="Times New Roman"/>
          <w:szCs w:val="24"/>
          <w:lang w:val="fr-CA"/>
        </w:rPr>
        <w:t>’</w:t>
      </w:r>
      <w:r w:rsidRPr="00954404">
        <w:rPr>
          <w:rFonts w:cs="Times New Roman"/>
          <w:szCs w:val="24"/>
          <w:lang w:val="fr-CA"/>
        </w:rPr>
        <w:t>imposition des frais d</w:t>
      </w:r>
      <w:r>
        <w:rPr>
          <w:rFonts w:cs="Times New Roman"/>
          <w:szCs w:val="24"/>
          <w:lang w:val="fr-CA"/>
        </w:rPr>
        <w:t>’</w:t>
      </w:r>
      <w:r w:rsidRPr="00954404">
        <w:rPr>
          <w:rFonts w:cs="Times New Roman"/>
          <w:szCs w:val="24"/>
          <w:lang w:val="fr-CA"/>
        </w:rPr>
        <w:t>hébergement, ce facteur, à lui seul, ne suffit pas pour justifier une obligation fiduciaire.</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Les demandeurs ne renvoient pas à une disposition législative, ni à quoi que ce soit dans les rapports de fait invoqués, qui étaye un engagement de l</w:t>
      </w:r>
      <w:r>
        <w:rPr>
          <w:rFonts w:cs="Times New Roman"/>
          <w:szCs w:val="24"/>
          <w:lang w:val="fr-CA"/>
        </w:rPr>
        <w:t>’</w:t>
      </w:r>
      <w:r w:rsidRPr="00954404">
        <w:rPr>
          <w:rFonts w:cs="Times New Roman"/>
          <w:szCs w:val="24"/>
          <w:lang w:val="fr-CA"/>
        </w:rPr>
        <w:t>Alberta de faire preuve, envers les membres du groupe de demandeurs, d</w:t>
      </w:r>
      <w:r>
        <w:rPr>
          <w:rFonts w:cs="Times New Roman"/>
          <w:szCs w:val="24"/>
          <w:lang w:val="fr-CA"/>
        </w:rPr>
        <w:t>’</w:t>
      </w:r>
      <w:r w:rsidRPr="00954404">
        <w:rPr>
          <w:rFonts w:cs="Times New Roman"/>
          <w:szCs w:val="24"/>
          <w:lang w:val="fr-CA"/>
        </w:rPr>
        <w:t>une loyauté exclusive pour ce qui est de la fixation, de la perception et de l</w:t>
      </w:r>
      <w:r>
        <w:rPr>
          <w:rFonts w:cs="Times New Roman"/>
          <w:szCs w:val="24"/>
          <w:lang w:val="fr-CA"/>
        </w:rPr>
        <w:t>’</w:t>
      </w:r>
      <w:r w:rsidRPr="00954404">
        <w:rPr>
          <w:rFonts w:cs="Times New Roman"/>
          <w:szCs w:val="24"/>
          <w:lang w:val="fr-CA"/>
        </w:rPr>
        <w:t>administration des frais d</w:t>
      </w:r>
      <w:r>
        <w:rPr>
          <w:rFonts w:cs="Times New Roman"/>
          <w:szCs w:val="24"/>
          <w:lang w:val="fr-CA"/>
        </w:rPr>
        <w:t>’</w:t>
      </w:r>
      <w:r w:rsidRPr="00954404">
        <w:rPr>
          <w:rFonts w:cs="Times New Roman"/>
          <w:szCs w:val="24"/>
          <w:lang w:val="fr-CA"/>
        </w:rPr>
        <w:t xml:space="preserve">hébergement.  La </w:t>
      </w:r>
      <w:r w:rsidRPr="00954404">
        <w:rPr>
          <w:rFonts w:cs="Times New Roman"/>
          <w:i/>
          <w:szCs w:val="24"/>
          <w:lang w:val="fr-CA"/>
        </w:rPr>
        <w:t>Alberta Health Care Insurance Act</w:t>
      </w:r>
      <w:r w:rsidRPr="00954404">
        <w:rPr>
          <w:rFonts w:cs="Times New Roman"/>
          <w:szCs w:val="24"/>
          <w:lang w:val="fr-CA"/>
        </w:rPr>
        <w:t xml:space="preserve"> oblige la province à fournir des soins de santé, dont des soins de longue durée, mais ne l</w:t>
      </w:r>
      <w:r>
        <w:rPr>
          <w:rFonts w:cs="Times New Roman"/>
          <w:szCs w:val="24"/>
          <w:lang w:val="fr-CA"/>
        </w:rPr>
        <w:t>’</w:t>
      </w:r>
      <w:r w:rsidRPr="00954404">
        <w:rPr>
          <w:rFonts w:cs="Times New Roman"/>
          <w:szCs w:val="24"/>
          <w:lang w:val="fr-CA"/>
        </w:rPr>
        <w:t>oblige pas à s</w:t>
      </w:r>
      <w:r>
        <w:rPr>
          <w:rFonts w:cs="Times New Roman"/>
          <w:szCs w:val="24"/>
          <w:lang w:val="fr-CA"/>
        </w:rPr>
        <w:t>’</w:t>
      </w:r>
      <w:r w:rsidRPr="00954404">
        <w:rPr>
          <w:rFonts w:cs="Times New Roman"/>
          <w:szCs w:val="24"/>
          <w:lang w:val="fr-CA"/>
        </w:rPr>
        <w:t>engager à agir au mieux des intérêts des résidents de l</w:t>
      </w:r>
      <w:r>
        <w:rPr>
          <w:rFonts w:cs="Times New Roman"/>
          <w:szCs w:val="24"/>
          <w:lang w:val="fr-CA"/>
        </w:rPr>
        <w:t>’</w:t>
      </w:r>
      <w:r w:rsidRPr="00954404">
        <w:rPr>
          <w:rFonts w:cs="Times New Roman"/>
          <w:szCs w:val="24"/>
          <w:lang w:val="fr-CA"/>
        </w:rPr>
        <w:t>Alberta en général, ou au mieux des intérêts des pensionnaires d</w:t>
      </w:r>
      <w:r>
        <w:rPr>
          <w:rFonts w:cs="Times New Roman"/>
          <w:szCs w:val="24"/>
          <w:lang w:val="fr-CA"/>
        </w:rPr>
        <w:t>’</w:t>
      </w:r>
      <w:r w:rsidRPr="00954404">
        <w:rPr>
          <w:rFonts w:cs="Times New Roman"/>
          <w:szCs w:val="24"/>
          <w:lang w:val="fr-CA"/>
        </w:rPr>
        <w:t>un ESLD en particulier.  La loi n</w:t>
      </w:r>
      <w:r>
        <w:rPr>
          <w:rFonts w:cs="Times New Roman"/>
          <w:szCs w:val="24"/>
          <w:lang w:val="fr-CA"/>
        </w:rPr>
        <w:t>’</w:t>
      </w:r>
      <w:r w:rsidRPr="00954404">
        <w:rPr>
          <w:rFonts w:cs="Times New Roman"/>
          <w:szCs w:val="24"/>
          <w:lang w:val="fr-CA"/>
        </w:rPr>
        <w:t>oblige pas non plus le gouvernement à tenir compte des intérêts de quiconque lorsqu</w:t>
      </w:r>
      <w:r>
        <w:rPr>
          <w:rFonts w:cs="Times New Roman"/>
          <w:szCs w:val="24"/>
          <w:lang w:val="fr-CA"/>
        </w:rPr>
        <w:t>’</w:t>
      </w:r>
      <w:r w:rsidRPr="00954404">
        <w:rPr>
          <w:rFonts w:cs="Times New Roman"/>
          <w:szCs w:val="24"/>
          <w:lang w:val="fr-CA"/>
        </w:rPr>
        <w:t xml:space="preserve">il détermine la contribution qui peut être demandée aux pensionnaires.  Il peut exister une relation fiduciaire entre les </w:t>
      </w:r>
      <w:r w:rsidRPr="00954404">
        <w:rPr>
          <w:rFonts w:cs="Times New Roman"/>
          <w:i/>
          <w:szCs w:val="24"/>
          <w:lang w:val="fr-CA"/>
        </w:rPr>
        <w:t>exploitants</w:t>
      </w:r>
      <w:r w:rsidRPr="00954404">
        <w:rPr>
          <w:rFonts w:cs="Times New Roman"/>
          <w:szCs w:val="24"/>
          <w:lang w:val="fr-CA"/>
        </w:rPr>
        <w:t xml:space="preserve"> et les pensionnaires en ce qui a trait aux biens de ces derniers, mais aucune relation semblable n</w:t>
      </w:r>
      <w:r>
        <w:rPr>
          <w:rFonts w:cs="Times New Roman"/>
          <w:szCs w:val="24"/>
          <w:lang w:val="fr-CA"/>
        </w:rPr>
        <w:t>’</w:t>
      </w:r>
      <w:r w:rsidRPr="00954404">
        <w:rPr>
          <w:rFonts w:cs="Times New Roman"/>
          <w:szCs w:val="24"/>
          <w:lang w:val="fr-CA"/>
        </w:rPr>
        <w:t xml:space="preserve">est établie entre la </w:t>
      </w:r>
      <w:r w:rsidRPr="00954404">
        <w:rPr>
          <w:rFonts w:cs="Times New Roman"/>
          <w:i/>
          <w:szCs w:val="24"/>
          <w:lang w:val="fr-CA"/>
        </w:rPr>
        <w:t>province</w:t>
      </w:r>
      <w:r w:rsidRPr="00954404">
        <w:rPr>
          <w:rFonts w:cs="Times New Roman"/>
          <w:szCs w:val="24"/>
          <w:lang w:val="fr-CA"/>
        </w:rPr>
        <w:t xml:space="preserve"> et les pensionnaires</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Nursing Homes Act</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 xml:space="preserve">8(1); </w:t>
      </w:r>
      <w:r w:rsidRPr="00954404">
        <w:rPr>
          <w:rFonts w:cs="Times New Roman"/>
          <w:i/>
          <w:szCs w:val="24"/>
          <w:lang w:val="fr-CA"/>
        </w:rPr>
        <w:t>Nursing Homes General Regulation</w:t>
      </w:r>
      <w:r w:rsidRPr="00954404">
        <w:rPr>
          <w:rFonts w:cs="Times New Roman"/>
          <w:szCs w:val="24"/>
          <w:lang w:val="fr-CA"/>
        </w:rPr>
        <w:t xml:space="preserve">, </w:t>
      </w:r>
      <w:r w:rsidR="005A3FB1">
        <w:rPr>
          <w:rFonts w:cs="Times New Roman"/>
          <w:szCs w:val="24"/>
          <w:lang w:val="fr-CA"/>
        </w:rPr>
        <w:t xml:space="preserve">Alta. Reg. 232/85, </w:t>
      </w:r>
      <w:r>
        <w:rPr>
          <w:rFonts w:cs="Times New Roman"/>
          <w:szCs w:val="24"/>
          <w:lang w:val="fr-CA"/>
        </w:rPr>
        <w:t>art. </w:t>
      </w:r>
      <w:r w:rsidRPr="00954404">
        <w:rPr>
          <w:rFonts w:cs="Times New Roman"/>
          <w:szCs w:val="24"/>
          <w:lang w:val="fr-CA"/>
        </w:rPr>
        <w:t xml:space="preserve">4; </w:t>
      </w:r>
      <w:r w:rsidRPr="00954404">
        <w:rPr>
          <w:rFonts w:cs="Times New Roman"/>
          <w:i/>
          <w:szCs w:val="24"/>
          <w:lang w:val="fr-CA"/>
        </w:rPr>
        <w:t>Nursing Homes Operation Regulation</w:t>
      </w:r>
      <w:r w:rsidRPr="00954404">
        <w:rPr>
          <w:rFonts w:cs="Times New Roman"/>
          <w:szCs w:val="24"/>
          <w:lang w:val="fr-CA"/>
        </w:rPr>
        <w:t xml:space="preserve">, </w:t>
      </w:r>
      <w:r>
        <w:rPr>
          <w:rFonts w:cs="Times New Roman"/>
          <w:szCs w:val="24"/>
          <w:lang w:val="fr-CA"/>
        </w:rPr>
        <w:t>art. </w:t>
      </w:r>
      <w:r w:rsidRPr="00954404">
        <w:rPr>
          <w:rFonts w:cs="Times New Roman"/>
          <w:szCs w:val="24"/>
          <w:lang w:val="fr-CA"/>
        </w:rPr>
        <w:t>8</w:t>
      </w:r>
      <w:r w:rsidR="005A3FB1">
        <w:rPr>
          <w:rFonts w:cs="Times New Roman"/>
          <w:szCs w:val="24"/>
          <w:lang w:val="fr-CA"/>
        </w:rPr>
        <w:t xml:space="preserve"> et </w:t>
      </w:r>
      <w:r w:rsidRPr="00954404">
        <w:rPr>
          <w:rFonts w:cs="Times New Roman"/>
          <w:szCs w:val="24"/>
          <w:lang w:val="fr-CA"/>
        </w:rPr>
        <w:t xml:space="preserve">9.  </w:t>
      </w:r>
    </w:p>
    <w:p w:rsidR="00466E7D" w:rsidRPr="00954404" w:rsidRDefault="00466E7D" w:rsidP="00466E7D">
      <w:pPr>
        <w:pStyle w:val="ParaNoNdepar-AltN"/>
        <w:rPr>
          <w:rFonts w:cs="Times New Roman"/>
          <w:szCs w:val="24"/>
          <w:lang w:val="fr-CA"/>
        </w:rPr>
      </w:pPr>
      <w:r w:rsidRPr="00954404">
        <w:rPr>
          <w:rFonts w:cs="Times New Roman"/>
          <w:szCs w:val="24"/>
          <w:lang w:val="fr-CA"/>
        </w:rPr>
        <w:t>Les demandeurs n</w:t>
      </w:r>
      <w:r>
        <w:rPr>
          <w:rFonts w:cs="Times New Roman"/>
          <w:szCs w:val="24"/>
          <w:lang w:val="fr-CA"/>
        </w:rPr>
        <w:t>’</w:t>
      </w:r>
      <w:r w:rsidRPr="00954404">
        <w:rPr>
          <w:rFonts w:cs="Times New Roman"/>
          <w:szCs w:val="24"/>
          <w:lang w:val="fr-CA"/>
        </w:rPr>
        <w:t>ont pas non plus invoqué suffisamment de faits pour établir que l</w:t>
      </w:r>
      <w:r>
        <w:rPr>
          <w:rFonts w:cs="Times New Roman"/>
          <w:szCs w:val="24"/>
          <w:lang w:val="fr-CA"/>
        </w:rPr>
        <w:t>’</w:t>
      </w:r>
      <w:r w:rsidRPr="00954404">
        <w:rPr>
          <w:rFonts w:cs="Times New Roman"/>
          <w:szCs w:val="24"/>
          <w:lang w:val="fr-CA"/>
        </w:rPr>
        <w:t>Alberta s</w:t>
      </w:r>
      <w:r>
        <w:rPr>
          <w:rFonts w:cs="Times New Roman"/>
          <w:szCs w:val="24"/>
          <w:lang w:val="fr-CA"/>
        </w:rPr>
        <w:t>’</w:t>
      </w:r>
      <w:r w:rsidRPr="00954404">
        <w:rPr>
          <w:rFonts w:cs="Times New Roman"/>
          <w:szCs w:val="24"/>
          <w:lang w:val="fr-CA"/>
        </w:rPr>
        <w:t>est engagée implicitement, envers les pensionnaires d</w:t>
      </w:r>
      <w:r>
        <w:rPr>
          <w:rFonts w:cs="Times New Roman"/>
          <w:szCs w:val="24"/>
          <w:lang w:val="fr-CA"/>
        </w:rPr>
        <w:t>’</w:t>
      </w:r>
      <w:r w:rsidRPr="00954404">
        <w:rPr>
          <w:rFonts w:cs="Times New Roman"/>
          <w:szCs w:val="24"/>
          <w:lang w:val="fr-CA"/>
        </w:rPr>
        <w:t>un ESLD, à agir avec une loyauté exclusive.  Ils ne font référence à aucune obligation analogue en droit privé.  Les faits invoqués n</w:t>
      </w:r>
      <w:r>
        <w:rPr>
          <w:rFonts w:cs="Times New Roman"/>
          <w:szCs w:val="24"/>
          <w:lang w:val="fr-CA"/>
        </w:rPr>
        <w:t>’</w:t>
      </w:r>
      <w:r w:rsidRPr="00954404">
        <w:rPr>
          <w:rFonts w:cs="Times New Roman"/>
          <w:szCs w:val="24"/>
          <w:lang w:val="fr-CA"/>
        </w:rPr>
        <w:t>établissent aucun engagement ni aucun fondement sur lequel un tel engagement pourrait être établi.</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En effet, les allégations n</w:t>
      </w:r>
      <w:r>
        <w:rPr>
          <w:rFonts w:cs="Times New Roman"/>
          <w:szCs w:val="24"/>
          <w:lang w:val="fr-CA"/>
        </w:rPr>
        <w:t>’</w:t>
      </w:r>
      <w:r w:rsidRPr="00954404">
        <w:rPr>
          <w:rFonts w:cs="Times New Roman"/>
          <w:szCs w:val="24"/>
          <w:lang w:val="fr-CA"/>
        </w:rPr>
        <w:t>indiquent pas clairement que l</w:t>
      </w:r>
      <w:r>
        <w:rPr>
          <w:rFonts w:cs="Times New Roman"/>
          <w:szCs w:val="24"/>
          <w:lang w:val="fr-CA"/>
        </w:rPr>
        <w:t>’</w:t>
      </w:r>
      <w:r w:rsidRPr="00954404">
        <w:rPr>
          <w:rFonts w:cs="Times New Roman"/>
          <w:szCs w:val="24"/>
          <w:lang w:val="fr-CA"/>
        </w:rPr>
        <w:t>État, par opposition à une personne physique, a une obligation fiduciaire.  Bien que l</w:t>
      </w:r>
      <w:r>
        <w:rPr>
          <w:rFonts w:cs="Times New Roman"/>
          <w:szCs w:val="24"/>
          <w:lang w:val="fr-CA"/>
        </w:rPr>
        <w:t>’</w:t>
      </w:r>
      <w:r w:rsidRPr="00954404">
        <w:rPr>
          <w:rFonts w:cs="Times New Roman"/>
          <w:szCs w:val="24"/>
          <w:lang w:val="fr-CA"/>
        </w:rPr>
        <w:t>action ait</w:t>
      </w:r>
      <w:r>
        <w:rPr>
          <w:rFonts w:cs="Times New Roman"/>
          <w:szCs w:val="24"/>
          <w:lang w:val="fr-CA"/>
        </w:rPr>
        <w:t xml:space="preserve"> été intentée contre </w:t>
      </w:r>
      <w:r w:rsidRPr="00954404">
        <w:rPr>
          <w:rFonts w:cs="Times New Roman"/>
          <w:szCs w:val="24"/>
          <w:lang w:val="fr-CA"/>
        </w:rPr>
        <w:t>Sa Majesté la Reine du chef de l</w:t>
      </w:r>
      <w:r>
        <w:rPr>
          <w:rFonts w:cs="Times New Roman"/>
          <w:szCs w:val="24"/>
          <w:lang w:val="fr-CA"/>
        </w:rPr>
        <w:t>’</w:t>
      </w:r>
      <w:r w:rsidRPr="00954404">
        <w:rPr>
          <w:rFonts w:cs="Times New Roman"/>
          <w:szCs w:val="24"/>
          <w:lang w:val="fr-CA"/>
        </w:rPr>
        <w:t>Alberta, les allégations dans les actes de procédure visent le ministre du Soutien aux aînés et aux collectivités ainsi que le ministère de la Santé et du Bien</w:t>
      </w:r>
      <w:r>
        <w:rPr>
          <w:rFonts w:cs="Times New Roman"/>
          <w:szCs w:val="24"/>
          <w:lang w:val="fr-CA"/>
        </w:rPr>
        <w:noBreakHyphen/>
      </w:r>
      <w:r w:rsidRPr="00954404">
        <w:rPr>
          <w:rFonts w:cs="Times New Roman"/>
          <w:szCs w:val="24"/>
          <w:lang w:val="fr-CA"/>
        </w:rPr>
        <w:t>être de l</w:t>
      </w:r>
      <w:r>
        <w:rPr>
          <w:rFonts w:cs="Times New Roman"/>
          <w:szCs w:val="24"/>
          <w:lang w:val="fr-CA"/>
        </w:rPr>
        <w:t>’</w:t>
      </w:r>
      <w:r w:rsidRPr="00954404">
        <w:rPr>
          <w:rFonts w:cs="Times New Roman"/>
          <w:szCs w:val="24"/>
          <w:lang w:val="fr-CA"/>
        </w:rPr>
        <w:t>Alberta.  Ainsi, il est difficile de déterminer les deuxième et troisième conditions d</w:t>
      </w:r>
      <w:r>
        <w:rPr>
          <w:rFonts w:cs="Times New Roman"/>
          <w:szCs w:val="24"/>
          <w:lang w:val="fr-CA"/>
        </w:rPr>
        <w:t>’</w:t>
      </w:r>
      <w:r w:rsidRPr="00954404">
        <w:rPr>
          <w:rFonts w:cs="Times New Roman"/>
          <w:szCs w:val="24"/>
          <w:lang w:val="fr-CA"/>
        </w:rPr>
        <w:t>un engagement envers un groupe défini à l</w:t>
      </w:r>
      <w:r>
        <w:rPr>
          <w:rFonts w:cs="Times New Roman"/>
          <w:szCs w:val="24"/>
          <w:lang w:val="fr-CA"/>
        </w:rPr>
        <w:t>’</w:t>
      </w:r>
      <w:r w:rsidRPr="00954404">
        <w:rPr>
          <w:rFonts w:cs="Times New Roman"/>
          <w:szCs w:val="24"/>
          <w:lang w:val="fr-CA"/>
        </w:rPr>
        <w:t>égard d</w:t>
      </w:r>
      <w:r>
        <w:rPr>
          <w:rFonts w:cs="Times New Roman"/>
          <w:szCs w:val="24"/>
          <w:lang w:val="fr-CA"/>
        </w:rPr>
        <w:t>’</w:t>
      </w:r>
      <w:r w:rsidRPr="00954404">
        <w:rPr>
          <w:rFonts w:cs="Times New Roman"/>
          <w:szCs w:val="24"/>
          <w:lang w:val="fr-CA"/>
        </w:rPr>
        <w:t>un intérêt juridique ou d</w:t>
      </w:r>
      <w:r>
        <w:rPr>
          <w:rFonts w:cs="Times New Roman"/>
          <w:szCs w:val="24"/>
          <w:lang w:val="fr-CA"/>
        </w:rPr>
        <w:t>’</w:t>
      </w:r>
      <w:r w:rsidRPr="00954404">
        <w:rPr>
          <w:rFonts w:cs="Times New Roman"/>
          <w:szCs w:val="24"/>
          <w:lang w:val="fr-CA"/>
        </w:rPr>
        <w:t>un intérêt pratique essentiel.  Les allégations distinctes contre les ARS peuvent soutenir une cause d</w:t>
      </w:r>
      <w:r>
        <w:rPr>
          <w:rFonts w:cs="Times New Roman"/>
          <w:szCs w:val="24"/>
          <w:lang w:val="fr-CA"/>
        </w:rPr>
        <w:t>’</w:t>
      </w:r>
      <w:r w:rsidRPr="00954404">
        <w:rPr>
          <w:rFonts w:cs="Times New Roman"/>
          <w:szCs w:val="24"/>
          <w:lang w:val="fr-CA"/>
        </w:rPr>
        <w:t>action pour manquement à une obligation fiduciaire, une question dont nous ne sommes pas saisis, mais pas les allégations contre l</w:t>
      </w:r>
      <w:r>
        <w:rPr>
          <w:rFonts w:cs="Times New Roman"/>
          <w:szCs w:val="24"/>
          <w:lang w:val="fr-CA"/>
        </w:rPr>
        <w:t>’</w:t>
      </w:r>
      <w:r w:rsidRPr="00954404">
        <w:rPr>
          <w:rFonts w:cs="Times New Roman"/>
          <w:szCs w:val="24"/>
          <w:lang w:val="fr-CA"/>
        </w:rPr>
        <w:t>État.  En l</w:t>
      </w:r>
      <w:r>
        <w:rPr>
          <w:rFonts w:cs="Times New Roman"/>
          <w:szCs w:val="24"/>
          <w:lang w:val="fr-CA"/>
        </w:rPr>
        <w:t>’</w:t>
      </w:r>
      <w:r w:rsidRPr="00954404">
        <w:rPr>
          <w:rFonts w:cs="Times New Roman"/>
          <w:szCs w:val="24"/>
          <w:lang w:val="fr-CA"/>
        </w:rPr>
        <w:t>absence d</w:t>
      </w:r>
      <w:r>
        <w:rPr>
          <w:rFonts w:cs="Times New Roman"/>
          <w:szCs w:val="24"/>
          <w:lang w:val="fr-CA"/>
        </w:rPr>
        <w:t>’</w:t>
      </w:r>
      <w:r w:rsidRPr="00954404">
        <w:rPr>
          <w:rFonts w:cs="Times New Roman"/>
          <w:szCs w:val="24"/>
          <w:lang w:val="fr-CA"/>
        </w:rPr>
        <w:t>allégations établissant que l</w:t>
      </w:r>
      <w:r>
        <w:rPr>
          <w:rFonts w:cs="Times New Roman"/>
          <w:szCs w:val="24"/>
          <w:lang w:val="fr-CA"/>
        </w:rPr>
        <w:t>’</w:t>
      </w:r>
      <w:r w:rsidRPr="00954404">
        <w:rPr>
          <w:rFonts w:cs="Times New Roman"/>
          <w:szCs w:val="24"/>
          <w:lang w:val="fr-CA"/>
        </w:rPr>
        <w:t>État a pris un engagement précis, comment pouvons</w:t>
      </w:r>
      <w:r>
        <w:rPr>
          <w:rFonts w:cs="Times New Roman"/>
          <w:szCs w:val="24"/>
          <w:lang w:val="fr-CA"/>
        </w:rPr>
        <w:noBreakHyphen/>
      </w:r>
      <w:r w:rsidRPr="00954404">
        <w:rPr>
          <w:rFonts w:cs="Times New Roman"/>
          <w:szCs w:val="24"/>
          <w:lang w:val="fr-CA"/>
        </w:rPr>
        <w:t>nous savoir qui bénéficierait d</w:t>
      </w:r>
      <w:r>
        <w:rPr>
          <w:rFonts w:cs="Times New Roman"/>
          <w:szCs w:val="24"/>
          <w:lang w:val="fr-CA"/>
        </w:rPr>
        <w:t>’</w:t>
      </w:r>
      <w:r w:rsidRPr="00954404">
        <w:rPr>
          <w:rFonts w:cs="Times New Roman"/>
          <w:szCs w:val="24"/>
          <w:lang w:val="fr-CA"/>
        </w:rPr>
        <w:t>une telle obligation ou même connaître la nature de l</w:t>
      </w:r>
      <w:r>
        <w:rPr>
          <w:rFonts w:cs="Times New Roman"/>
          <w:szCs w:val="24"/>
          <w:lang w:val="fr-CA"/>
        </w:rPr>
        <w:t>’</w:t>
      </w:r>
      <w:r w:rsidRPr="00954404">
        <w:rPr>
          <w:rFonts w:cs="Times New Roman"/>
          <w:szCs w:val="24"/>
          <w:lang w:val="fr-CA"/>
        </w:rPr>
        <w:t>obligation?  Autrement dit, les allégations contre l</w:t>
      </w:r>
      <w:r>
        <w:rPr>
          <w:rFonts w:cs="Times New Roman"/>
          <w:szCs w:val="24"/>
          <w:lang w:val="fr-CA"/>
        </w:rPr>
        <w:t>’</w:t>
      </w:r>
      <w:r w:rsidRPr="00954404">
        <w:rPr>
          <w:rFonts w:cs="Times New Roman"/>
          <w:szCs w:val="24"/>
          <w:lang w:val="fr-CA"/>
        </w:rPr>
        <w:t>État sont trop vagues pour permettre d</w:t>
      </w:r>
      <w:r>
        <w:rPr>
          <w:rFonts w:cs="Times New Roman"/>
          <w:szCs w:val="24"/>
          <w:lang w:val="fr-CA"/>
        </w:rPr>
        <w:t>’</w:t>
      </w:r>
      <w:r w:rsidRPr="00954404">
        <w:rPr>
          <w:rFonts w:cs="Times New Roman"/>
          <w:szCs w:val="24"/>
          <w:lang w:val="fr-CA"/>
        </w:rPr>
        <w:t>inférer qu</w:t>
      </w:r>
      <w:r>
        <w:rPr>
          <w:rFonts w:cs="Times New Roman"/>
          <w:szCs w:val="24"/>
          <w:lang w:val="fr-CA"/>
        </w:rPr>
        <w:t>’</w:t>
      </w:r>
      <w:r w:rsidRPr="00954404">
        <w:rPr>
          <w:rFonts w:cs="Times New Roman"/>
          <w:szCs w:val="24"/>
          <w:lang w:val="fr-CA"/>
        </w:rPr>
        <w:t xml:space="preserve">il a une obligation fiduciaire envers les demandeurs. </w:t>
      </w:r>
    </w:p>
    <w:p w:rsidR="00466E7D" w:rsidRPr="00954404" w:rsidRDefault="00466E7D" w:rsidP="00466E7D">
      <w:pPr>
        <w:pStyle w:val="ParaNoNdepar-AltN"/>
        <w:rPr>
          <w:rStyle w:val="ssl2"/>
          <w:rFonts w:cs="Times New Roman"/>
          <w:szCs w:val="24"/>
          <w:lang w:val="fr-CA"/>
        </w:rPr>
      </w:pPr>
      <w:r w:rsidRPr="00954404">
        <w:rPr>
          <w:rFonts w:cs="Times New Roman"/>
          <w:szCs w:val="24"/>
          <w:lang w:val="fr-CA"/>
        </w:rPr>
        <w:t>Outre ces difficultés, l</w:t>
      </w:r>
      <w:r>
        <w:rPr>
          <w:rFonts w:cs="Times New Roman"/>
          <w:szCs w:val="24"/>
          <w:lang w:val="fr-CA"/>
        </w:rPr>
        <w:t>’</w:t>
      </w:r>
      <w:r w:rsidRPr="00954404">
        <w:rPr>
          <w:rFonts w:cs="Times New Roman"/>
          <w:szCs w:val="24"/>
          <w:lang w:val="fr-CA"/>
        </w:rPr>
        <w:t>intérêt juridique ou l</w:t>
      </w:r>
      <w:r>
        <w:rPr>
          <w:rFonts w:cs="Times New Roman"/>
          <w:szCs w:val="24"/>
          <w:lang w:val="fr-CA"/>
        </w:rPr>
        <w:t>’</w:t>
      </w:r>
      <w:r w:rsidRPr="00954404">
        <w:rPr>
          <w:rFonts w:cs="Times New Roman"/>
          <w:szCs w:val="24"/>
          <w:lang w:val="fr-CA"/>
        </w:rPr>
        <w:t>intérêt pratique essentiel, que les demandeurs décrivent dans les actes de procédures comme étant touché par l</w:t>
      </w:r>
      <w:r>
        <w:rPr>
          <w:rFonts w:cs="Times New Roman"/>
          <w:szCs w:val="24"/>
          <w:lang w:val="fr-CA"/>
        </w:rPr>
        <w:t>’</w:t>
      </w:r>
      <w:r w:rsidRPr="00954404">
        <w:rPr>
          <w:rFonts w:cs="Times New Roman"/>
          <w:szCs w:val="24"/>
          <w:lang w:val="fr-CA"/>
        </w:rPr>
        <w:t>exercice du pouvoir de l</w:t>
      </w:r>
      <w:r>
        <w:rPr>
          <w:rFonts w:cs="Times New Roman"/>
          <w:szCs w:val="24"/>
          <w:lang w:val="fr-CA"/>
        </w:rPr>
        <w:t>’</w:t>
      </w:r>
      <w:r w:rsidRPr="00954404">
        <w:rPr>
          <w:rFonts w:cs="Times New Roman"/>
          <w:szCs w:val="24"/>
          <w:lang w:val="fr-CA"/>
        </w:rPr>
        <w:t>État n</w:t>
      </w:r>
      <w:r>
        <w:rPr>
          <w:rFonts w:cs="Times New Roman"/>
          <w:szCs w:val="24"/>
          <w:lang w:val="fr-CA"/>
        </w:rPr>
        <w:t>’</w:t>
      </w:r>
      <w:r w:rsidRPr="00954404">
        <w:rPr>
          <w:rFonts w:cs="Times New Roman"/>
          <w:szCs w:val="24"/>
          <w:lang w:val="fr-CA"/>
        </w:rPr>
        <w:t>est pas suffisant pour faire naître une obligation fiduciaire.  Les allégations portent sur le droit à des soins de longue durée et sur le droit d</w:t>
      </w:r>
      <w:r>
        <w:rPr>
          <w:rFonts w:cs="Times New Roman"/>
          <w:szCs w:val="24"/>
          <w:lang w:val="fr-CA"/>
        </w:rPr>
        <w:t>’</w:t>
      </w:r>
      <w:r w:rsidRPr="00954404">
        <w:rPr>
          <w:rFonts w:cs="Times New Roman"/>
          <w:szCs w:val="24"/>
          <w:lang w:val="fr-CA"/>
        </w:rPr>
        <w:t>être facturé à un prix raisonnable pour recevoir des soins.  Le droit aux soins de longue durée découle exclusivement des textes législatifs, et nul ne conteste que l</w:t>
      </w:r>
      <w:r>
        <w:rPr>
          <w:rFonts w:cs="Times New Roman"/>
          <w:szCs w:val="24"/>
          <w:lang w:val="fr-CA"/>
        </w:rPr>
        <w:t>’</w:t>
      </w:r>
      <w:r w:rsidRPr="00954404">
        <w:rPr>
          <w:rFonts w:cs="Times New Roman"/>
          <w:szCs w:val="24"/>
          <w:lang w:val="fr-CA"/>
        </w:rPr>
        <w:t>Alberta continue de prodiguer ces soins.  À la base, les demandeurs allèguent qu</w:t>
      </w:r>
      <w:r>
        <w:rPr>
          <w:rFonts w:cs="Times New Roman"/>
          <w:szCs w:val="24"/>
          <w:lang w:val="fr-CA"/>
        </w:rPr>
        <w:t>’</w:t>
      </w:r>
      <w:r w:rsidRPr="00954404">
        <w:rPr>
          <w:rFonts w:cs="Times New Roman"/>
          <w:szCs w:val="24"/>
          <w:lang w:val="fr-CA"/>
        </w:rPr>
        <w:t>ils paient un montant supérieur aux frais de repas et d</w:t>
      </w:r>
      <w:r>
        <w:rPr>
          <w:rFonts w:cs="Times New Roman"/>
          <w:szCs w:val="24"/>
          <w:lang w:val="fr-CA"/>
        </w:rPr>
        <w:t>’</w:t>
      </w:r>
      <w:r w:rsidRPr="00954404">
        <w:rPr>
          <w:rFonts w:cs="Times New Roman"/>
          <w:szCs w:val="24"/>
          <w:lang w:val="fr-CA"/>
        </w:rPr>
        <w:t xml:space="preserve">hébergement, de sorte que la </w:t>
      </w:r>
      <w:r w:rsidRPr="00954404">
        <w:rPr>
          <w:rFonts w:cs="Times New Roman"/>
          <w:szCs w:val="24"/>
          <w:lang w:val="fr-CA"/>
        </w:rPr>
        <w:lastRenderedPageBreak/>
        <w:t>province compense son obligation de payer les frais médicaux et empoche ainsi de l</w:t>
      </w:r>
      <w:r>
        <w:rPr>
          <w:rFonts w:cs="Times New Roman"/>
          <w:szCs w:val="24"/>
          <w:lang w:val="fr-CA"/>
        </w:rPr>
        <w:t>’</w:t>
      </w:r>
      <w:r w:rsidRPr="00954404">
        <w:rPr>
          <w:rFonts w:cs="Times New Roman"/>
          <w:szCs w:val="24"/>
          <w:lang w:val="fr-CA"/>
        </w:rPr>
        <w:t>argent auquel elle n</w:t>
      </w:r>
      <w:r>
        <w:rPr>
          <w:rFonts w:cs="Times New Roman"/>
          <w:szCs w:val="24"/>
          <w:lang w:val="fr-CA"/>
        </w:rPr>
        <w:t>’</w:t>
      </w:r>
      <w:r w:rsidRPr="00954404">
        <w:rPr>
          <w:rFonts w:cs="Times New Roman"/>
          <w:szCs w:val="24"/>
          <w:lang w:val="fr-CA"/>
        </w:rPr>
        <w:t>a pas droit.  La situation n</w:t>
      </w:r>
      <w:r>
        <w:rPr>
          <w:rFonts w:cs="Times New Roman"/>
          <w:szCs w:val="24"/>
          <w:lang w:val="fr-CA"/>
        </w:rPr>
        <w:t>’</w:t>
      </w:r>
      <w:r w:rsidRPr="00954404">
        <w:rPr>
          <w:rFonts w:cs="Times New Roman"/>
          <w:szCs w:val="24"/>
          <w:lang w:val="fr-CA"/>
        </w:rPr>
        <w:t xml:space="preserve">est pas différente de celle dans </w:t>
      </w:r>
      <w:r w:rsidRPr="00954404">
        <w:rPr>
          <w:rFonts w:cs="Times New Roman"/>
          <w:i/>
          <w:szCs w:val="24"/>
          <w:lang w:val="fr-CA"/>
        </w:rPr>
        <w:t>Gorecki c. Canada (Attorney General)</w:t>
      </w:r>
      <w:r w:rsidRPr="00954404">
        <w:rPr>
          <w:rFonts w:cs="Times New Roman"/>
          <w:szCs w:val="24"/>
          <w:lang w:val="fr-CA"/>
        </w:rPr>
        <w:t xml:space="preserve"> (2006), </w:t>
      </w:r>
      <w:r w:rsidRPr="00954404">
        <w:rPr>
          <w:rStyle w:val="ssl2"/>
          <w:rFonts w:cs="Times New Roman"/>
          <w:szCs w:val="24"/>
          <w:lang w:val="fr-CA"/>
        </w:rPr>
        <w:t>208 O.A.C. 368, où le juge Sharpe s</w:t>
      </w:r>
      <w:r>
        <w:rPr>
          <w:rStyle w:val="ssl2"/>
          <w:rFonts w:cs="Times New Roman"/>
          <w:szCs w:val="24"/>
          <w:lang w:val="fr-CA"/>
        </w:rPr>
        <w:t>’</w:t>
      </w:r>
      <w:r w:rsidRPr="00954404">
        <w:rPr>
          <w:rStyle w:val="ssl2"/>
          <w:rFonts w:cs="Times New Roman"/>
          <w:szCs w:val="24"/>
          <w:lang w:val="fr-CA"/>
        </w:rPr>
        <w:t xml:space="preserve">est exprimé ainsi au </w:t>
      </w:r>
      <w:r>
        <w:rPr>
          <w:rStyle w:val="ssl2"/>
          <w:rFonts w:cs="Times New Roman"/>
          <w:szCs w:val="24"/>
          <w:lang w:val="fr-CA"/>
        </w:rPr>
        <w:t>par. </w:t>
      </w:r>
      <w:r w:rsidRPr="00954404">
        <w:rPr>
          <w:rStyle w:val="ssl2"/>
          <w:rFonts w:cs="Times New Roman"/>
          <w:szCs w:val="24"/>
          <w:lang w:val="fr-CA"/>
        </w:rPr>
        <w:t>6</w:t>
      </w:r>
      <w:r>
        <w:rPr>
          <w:rStyle w:val="ssl2"/>
          <w:rFonts w:cs="Times New Roman"/>
          <w:szCs w:val="24"/>
          <w:lang w:val="fr-CA"/>
        </w:rPr>
        <w:t> :</w:t>
      </w:r>
    </w:p>
    <w:p w:rsidR="00466E7D" w:rsidRPr="00954404" w:rsidRDefault="00466E7D" w:rsidP="00E9060A">
      <w:pPr>
        <w:pStyle w:val="Citation-AltC"/>
        <w:tabs>
          <w:tab w:val="left" w:pos="1620"/>
        </w:tabs>
        <w:ind w:hanging="1166"/>
        <w:contextualSpacing w:val="0"/>
        <w:rPr>
          <w:rStyle w:val="ssl2"/>
          <w:szCs w:val="24"/>
          <w:lang w:val="fr-CA"/>
        </w:rPr>
      </w:pPr>
      <w:bookmarkStart w:id="1" w:name="PNUM_6"/>
      <w:r w:rsidRPr="00954404">
        <w:rPr>
          <w:rStyle w:val="bold"/>
          <w:szCs w:val="24"/>
          <w:lang w:val="fr-CA"/>
        </w:rPr>
        <w:tab/>
      </w:r>
      <w:r w:rsidR="00E9060A">
        <w:rPr>
          <w:rStyle w:val="bold"/>
          <w:szCs w:val="24"/>
          <w:lang w:val="fr-CA"/>
        </w:rPr>
        <w:tab/>
      </w:r>
      <w:r w:rsidRPr="00954404">
        <w:rPr>
          <w:rStyle w:val="bold"/>
          <w:szCs w:val="24"/>
          <w:lang w:val="fr-CA"/>
        </w:rPr>
        <w:t>[</w:t>
      </w:r>
      <w:r w:rsidRPr="00954404">
        <w:rPr>
          <w:rStyle w:val="bold"/>
          <w:smallCaps/>
          <w:szCs w:val="24"/>
          <w:lang w:val="fr-CA"/>
        </w:rPr>
        <w:t>traduction</w:t>
      </w:r>
      <w:r w:rsidRPr="00954404">
        <w:rPr>
          <w:rStyle w:val="bold"/>
          <w:szCs w:val="24"/>
          <w:lang w:val="fr-CA"/>
        </w:rPr>
        <w:t xml:space="preserve">] </w:t>
      </w:r>
      <w:bookmarkEnd w:id="1"/>
      <w:r w:rsidRPr="00954404">
        <w:rPr>
          <w:rStyle w:val="bold"/>
          <w:szCs w:val="24"/>
          <w:lang w:val="fr-CA"/>
        </w:rPr>
        <w:t xml:space="preserve"> Je </w:t>
      </w:r>
      <w:r w:rsidRPr="00954404">
        <w:rPr>
          <w:szCs w:val="24"/>
          <w:lang w:val="fr-CA"/>
        </w:rPr>
        <w:t>conviens</w:t>
      </w:r>
      <w:r w:rsidRPr="00954404">
        <w:rPr>
          <w:rStyle w:val="bold"/>
          <w:szCs w:val="24"/>
          <w:lang w:val="fr-CA"/>
        </w:rPr>
        <w:t xml:space="preserve"> avec le juge des requêtes qu</w:t>
      </w:r>
      <w:r>
        <w:rPr>
          <w:rStyle w:val="bold"/>
          <w:szCs w:val="24"/>
          <w:lang w:val="fr-CA"/>
        </w:rPr>
        <w:t>’</w:t>
      </w:r>
      <w:r w:rsidRPr="00954404">
        <w:rPr>
          <w:rStyle w:val="bold"/>
          <w:szCs w:val="24"/>
          <w:lang w:val="fr-CA"/>
        </w:rPr>
        <w:t>il est évident et manifeste que l</w:t>
      </w:r>
      <w:r>
        <w:rPr>
          <w:rStyle w:val="bold"/>
          <w:szCs w:val="24"/>
          <w:lang w:val="fr-CA"/>
        </w:rPr>
        <w:t>’</w:t>
      </w:r>
      <w:r w:rsidRPr="00954404">
        <w:rPr>
          <w:rStyle w:val="bold"/>
          <w:szCs w:val="24"/>
          <w:lang w:val="fr-CA"/>
        </w:rPr>
        <w:t>a</w:t>
      </w:r>
      <w:r w:rsidRPr="00954404">
        <w:rPr>
          <w:szCs w:val="24"/>
          <w:lang w:val="fr-CA"/>
        </w:rPr>
        <w:t>ction ne peut être accueillie sur le fondement des allégations de manquement à une obligation fiduciaire.  La relation entre l</w:t>
      </w:r>
      <w:r>
        <w:rPr>
          <w:szCs w:val="24"/>
          <w:lang w:val="fr-CA"/>
        </w:rPr>
        <w:t>’</w:t>
      </w:r>
      <w:r w:rsidRPr="00954404">
        <w:rPr>
          <w:szCs w:val="24"/>
          <w:lang w:val="fr-CA"/>
        </w:rPr>
        <w:t>État et l</w:t>
      </w:r>
      <w:r>
        <w:rPr>
          <w:szCs w:val="24"/>
          <w:lang w:val="fr-CA"/>
        </w:rPr>
        <w:t>’</w:t>
      </w:r>
      <w:r w:rsidRPr="00954404">
        <w:rPr>
          <w:szCs w:val="24"/>
          <w:lang w:val="fr-CA"/>
        </w:rPr>
        <w:t>appelant découle entièrement des modalités du [Régime de pension du Canada], et la définition de cette relation prévue dans ses dispositions ne contient aucune caractéristique d</w:t>
      </w:r>
      <w:r>
        <w:rPr>
          <w:szCs w:val="24"/>
          <w:lang w:val="fr-CA"/>
        </w:rPr>
        <w:t>’</w:t>
      </w:r>
      <w:r w:rsidRPr="00954404">
        <w:rPr>
          <w:szCs w:val="24"/>
          <w:lang w:val="fr-CA"/>
        </w:rPr>
        <w:t>une obligation fiduciaire.  Le RPC ne confère à l</w:t>
      </w:r>
      <w:r>
        <w:rPr>
          <w:szCs w:val="24"/>
          <w:lang w:val="fr-CA"/>
        </w:rPr>
        <w:t>’</w:t>
      </w:r>
      <w:r w:rsidRPr="00954404">
        <w:rPr>
          <w:szCs w:val="24"/>
          <w:lang w:val="fr-CA"/>
        </w:rPr>
        <w:t>État aucun pouvoir discrétionnaire d</w:t>
      </w:r>
      <w:r>
        <w:rPr>
          <w:szCs w:val="24"/>
          <w:lang w:val="fr-CA"/>
        </w:rPr>
        <w:t>’</w:t>
      </w:r>
      <w:r w:rsidRPr="00954404">
        <w:rPr>
          <w:szCs w:val="24"/>
          <w:lang w:val="fr-CA"/>
        </w:rPr>
        <w:t>agir dans l</w:t>
      </w:r>
      <w:r>
        <w:rPr>
          <w:szCs w:val="24"/>
          <w:lang w:val="fr-CA"/>
        </w:rPr>
        <w:t>’</w:t>
      </w:r>
      <w:r w:rsidRPr="00954404">
        <w:rPr>
          <w:szCs w:val="24"/>
          <w:lang w:val="fr-CA"/>
        </w:rPr>
        <w:t>intérêt de l</w:t>
      </w:r>
      <w:r>
        <w:rPr>
          <w:szCs w:val="24"/>
          <w:lang w:val="fr-CA"/>
        </w:rPr>
        <w:t>’</w:t>
      </w:r>
      <w:r w:rsidRPr="00954404">
        <w:rPr>
          <w:szCs w:val="24"/>
          <w:lang w:val="fr-CA"/>
        </w:rPr>
        <w:t>appelant.  L</w:t>
      </w:r>
      <w:r>
        <w:rPr>
          <w:szCs w:val="24"/>
          <w:lang w:val="fr-CA"/>
        </w:rPr>
        <w:t>’</w:t>
      </w:r>
      <w:r w:rsidRPr="00954404">
        <w:rPr>
          <w:szCs w:val="24"/>
          <w:lang w:val="fr-CA"/>
        </w:rPr>
        <w:t>État ne s</w:t>
      </w:r>
      <w:r>
        <w:rPr>
          <w:szCs w:val="24"/>
          <w:lang w:val="fr-CA"/>
        </w:rPr>
        <w:t>’</w:t>
      </w:r>
      <w:r w:rsidRPr="00954404">
        <w:rPr>
          <w:szCs w:val="24"/>
          <w:lang w:val="fr-CA"/>
        </w:rPr>
        <w:t>engage pas à gérer les fonds du RPC dans l</w:t>
      </w:r>
      <w:r>
        <w:rPr>
          <w:szCs w:val="24"/>
          <w:lang w:val="fr-CA"/>
        </w:rPr>
        <w:t>’</w:t>
      </w:r>
      <w:r w:rsidRPr="00954404">
        <w:rPr>
          <w:szCs w:val="24"/>
          <w:lang w:val="fr-CA"/>
        </w:rPr>
        <w:t>intérêt de l</w:t>
      </w:r>
      <w:r>
        <w:rPr>
          <w:szCs w:val="24"/>
          <w:lang w:val="fr-CA"/>
        </w:rPr>
        <w:t>’</w:t>
      </w:r>
      <w:r w:rsidRPr="00954404">
        <w:rPr>
          <w:szCs w:val="24"/>
          <w:lang w:val="fr-CA"/>
        </w:rPr>
        <w:t>appelant.  La seule obligation que le RPC impose à l</w:t>
      </w:r>
      <w:r>
        <w:rPr>
          <w:szCs w:val="24"/>
          <w:lang w:val="fr-CA"/>
        </w:rPr>
        <w:t>’</w:t>
      </w:r>
      <w:r w:rsidRPr="00954404">
        <w:rPr>
          <w:szCs w:val="24"/>
          <w:lang w:val="fr-CA"/>
        </w:rPr>
        <w:t>État ou que l</w:t>
      </w:r>
      <w:r>
        <w:rPr>
          <w:szCs w:val="24"/>
          <w:lang w:val="fr-CA"/>
        </w:rPr>
        <w:t>’</w:t>
      </w:r>
      <w:r w:rsidRPr="00954404">
        <w:rPr>
          <w:szCs w:val="24"/>
          <w:lang w:val="fr-CA"/>
        </w:rPr>
        <w:t>État assume est l</w:t>
      </w:r>
      <w:r>
        <w:rPr>
          <w:szCs w:val="24"/>
          <w:lang w:val="fr-CA"/>
        </w:rPr>
        <w:t>’</w:t>
      </w:r>
      <w:r w:rsidRPr="00954404">
        <w:rPr>
          <w:szCs w:val="24"/>
          <w:lang w:val="fr-CA"/>
        </w:rPr>
        <w:t>obligation de droit public de respecter les modalités du RPC.  Cette obligation ne peut être à l</w:t>
      </w:r>
      <w:r>
        <w:rPr>
          <w:szCs w:val="24"/>
          <w:lang w:val="fr-CA"/>
        </w:rPr>
        <w:t>’</w:t>
      </w:r>
      <w:r w:rsidRPr="00954404">
        <w:rPr>
          <w:szCs w:val="24"/>
          <w:lang w:val="fr-CA"/>
        </w:rPr>
        <w:t>origine d</w:t>
      </w:r>
      <w:r>
        <w:rPr>
          <w:szCs w:val="24"/>
          <w:lang w:val="fr-CA"/>
        </w:rPr>
        <w:t>’</w:t>
      </w:r>
      <w:r w:rsidRPr="00954404">
        <w:rPr>
          <w:szCs w:val="24"/>
          <w:lang w:val="fr-CA"/>
        </w:rPr>
        <w:t>une obligation fiduciaire envers l</w:t>
      </w:r>
      <w:r>
        <w:rPr>
          <w:szCs w:val="24"/>
          <w:lang w:val="fr-CA"/>
        </w:rPr>
        <w:t>’</w:t>
      </w:r>
      <w:r w:rsidRPr="00954404">
        <w:rPr>
          <w:szCs w:val="24"/>
          <w:lang w:val="fr-CA"/>
        </w:rPr>
        <w:t>appelant.</w:t>
      </w:r>
    </w:p>
    <w:p w:rsidR="00466E7D" w:rsidRPr="00954404" w:rsidRDefault="00466E7D" w:rsidP="00466E7D">
      <w:pPr>
        <w:pStyle w:val="ParaNoNdepar-AltN"/>
        <w:rPr>
          <w:rFonts w:cs="Times New Roman"/>
          <w:szCs w:val="24"/>
          <w:lang w:val="fr-CA"/>
        </w:rPr>
      </w:pPr>
      <w:r w:rsidRPr="00954404">
        <w:rPr>
          <w:rFonts w:cs="Times New Roman"/>
          <w:szCs w:val="24"/>
          <w:lang w:val="fr-CA"/>
        </w:rPr>
        <w:t>Enfin, je souligne que l</w:t>
      </w:r>
      <w:r>
        <w:rPr>
          <w:rFonts w:cs="Times New Roman"/>
          <w:szCs w:val="24"/>
          <w:lang w:val="fr-CA"/>
        </w:rPr>
        <w:t>’</w:t>
      </w:r>
      <w:r w:rsidRPr="00954404">
        <w:rPr>
          <w:rFonts w:cs="Times New Roman"/>
          <w:szCs w:val="24"/>
          <w:lang w:val="fr-CA"/>
        </w:rPr>
        <w:t xml:space="preserve">obligation fiduciaire précise que les demandeurs cherchent à établir se rapporte principalement à la </w:t>
      </w:r>
      <w:r w:rsidRPr="00954404">
        <w:rPr>
          <w:rFonts w:cs="Times New Roman"/>
          <w:i/>
          <w:szCs w:val="24"/>
          <w:lang w:val="fr-CA"/>
        </w:rPr>
        <w:t>fixation</w:t>
      </w:r>
      <w:r w:rsidRPr="00954404">
        <w:rPr>
          <w:rFonts w:cs="Times New Roman"/>
          <w:szCs w:val="24"/>
          <w:lang w:val="fr-CA"/>
        </w:rPr>
        <w:t xml:space="preserve"> par règlement des frais d</w:t>
      </w:r>
      <w:r>
        <w:rPr>
          <w:rFonts w:cs="Times New Roman"/>
          <w:szCs w:val="24"/>
          <w:lang w:val="fr-CA"/>
        </w:rPr>
        <w:t>’</w:t>
      </w:r>
      <w:r w:rsidRPr="00954404">
        <w:rPr>
          <w:rFonts w:cs="Times New Roman"/>
          <w:szCs w:val="24"/>
          <w:lang w:val="fr-CA"/>
        </w:rPr>
        <w:t>hébergement.  Il s</w:t>
      </w:r>
      <w:r>
        <w:rPr>
          <w:rFonts w:cs="Times New Roman"/>
          <w:szCs w:val="24"/>
          <w:lang w:val="fr-CA"/>
        </w:rPr>
        <w:t>’</w:t>
      </w:r>
      <w:r w:rsidRPr="00954404">
        <w:rPr>
          <w:rFonts w:cs="Times New Roman"/>
          <w:szCs w:val="24"/>
          <w:lang w:val="fr-CA"/>
        </w:rPr>
        <w:t>agit d</w:t>
      </w:r>
      <w:r>
        <w:rPr>
          <w:rFonts w:cs="Times New Roman"/>
          <w:szCs w:val="24"/>
          <w:lang w:val="fr-CA"/>
        </w:rPr>
        <w:t>’</w:t>
      </w:r>
      <w:r w:rsidRPr="00954404">
        <w:rPr>
          <w:rFonts w:cs="Times New Roman"/>
          <w:szCs w:val="24"/>
          <w:lang w:val="fr-CA"/>
        </w:rPr>
        <w:t xml:space="preserve">une fonction </w:t>
      </w:r>
      <w:r w:rsidRPr="00954404">
        <w:rPr>
          <w:rFonts w:cs="Times New Roman"/>
          <w:i/>
          <w:szCs w:val="24"/>
          <w:lang w:val="fr-CA"/>
        </w:rPr>
        <w:t>législative</w:t>
      </w:r>
      <w:r w:rsidRPr="00954404">
        <w:rPr>
          <w:rFonts w:cs="Times New Roman"/>
          <w:szCs w:val="24"/>
          <w:lang w:val="fr-CA"/>
        </w:rPr>
        <w:t xml:space="preserve"> du gouvernement.  Lorsque le gouvernement agit dans l</w:t>
      </w:r>
      <w:r>
        <w:rPr>
          <w:rFonts w:cs="Times New Roman"/>
          <w:szCs w:val="24"/>
          <w:lang w:val="fr-CA"/>
        </w:rPr>
        <w:t>’</w:t>
      </w:r>
      <w:r w:rsidRPr="00954404">
        <w:rPr>
          <w:rFonts w:cs="Times New Roman"/>
          <w:szCs w:val="24"/>
          <w:lang w:val="fr-CA"/>
        </w:rPr>
        <w:t>exercice de ses fonctions législatives, les tribunaux ont systématiquement conclu que cela ne donne lieu à aucune obligation fiduciaire</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Guerin</w:t>
      </w:r>
      <w:r w:rsidRPr="00954404">
        <w:rPr>
          <w:rFonts w:cs="Times New Roman"/>
          <w:szCs w:val="24"/>
          <w:lang w:val="fr-CA"/>
        </w:rPr>
        <w:t xml:space="preserve">, </w:t>
      </w:r>
      <w:r>
        <w:rPr>
          <w:rFonts w:cs="Times New Roman"/>
          <w:szCs w:val="24"/>
          <w:lang w:val="fr-CA"/>
        </w:rPr>
        <w:t>p. </w:t>
      </w:r>
      <w:r w:rsidRPr="00954404">
        <w:rPr>
          <w:rFonts w:cs="Times New Roman"/>
          <w:szCs w:val="24"/>
          <w:lang w:val="fr-CA"/>
        </w:rPr>
        <w:t xml:space="preserve">385; </w:t>
      </w:r>
      <w:r w:rsidRPr="00954404">
        <w:rPr>
          <w:rFonts w:cs="Times New Roman"/>
          <w:i/>
          <w:szCs w:val="24"/>
          <w:lang w:val="fr-CA"/>
        </w:rPr>
        <w:t>Wewaykum</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74.  Les décisions quant à la façon de financer et de mettre en œuvre des services de soins de santé assurés exigent le maintien constant de l</w:t>
      </w:r>
      <w:r>
        <w:rPr>
          <w:rFonts w:cs="Times New Roman"/>
          <w:szCs w:val="24"/>
          <w:lang w:val="fr-CA"/>
        </w:rPr>
        <w:t>’</w:t>
      </w:r>
      <w:r w:rsidRPr="00954404">
        <w:rPr>
          <w:rFonts w:cs="Times New Roman"/>
          <w:szCs w:val="24"/>
          <w:lang w:val="fr-CA"/>
        </w:rPr>
        <w:t>équilibre des intérêts opposés des différentes parties de la population, puisque tous ont droit aux soins de santé.  L</w:t>
      </w:r>
      <w:r>
        <w:rPr>
          <w:rFonts w:cs="Times New Roman"/>
          <w:szCs w:val="24"/>
          <w:lang w:val="fr-CA"/>
        </w:rPr>
        <w:t>’</w:t>
      </w:r>
      <w:r w:rsidRPr="00954404">
        <w:rPr>
          <w:rFonts w:cs="Times New Roman"/>
          <w:szCs w:val="24"/>
          <w:lang w:val="fr-CA"/>
        </w:rPr>
        <w:t>État ne serait pas en mesure de remplir ses obligations envers l</w:t>
      </w:r>
      <w:r>
        <w:rPr>
          <w:rFonts w:cs="Times New Roman"/>
          <w:szCs w:val="24"/>
          <w:lang w:val="fr-CA"/>
        </w:rPr>
        <w:t>’</w:t>
      </w:r>
      <w:r w:rsidRPr="00954404">
        <w:rPr>
          <w:rFonts w:cs="Times New Roman"/>
          <w:szCs w:val="24"/>
          <w:lang w:val="fr-CA"/>
        </w:rPr>
        <w:t xml:space="preserve">ensemble de la population si nous devions lui imposer une norme de </w:t>
      </w:r>
      <w:r w:rsidRPr="00954404">
        <w:rPr>
          <w:rFonts w:cs="Times New Roman"/>
          <w:szCs w:val="24"/>
          <w:lang w:val="fr-CA"/>
        </w:rPr>
        <w:lastRenderedPageBreak/>
        <w:t>conduite de nature fiduciaire envers un seul groupe parmi tant d</w:t>
      </w:r>
      <w:r>
        <w:rPr>
          <w:rFonts w:cs="Times New Roman"/>
          <w:szCs w:val="24"/>
          <w:lang w:val="fr-CA"/>
        </w:rPr>
        <w:t>’</w:t>
      </w:r>
      <w:r w:rsidRPr="00954404">
        <w:rPr>
          <w:rFonts w:cs="Times New Roman"/>
          <w:szCs w:val="24"/>
          <w:lang w:val="fr-CA"/>
        </w:rPr>
        <w:t>autres.  Cet aspect de la demande est voué à l</w:t>
      </w:r>
      <w:r>
        <w:rPr>
          <w:rFonts w:cs="Times New Roman"/>
          <w:szCs w:val="24"/>
          <w:lang w:val="fr-CA"/>
        </w:rPr>
        <w:t>’</w:t>
      </w:r>
      <w:r w:rsidRPr="00954404">
        <w:rPr>
          <w:rFonts w:cs="Times New Roman"/>
          <w:szCs w:val="24"/>
          <w:lang w:val="fr-CA"/>
        </w:rPr>
        <w:t>échec.</w:t>
      </w:r>
    </w:p>
    <w:p w:rsidR="00466E7D" w:rsidRPr="00954404" w:rsidRDefault="00466E7D" w:rsidP="00466E7D">
      <w:pPr>
        <w:pStyle w:val="ParaNoNdepar-AltN"/>
        <w:rPr>
          <w:rFonts w:cs="Times New Roman"/>
          <w:szCs w:val="24"/>
          <w:lang w:val="fr-CA"/>
        </w:rPr>
      </w:pPr>
      <w:r w:rsidRPr="00954404">
        <w:rPr>
          <w:rFonts w:cs="Times New Roman"/>
          <w:szCs w:val="24"/>
          <w:lang w:val="fr-CA"/>
        </w:rPr>
        <w:t>À mon avis, les faits tels qu</w:t>
      </w:r>
      <w:r>
        <w:rPr>
          <w:rFonts w:cs="Times New Roman"/>
          <w:szCs w:val="24"/>
          <w:lang w:val="fr-CA"/>
        </w:rPr>
        <w:t>’</w:t>
      </w:r>
      <w:r w:rsidRPr="00954404">
        <w:rPr>
          <w:rFonts w:cs="Times New Roman"/>
          <w:szCs w:val="24"/>
          <w:lang w:val="fr-CA"/>
        </w:rPr>
        <w:t>ils sont invoqués, et qui sont tenus pour avérés pour les besoins de la requête en cause, n</w:t>
      </w:r>
      <w:r>
        <w:rPr>
          <w:rFonts w:cs="Times New Roman"/>
          <w:szCs w:val="24"/>
          <w:lang w:val="fr-CA"/>
        </w:rPr>
        <w:t>’</w:t>
      </w:r>
      <w:r w:rsidRPr="00954404">
        <w:rPr>
          <w:rFonts w:cs="Times New Roman"/>
          <w:szCs w:val="24"/>
          <w:lang w:val="fr-CA"/>
        </w:rPr>
        <w:t>établissent pas une obligation fiduciaire de l</w:t>
      </w:r>
      <w:r>
        <w:rPr>
          <w:rFonts w:cs="Times New Roman"/>
          <w:szCs w:val="24"/>
          <w:lang w:val="fr-CA"/>
        </w:rPr>
        <w:t>’</w:t>
      </w:r>
      <w:r w:rsidRPr="00954404">
        <w:rPr>
          <w:rFonts w:cs="Times New Roman"/>
          <w:szCs w:val="24"/>
          <w:lang w:val="fr-CA"/>
        </w:rPr>
        <w:t>État.  Par conséquent, je suis d</w:t>
      </w:r>
      <w:r>
        <w:rPr>
          <w:rFonts w:cs="Times New Roman"/>
          <w:szCs w:val="24"/>
          <w:lang w:val="fr-CA"/>
        </w:rPr>
        <w:t>’</w:t>
      </w:r>
      <w:r w:rsidRPr="00954404">
        <w:rPr>
          <w:rFonts w:cs="Times New Roman"/>
          <w:szCs w:val="24"/>
          <w:lang w:val="fr-CA"/>
        </w:rPr>
        <w:t>avis de radier l</w:t>
      </w:r>
      <w:r>
        <w:rPr>
          <w:rFonts w:cs="Times New Roman"/>
          <w:szCs w:val="24"/>
          <w:lang w:val="fr-CA"/>
        </w:rPr>
        <w:t>’</w:t>
      </w:r>
      <w:r w:rsidRPr="00954404">
        <w:rPr>
          <w:rFonts w:cs="Times New Roman"/>
          <w:szCs w:val="24"/>
          <w:lang w:val="fr-CA"/>
        </w:rPr>
        <w:t>allégation de manquement à une obligation fiduciaire.</w:t>
      </w:r>
    </w:p>
    <w:p w:rsidR="00466E7D" w:rsidRPr="00954404" w:rsidRDefault="00466E7D" w:rsidP="00466E7D">
      <w:pPr>
        <w:pStyle w:val="TitleTitre-AltT"/>
        <w:keepNext/>
        <w:spacing w:after="720"/>
        <w:rPr>
          <w:rFonts w:cs="Times New Roman"/>
          <w:szCs w:val="24"/>
          <w:lang w:val="fr-CA"/>
        </w:rPr>
      </w:pPr>
      <w:r w:rsidRPr="00954404">
        <w:rPr>
          <w:rFonts w:cs="Times New Roman"/>
          <w:szCs w:val="24"/>
          <w:lang w:val="fr-CA"/>
        </w:rPr>
        <w:t>B.</w:t>
      </w:r>
      <w:r w:rsidRPr="00954404">
        <w:rPr>
          <w:rFonts w:cs="Times New Roman"/>
          <w:szCs w:val="24"/>
          <w:lang w:val="fr-CA"/>
        </w:rPr>
        <w:tab/>
      </w:r>
      <w:r w:rsidRPr="00954404">
        <w:rPr>
          <w:rFonts w:cs="Times New Roman"/>
          <w:i/>
          <w:szCs w:val="24"/>
          <w:lang w:val="fr-CA"/>
        </w:rPr>
        <w:t>L</w:t>
      </w:r>
      <w:r>
        <w:rPr>
          <w:rFonts w:cs="Times New Roman"/>
          <w:i/>
          <w:szCs w:val="24"/>
          <w:lang w:val="fr-CA"/>
        </w:rPr>
        <w:t>’</w:t>
      </w:r>
      <w:r w:rsidRPr="00954404">
        <w:rPr>
          <w:rFonts w:cs="Times New Roman"/>
          <w:i/>
          <w:szCs w:val="24"/>
          <w:lang w:val="fr-CA"/>
        </w:rPr>
        <w:t>allégation de négligence</w:t>
      </w:r>
    </w:p>
    <w:p w:rsidR="00466E7D" w:rsidRPr="00954404" w:rsidRDefault="00466E7D" w:rsidP="00466E7D">
      <w:pPr>
        <w:pStyle w:val="ParaNoNdepar-AltN"/>
        <w:rPr>
          <w:rFonts w:cs="Times New Roman"/>
          <w:szCs w:val="24"/>
          <w:lang w:val="fr-CA"/>
        </w:rPr>
      </w:pPr>
      <w:r w:rsidRPr="00954404">
        <w:rPr>
          <w:rFonts w:cs="Times New Roman"/>
          <w:szCs w:val="24"/>
          <w:lang w:val="fr-CA"/>
        </w:rPr>
        <w:t>Le groupe de demandeurs plaide que l</w:t>
      </w:r>
      <w:r>
        <w:rPr>
          <w:rFonts w:cs="Times New Roman"/>
          <w:szCs w:val="24"/>
          <w:lang w:val="fr-CA"/>
        </w:rPr>
        <w:t>’</w:t>
      </w:r>
      <w:r w:rsidRPr="00954404">
        <w:rPr>
          <w:rFonts w:cs="Times New Roman"/>
          <w:szCs w:val="24"/>
          <w:lang w:val="fr-CA"/>
        </w:rPr>
        <w:t>Alberta a manqué à son obligation envers les membres du groupe d</w:t>
      </w:r>
      <w:r>
        <w:rPr>
          <w:rFonts w:cs="Times New Roman"/>
          <w:szCs w:val="24"/>
          <w:lang w:val="fr-CA"/>
        </w:rPr>
        <w:t>’</w:t>
      </w:r>
      <w:r w:rsidRPr="00954404">
        <w:rPr>
          <w:rFonts w:cs="Times New Roman"/>
          <w:szCs w:val="24"/>
          <w:lang w:val="fr-CA"/>
        </w:rPr>
        <w:t>agir avec la diligence requise, c</w:t>
      </w:r>
      <w:r>
        <w:rPr>
          <w:rFonts w:cs="Times New Roman"/>
          <w:szCs w:val="24"/>
          <w:lang w:val="fr-CA"/>
        </w:rPr>
        <w:t>’</w:t>
      </w:r>
      <w:r w:rsidR="00E9060A">
        <w:rPr>
          <w:rFonts w:cs="Times New Roman"/>
          <w:szCs w:val="24"/>
          <w:lang w:val="fr-CA"/>
        </w:rPr>
        <w:t>est</w:t>
      </w:r>
      <w:r w:rsidR="00E9060A">
        <w:rPr>
          <w:rFonts w:cs="Times New Roman"/>
          <w:szCs w:val="24"/>
          <w:lang w:val="fr-CA"/>
        </w:rPr>
        <w:noBreakHyphen/>
      </w:r>
      <w:r w:rsidRPr="00954404">
        <w:rPr>
          <w:rFonts w:cs="Times New Roman"/>
          <w:szCs w:val="24"/>
          <w:lang w:val="fr-CA"/>
        </w:rPr>
        <w:t>à</w:t>
      </w:r>
      <w:r w:rsidR="00E9060A">
        <w:rPr>
          <w:rFonts w:cs="Times New Roman"/>
          <w:szCs w:val="24"/>
          <w:lang w:val="fr-CA"/>
        </w:rPr>
        <w:noBreakHyphen/>
      </w:r>
      <w:r w:rsidRPr="00954404">
        <w:rPr>
          <w:rFonts w:cs="Times New Roman"/>
          <w:szCs w:val="24"/>
          <w:lang w:val="fr-CA"/>
        </w:rPr>
        <w:t>dire sans négligence.  Il allègue ce qui suit</w:t>
      </w:r>
      <w:r>
        <w:rPr>
          <w:rFonts w:cs="Times New Roman"/>
          <w:szCs w:val="24"/>
          <w:lang w:val="fr-CA"/>
        </w:rPr>
        <w:t> :</w:t>
      </w:r>
    </w:p>
    <w:p w:rsidR="00466E7D" w:rsidRPr="00954404" w:rsidRDefault="00466E7D" w:rsidP="00466E7D">
      <w:pPr>
        <w:pStyle w:val="Citation-AltC"/>
        <w:ind w:hanging="1166"/>
        <w:contextualSpacing w:val="0"/>
        <w:rPr>
          <w:rStyle w:val="ssl2"/>
          <w:szCs w:val="24"/>
          <w:lang w:val="fr-CA"/>
        </w:rPr>
      </w:pPr>
      <w:r w:rsidRPr="00954404">
        <w:rPr>
          <w:rStyle w:val="ssl2"/>
          <w:szCs w:val="24"/>
          <w:lang w:val="fr-CA"/>
        </w:rPr>
        <w:tab/>
        <w:t>[</w:t>
      </w:r>
      <w:r w:rsidRPr="00E9060A">
        <w:rPr>
          <w:rStyle w:val="ssl2"/>
          <w:smallCaps/>
          <w:szCs w:val="24"/>
          <w:lang w:val="fr-CA"/>
        </w:rPr>
        <w:t>traduction</w:t>
      </w:r>
      <w:r w:rsidRPr="00954404">
        <w:rPr>
          <w:rStyle w:val="ssl2"/>
          <w:szCs w:val="24"/>
          <w:lang w:val="fr-CA"/>
        </w:rPr>
        <w:t xml:space="preserve">]  </w:t>
      </w:r>
      <w:r w:rsidR="00E9060A">
        <w:rPr>
          <w:rStyle w:val="ssl2"/>
          <w:szCs w:val="24"/>
          <w:lang w:val="fr-CA"/>
        </w:rPr>
        <w:t xml:space="preserve">43. </w:t>
      </w:r>
      <w:r w:rsidRPr="00954404">
        <w:rPr>
          <w:rStyle w:val="ssl2"/>
          <w:szCs w:val="24"/>
          <w:lang w:val="fr-CA"/>
        </w:rPr>
        <w:t xml:space="preserve">Les </w:t>
      </w:r>
      <w:r w:rsidRPr="00954404">
        <w:rPr>
          <w:szCs w:val="24"/>
          <w:lang w:val="fr-CA"/>
        </w:rPr>
        <w:t>défendeurs</w:t>
      </w:r>
      <w:r w:rsidRPr="00954404">
        <w:rPr>
          <w:rStyle w:val="ssl2"/>
          <w:szCs w:val="24"/>
          <w:lang w:val="fr-CA"/>
        </w:rPr>
        <w:t xml:space="preserve"> ont envers les membres du groupe une </w:t>
      </w:r>
      <w:r w:rsidRPr="00954404">
        <w:rPr>
          <w:rStyle w:val="ssl2"/>
          <w:szCs w:val="24"/>
          <w:u w:val="single"/>
          <w:lang w:val="fr-CA"/>
        </w:rPr>
        <w:t>obligation de faire preuve de diligence, d</w:t>
      </w:r>
      <w:r>
        <w:rPr>
          <w:rStyle w:val="ssl2"/>
          <w:szCs w:val="24"/>
          <w:u w:val="single"/>
          <w:lang w:val="fr-CA"/>
        </w:rPr>
        <w:t>’</w:t>
      </w:r>
      <w:r w:rsidRPr="00954404">
        <w:rPr>
          <w:rStyle w:val="ssl2"/>
          <w:szCs w:val="24"/>
          <w:u w:val="single"/>
          <w:lang w:val="fr-CA"/>
        </w:rPr>
        <w:t>habileté et de prudence raisonnables à l</w:t>
      </w:r>
      <w:r>
        <w:rPr>
          <w:rStyle w:val="ssl2"/>
          <w:szCs w:val="24"/>
          <w:u w:val="single"/>
          <w:lang w:val="fr-CA"/>
        </w:rPr>
        <w:t>’</w:t>
      </w:r>
      <w:r w:rsidRPr="00954404">
        <w:rPr>
          <w:rStyle w:val="ssl2"/>
          <w:szCs w:val="24"/>
          <w:u w:val="single"/>
          <w:lang w:val="fr-CA"/>
        </w:rPr>
        <w:t>égard de la vérification, de la supervision, du contrôle et de la gestion</w:t>
      </w:r>
      <w:r w:rsidRPr="00954404">
        <w:rPr>
          <w:rStyle w:val="ssl2"/>
          <w:szCs w:val="24"/>
          <w:lang w:val="fr-CA"/>
        </w:rPr>
        <w:t xml:space="preserve"> (i) des prestations pour soins de santé versées par </w:t>
      </w:r>
      <w:r w:rsidRPr="00954404">
        <w:rPr>
          <w:szCs w:val="24"/>
          <w:lang w:val="fr-CA"/>
        </w:rPr>
        <w:t>l</w:t>
      </w:r>
      <w:r>
        <w:rPr>
          <w:szCs w:val="24"/>
          <w:lang w:val="fr-CA"/>
        </w:rPr>
        <w:t>’</w:t>
      </w:r>
      <w:r w:rsidRPr="00954404">
        <w:rPr>
          <w:szCs w:val="24"/>
          <w:lang w:val="fr-CA"/>
        </w:rPr>
        <w:t xml:space="preserve">État </w:t>
      </w:r>
      <w:r w:rsidRPr="00954404">
        <w:rPr>
          <w:rStyle w:val="ssl2"/>
          <w:szCs w:val="24"/>
          <w:lang w:val="fr-CA"/>
        </w:rPr>
        <w:t>aux autorités de la santé, (ii) des prestations pour soins de santé fournies par les autorités de la santé à des établissements de soins de longue durée et (iii) des frais d</w:t>
      </w:r>
      <w:r>
        <w:rPr>
          <w:rStyle w:val="ssl2"/>
          <w:szCs w:val="24"/>
          <w:lang w:val="fr-CA"/>
        </w:rPr>
        <w:t>’</w:t>
      </w:r>
      <w:r w:rsidRPr="00954404">
        <w:rPr>
          <w:rStyle w:val="ssl2"/>
          <w:szCs w:val="24"/>
          <w:lang w:val="fr-CA"/>
        </w:rPr>
        <w:t xml:space="preserve">hébergement payés par les membres du groupe, </w:t>
      </w:r>
      <w:r w:rsidRPr="00954404">
        <w:rPr>
          <w:rStyle w:val="ssl2"/>
          <w:szCs w:val="24"/>
          <w:u w:val="single"/>
          <w:lang w:val="fr-CA"/>
        </w:rPr>
        <w:t>pour s</w:t>
      </w:r>
      <w:r>
        <w:rPr>
          <w:rStyle w:val="ssl2"/>
          <w:szCs w:val="24"/>
          <w:u w:val="single"/>
          <w:lang w:val="fr-CA"/>
        </w:rPr>
        <w:t>’</w:t>
      </w:r>
      <w:r w:rsidRPr="00954404">
        <w:rPr>
          <w:rStyle w:val="ssl2"/>
          <w:szCs w:val="24"/>
          <w:u w:val="single"/>
          <w:lang w:val="fr-CA"/>
        </w:rPr>
        <w:t>assurer que les frais d</w:t>
      </w:r>
      <w:r>
        <w:rPr>
          <w:rStyle w:val="ssl2"/>
          <w:szCs w:val="24"/>
          <w:u w:val="single"/>
          <w:lang w:val="fr-CA"/>
        </w:rPr>
        <w:t>’</w:t>
      </w:r>
      <w:r w:rsidRPr="00954404">
        <w:rPr>
          <w:rStyle w:val="ssl2"/>
          <w:szCs w:val="24"/>
          <w:u w:val="single"/>
          <w:lang w:val="fr-CA"/>
        </w:rPr>
        <w:t>hébergement soient équitables, justes et raisonnables, qu</w:t>
      </w:r>
      <w:r>
        <w:rPr>
          <w:rStyle w:val="ssl2"/>
          <w:szCs w:val="24"/>
          <w:u w:val="single"/>
          <w:lang w:val="fr-CA"/>
        </w:rPr>
        <w:t>’</w:t>
      </w:r>
      <w:r w:rsidRPr="00954404">
        <w:rPr>
          <w:rStyle w:val="ssl2"/>
          <w:szCs w:val="24"/>
          <w:u w:val="single"/>
          <w:lang w:val="fr-CA"/>
        </w:rPr>
        <w:t>ils reflètent les coûts réels de l</w:t>
      </w:r>
      <w:r>
        <w:rPr>
          <w:rStyle w:val="ssl2"/>
          <w:szCs w:val="24"/>
          <w:u w:val="single"/>
          <w:lang w:val="fr-CA"/>
        </w:rPr>
        <w:t>’</w:t>
      </w:r>
      <w:r w:rsidRPr="00954404">
        <w:rPr>
          <w:rStyle w:val="ssl2"/>
          <w:szCs w:val="24"/>
          <w:u w:val="single"/>
          <w:lang w:val="fr-CA"/>
        </w:rPr>
        <w:t>hébergement et des repas et qu</w:t>
      </w:r>
      <w:r>
        <w:rPr>
          <w:rStyle w:val="ssl2"/>
          <w:szCs w:val="24"/>
          <w:u w:val="single"/>
          <w:lang w:val="fr-CA"/>
        </w:rPr>
        <w:t>’</w:t>
      </w:r>
      <w:r w:rsidRPr="00954404">
        <w:rPr>
          <w:rStyle w:val="ssl2"/>
          <w:szCs w:val="24"/>
          <w:u w:val="single"/>
          <w:lang w:val="fr-CA"/>
        </w:rPr>
        <w:t>ils ne servent pas à financer en partie le coût des soins de santé</w:t>
      </w:r>
      <w:r w:rsidRPr="00954404">
        <w:rPr>
          <w:rStyle w:val="ssl2"/>
          <w:szCs w:val="24"/>
          <w:lang w:val="fr-CA"/>
        </w:rPr>
        <w:t xml:space="preserve">.  [Je </w:t>
      </w:r>
      <w:r w:rsidRPr="00E9060A">
        <w:rPr>
          <w:szCs w:val="24"/>
          <w:lang w:val="fr-CA"/>
        </w:rPr>
        <w:t>souligne</w:t>
      </w:r>
      <w:r w:rsidRPr="00954404">
        <w:rPr>
          <w:rStyle w:val="ssl2"/>
          <w:szCs w:val="24"/>
          <w:lang w:val="fr-CA"/>
        </w:rPr>
        <w:t>.]</w:t>
      </w:r>
    </w:p>
    <w:p w:rsidR="00466E7D" w:rsidRPr="00954404" w:rsidRDefault="00466E7D" w:rsidP="00466E7D">
      <w:pPr>
        <w:pStyle w:val="ParaNoNdepar-AltN"/>
        <w:rPr>
          <w:rFonts w:cs="Times New Roman"/>
          <w:szCs w:val="24"/>
          <w:u w:val="single"/>
          <w:lang w:val="fr-CA"/>
        </w:rPr>
      </w:pPr>
      <w:r w:rsidRPr="00954404">
        <w:rPr>
          <w:rFonts w:cs="Times New Roman"/>
          <w:szCs w:val="24"/>
          <w:lang w:val="fr-CA"/>
        </w:rPr>
        <w:t>Je fais remarquer d</w:t>
      </w:r>
      <w:r>
        <w:rPr>
          <w:rFonts w:cs="Times New Roman"/>
          <w:szCs w:val="24"/>
          <w:lang w:val="fr-CA"/>
        </w:rPr>
        <w:t>’</w:t>
      </w:r>
      <w:r w:rsidRPr="00954404">
        <w:rPr>
          <w:rFonts w:cs="Times New Roman"/>
          <w:szCs w:val="24"/>
          <w:lang w:val="fr-CA"/>
        </w:rPr>
        <w:t>emblée que l</w:t>
      </w:r>
      <w:r>
        <w:rPr>
          <w:rFonts w:cs="Times New Roman"/>
          <w:szCs w:val="24"/>
          <w:lang w:val="fr-CA"/>
        </w:rPr>
        <w:t>’</w:t>
      </w:r>
      <w:r w:rsidRPr="00954404">
        <w:rPr>
          <w:rFonts w:cs="Times New Roman"/>
          <w:szCs w:val="24"/>
          <w:lang w:val="fr-CA"/>
        </w:rPr>
        <w:t>allégation de négligence s</w:t>
      </w:r>
      <w:r>
        <w:rPr>
          <w:rFonts w:cs="Times New Roman"/>
          <w:szCs w:val="24"/>
          <w:lang w:val="fr-CA"/>
        </w:rPr>
        <w:t>’</w:t>
      </w:r>
      <w:r w:rsidRPr="00954404">
        <w:rPr>
          <w:rFonts w:cs="Times New Roman"/>
          <w:szCs w:val="24"/>
          <w:lang w:val="fr-CA"/>
        </w:rPr>
        <w:t xml:space="preserve">accorde mal avec la portée générale du grief des demandeurs.  Ce grief, considéré dans son </w:t>
      </w:r>
      <w:r w:rsidRPr="00954404">
        <w:rPr>
          <w:rFonts w:cs="Times New Roman"/>
          <w:szCs w:val="24"/>
          <w:lang w:val="fr-CA"/>
        </w:rPr>
        <w:lastRenderedPageBreak/>
        <w:t>ensemble, semble porter principalement sur des décisions législatives délibérées et des décisions de politique générale.  La façon dont l</w:t>
      </w:r>
      <w:r>
        <w:rPr>
          <w:rFonts w:cs="Times New Roman"/>
          <w:szCs w:val="24"/>
          <w:lang w:val="fr-CA"/>
        </w:rPr>
        <w:t>’</w:t>
      </w:r>
      <w:r w:rsidRPr="00954404">
        <w:rPr>
          <w:rFonts w:cs="Times New Roman"/>
          <w:szCs w:val="24"/>
          <w:lang w:val="fr-CA"/>
        </w:rPr>
        <w:t>allégation de négligence est formulée le laisse entendre, car il est indiqué que l</w:t>
      </w:r>
      <w:r>
        <w:rPr>
          <w:rFonts w:cs="Times New Roman"/>
          <w:szCs w:val="24"/>
          <w:lang w:val="fr-CA"/>
        </w:rPr>
        <w:t>’</w:t>
      </w:r>
      <w:r w:rsidRPr="00954404">
        <w:rPr>
          <w:rFonts w:cs="Times New Roman"/>
          <w:szCs w:val="24"/>
          <w:lang w:val="fr-CA"/>
        </w:rPr>
        <w:t>obligation impose à l</w:t>
      </w:r>
      <w:r>
        <w:rPr>
          <w:rFonts w:cs="Times New Roman"/>
          <w:szCs w:val="24"/>
          <w:lang w:val="fr-CA"/>
        </w:rPr>
        <w:t>’</w:t>
      </w:r>
      <w:r w:rsidRPr="00954404">
        <w:rPr>
          <w:rFonts w:cs="Times New Roman"/>
          <w:szCs w:val="24"/>
          <w:lang w:val="fr-CA"/>
        </w:rPr>
        <w:t>État de « s</w:t>
      </w:r>
      <w:r>
        <w:rPr>
          <w:rFonts w:cs="Times New Roman"/>
          <w:szCs w:val="24"/>
          <w:lang w:val="fr-CA"/>
        </w:rPr>
        <w:t>’</w:t>
      </w:r>
      <w:r w:rsidRPr="00954404">
        <w:rPr>
          <w:rFonts w:cs="Times New Roman"/>
          <w:szCs w:val="24"/>
          <w:lang w:val="fr-CA"/>
        </w:rPr>
        <w:t>assurer » plutôt que de simplement agir avec diligence raisonnable.  Cela dit, on pourrait soutenir que l</w:t>
      </w:r>
      <w:r>
        <w:rPr>
          <w:rFonts w:cs="Times New Roman"/>
          <w:szCs w:val="24"/>
          <w:lang w:val="fr-CA"/>
        </w:rPr>
        <w:t>’</w:t>
      </w:r>
      <w:r w:rsidRPr="00954404">
        <w:rPr>
          <w:rFonts w:cs="Times New Roman"/>
          <w:szCs w:val="24"/>
          <w:lang w:val="fr-CA"/>
        </w:rPr>
        <w:t>allégation évoque la négligence dans « la vérification, la supervision, le contrôle et la gestion des prestations de soins de santé ».  L</w:t>
      </w:r>
      <w:r>
        <w:rPr>
          <w:rFonts w:cs="Times New Roman"/>
          <w:szCs w:val="24"/>
          <w:lang w:val="fr-CA"/>
        </w:rPr>
        <w:t>’</w:t>
      </w:r>
      <w:r w:rsidRPr="00954404">
        <w:rPr>
          <w:rFonts w:cs="Times New Roman"/>
          <w:szCs w:val="24"/>
          <w:lang w:val="fr-CA"/>
        </w:rPr>
        <w:t>obligation de diligence invoquée à l</w:t>
      </w:r>
      <w:r>
        <w:rPr>
          <w:rFonts w:cs="Times New Roman"/>
          <w:szCs w:val="24"/>
          <w:lang w:val="fr-CA"/>
        </w:rPr>
        <w:t>’</w:t>
      </w:r>
      <w:r w:rsidRPr="00954404">
        <w:rPr>
          <w:rFonts w:cs="Times New Roman"/>
          <w:szCs w:val="24"/>
          <w:lang w:val="fr-CA"/>
        </w:rPr>
        <w:t>égard de la fixation des frais d</w:t>
      </w:r>
      <w:r>
        <w:rPr>
          <w:rFonts w:cs="Times New Roman"/>
          <w:szCs w:val="24"/>
          <w:lang w:val="fr-CA"/>
        </w:rPr>
        <w:t>’</w:t>
      </w:r>
      <w:r w:rsidRPr="00954404">
        <w:rPr>
          <w:rFonts w:cs="Times New Roman"/>
          <w:szCs w:val="24"/>
          <w:lang w:val="fr-CA"/>
        </w:rPr>
        <w:t>hébergement a été radiée et cette décision n</w:t>
      </w:r>
      <w:r>
        <w:rPr>
          <w:rFonts w:cs="Times New Roman"/>
          <w:szCs w:val="24"/>
          <w:lang w:val="fr-CA"/>
        </w:rPr>
        <w:t>’</w:t>
      </w:r>
      <w:r w:rsidRPr="00954404">
        <w:rPr>
          <w:rFonts w:cs="Times New Roman"/>
          <w:szCs w:val="24"/>
          <w:lang w:val="fr-CA"/>
        </w:rPr>
        <w:t>a pas été portée en appel.  Par conséquent, il est inutile d</w:t>
      </w:r>
      <w:r>
        <w:rPr>
          <w:rFonts w:cs="Times New Roman"/>
          <w:szCs w:val="24"/>
          <w:lang w:val="fr-CA"/>
        </w:rPr>
        <w:t>’</w:t>
      </w:r>
      <w:r w:rsidRPr="00954404">
        <w:rPr>
          <w:rFonts w:cs="Times New Roman"/>
          <w:szCs w:val="24"/>
          <w:lang w:val="fr-CA"/>
        </w:rPr>
        <w:t>examiner si cette allégation de négligence soulève une cause d</w:t>
      </w:r>
      <w:r>
        <w:rPr>
          <w:rFonts w:cs="Times New Roman"/>
          <w:szCs w:val="24"/>
          <w:lang w:val="fr-CA"/>
        </w:rPr>
        <w:t>’</w:t>
      </w:r>
      <w:r w:rsidRPr="00954404">
        <w:rPr>
          <w:rFonts w:cs="Times New Roman"/>
          <w:szCs w:val="24"/>
          <w:lang w:val="fr-CA"/>
        </w:rPr>
        <w:t xml:space="preserve">action donnant matière à procès. </w:t>
      </w:r>
    </w:p>
    <w:p w:rsidR="00466E7D" w:rsidRPr="00954404" w:rsidRDefault="00466E7D" w:rsidP="00466E7D">
      <w:pPr>
        <w:pStyle w:val="ParaNoNdepar-AltN"/>
        <w:rPr>
          <w:rFonts w:cs="Times New Roman"/>
          <w:szCs w:val="24"/>
          <w:u w:val="single"/>
          <w:lang w:val="fr-CA"/>
        </w:rPr>
      </w:pPr>
      <w:r w:rsidRPr="00954404">
        <w:rPr>
          <w:rFonts w:cs="Times New Roman"/>
          <w:szCs w:val="24"/>
          <w:lang w:val="fr-CA"/>
        </w:rPr>
        <w:t>La question initiale et primordiale est celle de savoir si les allégations, à supposer que les faits invoqués soient vrais, emportent une obligation de diligence de la part de l</w:t>
      </w:r>
      <w:r>
        <w:rPr>
          <w:rFonts w:cs="Times New Roman"/>
          <w:szCs w:val="24"/>
          <w:lang w:val="fr-CA"/>
        </w:rPr>
        <w:t>’</w:t>
      </w:r>
      <w:r w:rsidRPr="00954404">
        <w:rPr>
          <w:rFonts w:cs="Times New Roman"/>
          <w:szCs w:val="24"/>
          <w:lang w:val="fr-CA"/>
        </w:rPr>
        <w:t>Alberta envers les membres du groupe de demandeurs.  Il faut d</w:t>
      </w:r>
      <w:r>
        <w:rPr>
          <w:rFonts w:cs="Times New Roman"/>
          <w:szCs w:val="24"/>
          <w:lang w:val="fr-CA"/>
        </w:rPr>
        <w:t>’</w:t>
      </w:r>
      <w:r w:rsidRPr="00954404">
        <w:rPr>
          <w:rFonts w:cs="Times New Roman"/>
          <w:szCs w:val="24"/>
          <w:lang w:val="fr-CA"/>
        </w:rPr>
        <w:t>abord se demander si l</w:t>
      </w:r>
      <w:r>
        <w:rPr>
          <w:rFonts w:cs="Times New Roman"/>
          <w:szCs w:val="24"/>
          <w:lang w:val="fr-CA"/>
        </w:rPr>
        <w:t>’</w:t>
      </w:r>
      <w:r w:rsidRPr="00954404">
        <w:rPr>
          <w:rFonts w:cs="Times New Roman"/>
          <w:szCs w:val="24"/>
          <w:lang w:val="fr-CA"/>
        </w:rPr>
        <w:t xml:space="preserve">Alberta et les membres du groupe entretenaient une relation ayant donné lieu à une obligation de diligence </w:t>
      </w:r>
      <w:r w:rsidRPr="00954404">
        <w:rPr>
          <w:rFonts w:cs="Times New Roman"/>
          <w:i/>
          <w:szCs w:val="24"/>
          <w:lang w:val="fr-CA"/>
        </w:rPr>
        <w:t>prima facie</w:t>
      </w:r>
      <w:r w:rsidRPr="00954404">
        <w:rPr>
          <w:rFonts w:cs="Times New Roman"/>
          <w:szCs w:val="24"/>
          <w:lang w:val="fr-CA"/>
        </w:rPr>
        <w:t xml:space="preserve">, fondée sur la prévisibilité et la proximité.  Si une obligation de diligence </w:t>
      </w:r>
      <w:r w:rsidRPr="00954404">
        <w:rPr>
          <w:rFonts w:cs="Times New Roman"/>
          <w:i/>
          <w:szCs w:val="24"/>
          <w:lang w:val="fr-CA"/>
        </w:rPr>
        <w:t>prima facie</w:t>
      </w:r>
      <w:r w:rsidRPr="00954404">
        <w:rPr>
          <w:rFonts w:cs="Times New Roman"/>
          <w:szCs w:val="24"/>
          <w:lang w:val="fr-CA"/>
        </w:rPr>
        <w:t xml:space="preserve"> est établie, la deuxième étape consiste à se demander si elle est écartée par des considérations de politique générale</w:t>
      </w:r>
      <w:r>
        <w:rPr>
          <w:rFonts w:cs="Times New Roman"/>
          <w:szCs w:val="24"/>
          <w:lang w:val="fr-CA"/>
        </w:rPr>
        <w:t> :</w:t>
      </w:r>
      <w:r w:rsidRPr="00954404">
        <w:rPr>
          <w:rFonts w:cs="Times New Roman"/>
          <w:szCs w:val="24"/>
          <w:lang w:val="fr-CA"/>
        </w:rPr>
        <w:t xml:space="preserve"> voir </w:t>
      </w:r>
      <w:r w:rsidRPr="00954404">
        <w:rPr>
          <w:rFonts w:cs="Times New Roman"/>
          <w:i/>
          <w:iCs/>
          <w:spacing w:val="4"/>
          <w:szCs w:val="24"/>
          <w:lang w:val="fr-CA"/>
        </w:rPr>
        <w:t>Anns c. Merton London Borough Council</w:t>
      </w:r>
      <w:r w:rsidRPr="005A3FB1">
        <w:rPr>
          <w:rFonts w:cs="Times New Roman"/>
          <w:iCs/>
          <w:spacing w:val="4"/>
          <w:szCs w:val="24"/>
          <w:lang w:val="fr-CA"/>
        </w:rPr>
        <w:t>,</w:t>
      </w:r>
      <w:r w:rsidRPr="00954404">
        <w:rPr>
          <w:rFonts w:cs="Times New Roman"/>
          <w:i/>
          <w:iCs/>
          <w:spacing w:val="4"/>
          <w:szCs w:val="24"/>
          <w:lang w:val="fr-CA"/>
        </w:rPr>
        <w:t xml:space="preserve"> </w:t>
      </w:r>
      <w:r w:rsidRPr="00954404">
        <w:rPr>
          <w:rFonts w:cs="Times New Roman"/>
          <w:szCs w:val="24"/>
          <w:lang w:val="fr-CA"/>
        </w:rPr>
        <w:t xml:space="preserve">[1978] A.C. 728 (H.L.); </w:t>
      </w:r>
      <w:r w:rsidRPr="00954404">
        <w:rPr>
          <w:rFonts w:cs="Times New Roman"/>
          <w:i/>
          <w:szCs w:val="24"/>
          <w:lang w:val="fr-CA"/>
        </w:rPr>
        <w:t>Ville de Kamloops c. Nielsen</w:t>
      </w:r>
      <w:r w:rsidRPr="00954404">
        <w:rPr>
          <w:rFonts w:cs="Times New Roman"/>
          <w:szCs w:val="24"/>
          <w:lang w:val="fr-CA"/>
        </w:rPr>
        <w:t xml:space="preserve">, [1984] 2 R.C.S. 2; </w:t>
      </w:r>
      <w:r w:rsidRPr="00954404">
        <w:rPr>
          <w:rFonts w:cs="Times New Roman"/>
          <w:i/>
          <w:szCs w:val="24"/>
          <w:lang w:val="fr-CA"/>
        </w:rPr>
        <w:t>Cooper c. Hobart</w:t>
      </w:r>
      <w:r w:rsidRPr="00954404">
        <w:rPr>
          <w:rFonts w:cs="Times New Roman"/>
          <w:szCs w:val="24"/>
          <w:lang w:val="fr-CA"/>
        </w:rPr>
        <w:t xml:space="preserve">, 2001 CSC 79, [2001] 3 R.C.S. 537, </w:t>
      </w:r>
      <w:r>
        <w:rPr>
          <w:rFonts w:cs="Times New Roman"/>
          <w:szCs w:val="24"/>
          <w:lang w:val="fr-CA"/>
        </w:rPr>
        <w:t>par. </w:t>
      </w:r>
      <w:r w:rsidRPr="00954404">
        <w:rPr>
          <w:rFonts w:cs="Times New Roman"/>
          <w:szCs w:val="24"/>
          <w:lang w:val="fr-CA"/>
        </w:rPr>
        <w:t>30</w:t>
      </w:r>
      <w:r w:rsidR="00941311">
        <w:rPr>
          <w:rFonts w:cs="Times New Roman"/>
          <w:szCs w:val="24"/>
          <w:lang w:val="fr-CA"/>
        </w:rPr>
        <w:t>;</w:t>
      </w:r>
      <w:r w:rsidR="005A3FB1">
        <w:rPr>
          <w:rFonts w:cs="Times New Roman"/>
          <w:szCs w:val="24"/>
          <w:lang w:val="fr-CA"/>
        </w:rPr>
        <w:t xml:space="preserve"> et</w:t>
      </w:r>
      <w:r w:rsidRPr="00954404">
        <w:rPr>
          <w:rFonts w:cs="Times New Roman"/>
          <w:szCs w:val="24"/>
          <w:lang w:val="fr-CA"/>
        </w:rPr>
        <w:t xml:space="preserve"> </w:t>
      </w:r>
      <w:r w:rsidRPr="00954404">
        <w:rPr>
          <w:rFonts w:cs="Times New Roman"/>
          <w:i/>
          <w:szCs w:val="24"/>
          <w:lang w:val="fr-CA"/>
        </w:rPr>
        <w:t>Renvoi relatif à Broome c. Île</w:t>
      </w:r>
      <w:r>
        <w:rPr>
          <w:rFonts w:cs="Times New Roman"/>
          <w:i/>
          <w:szCs w:val="24"/>
          <w:lang w:val="fr-CA"/>
        </w:rPr>
        <w:noBreakHyphen/>
      </w:r>
      <w:r w:rsidRPr="00954404">
        <w:rPr>
          <w:rFonts w:cs="Times New Roman"/>
          <w:i/>
          <w:szCs w:val="24"/>
          <w:lang w:val="fr-CA"/>
        </w:rPr>
        <w:t>du</w:t>
      </w:r>
      <w:r>
        <w:rPr>
          <w:rFonts w:cs="Times New Roman"/>
          <w:i/>
          <w:szCs w:val="24"/>
          <w:lang w:val="fr-CA"/>
        </w:rPr>
        <w:noBreakHyphen/>
      </w:r>
      <w:r w:rsidRPr="00954404">
        <w:rPr>
          <w:rFonts w:cs="Times New Roman"/>
          <w:i/>
          <w:szCs w:val="24"/>
          <w:lang w:val="fr-CA"/>
        </w:rPr>
        <w:t>Prince</w:t>
      </w:r>
      <w:r>
        <w:rPr>
          <w:rFonts w:cs="Times New Roman"/>
          <w:i/>
          <w:szCs w:val="24"/>
          <w:lang w:val="fr-CA"/>
        </w:rPr>
        <w:noBreakHyphen/>
      </w:r>
      <w:r w:rsidRPr="00954404">
        <w:rPr>
          <w:rFonts w:cs="Times New Roman"/>
          <w:i/>
          <w:szCs w:val="24"/>
          <w:lang w:val="fr-CA"/>
        </w:rPr>
        <w:t>Édouard</w:t>
      </w:r>
      <w:r w:rsidRPr="00954404">
        <w:rPr>
          <w:rFonts w:cs="Times New Roman"/>
          <w:szCs w:val="24"/>
          <w:lang w:val="fr-CA"/>
        </w:rPr>
        <w:t xml:space="preserve">, 2010 CSC 11, [2010] 1 R.C.S. 360, </w:t>
      </w:r>
      <w:r>
        <w:rPr>
          <w:rFonts w:cs="Times New Roman"/>
          <w:szCs w:val="24"/>
          <w:lang w:val="fr-CA"/>
        </w:rPr>
        <w:t>par. </w:t>
      </w:r>
      <w:r w:rsidRPr="00954404">
        <w:rPr>
          <w:rFonts w:cs="Times New Roman"/>
          <w:szCs w:val="24"/>
          <w:lang w:val="fr-CA"/>
        </w:rPr>
        <w:t xml:space="preserve">14. </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L</w:t>
      </w:r>
      <w:r>
        <w:rPr>
          <w:rFonts w:cs="Times New Roman"/>
          <w:szCs w:val="24"/>
          <w:lang w:val="fr-CA"/>
        </w:rPr>
        <w:t>’</w:t>
      </w:r>
      <w:r w:rsidRPr="00954404">
        <w:rPr>
          <w:rFonts w:cs="Times New Roman"/>
          <w:szCs w:val="24"/>
          <w:lang w:val="fr-CA"/>
        </w:rPr>
        <w:t>allégation soulevée en l</w:t>
      </w:r>
      <w:r>
        <w:rPr>
          <w:rFonts w:cs="Times New Roman"/>
          <w:szCs w:val="24"/>
          <w:lang w:val="fr-CA"/>
        </w:rPr>
        <w:t>’</w:t>
      </w:r>
      <w:r w:rsidRPr="00954404">
        <w:rPr>
          <w:rFonts w:cs="Times New Roman"/>
          <w:szCs w:val="24"/>
          <w:lang w:val="fr-CA"/>
        </w:rPr>
        <w:t>espèce n</w:t>
      </w:r>
      <w:r>
        <w:rPr>
          <w:rFonts w:cs="Times New Roman"/>
          <w:szCs w:val="24"/>
          <w:lang w:val="fr-CA"/>
        </w:rPr>
        <w:t>’</w:t>
      </w:r>
      <w:r w:rsidRPr="00954404">
        <w:rPr>
          <w:rFonts w:cs="Times New Roman"/>
          <w:szCs w:val="24"/>
          <w:lang w:val="fr-CA"/>
        </w:rPr>
        <w:t>a pas été reconnue précédemment comme donnant naissance à une obligation de diligence.  Par conséquent, il nous faut examiner si elle remplit les conditions susmentionnées pour qu</w:t>
      </w:r>
      <w:r>
        <w:rPr>
          <w:rFonts w:cs="Times New Roman"/>
          <w:szCs w:val="24"/>
          <w:lang w:val="fr-CA"/>
        </w:rPr>
        <w:t>’</w:t>
      </w:r>
      <w:r w:rsidRPr="00954404">
        <w:rPr>
          <w:rFonts w:cs="Times New Roman"/>
          <w:szCs w:val="24"/>
          <w:lang w:val="fr-CA"/>
        </w:rPr>
        <w:t>une obligation de diligence soit reconnue</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Childs c. Desormeaux</w:t>
      </w:r>
      <w:r w:rsidRPr="00954404">
        <w:rPr>
          <w:rFonts w:cs="Times New Roman"/>
          <w:szCs w:val="24"/>
          <w:lang w:val="fr-CA"/>
        </w:rPr>
        <w:t xml:space="preserve">, 2006 CSC 18, [2006] 1 R.C.S. 643, </w:t>
      </w:r>
      <w:r>
        <w:rPr>
          <w:rFonts w:cs="Times New Roman"/>
          <w:szCs w:val="24"/>
          <w:lang w:val="fr-CA"/>
        </w:rPr>
        <w:t>par. </w:t>
      </w:r>
      <w:r w:rsidRPr="00954404">
        <w:rPr>
          <w:rFonts w:cs="Times New Roman"/>
          <w:szCs w:val="24"/>
          <w:lang w:val="fr-CA"/>
        </w:rPr>
        <w:t>15.</w:t>
      </w:r>
    </w:p>
    <w:p w:rsidR="00466E7D" w:rsidRPr="00954404" w:rsidRDefault="00466E7D" w:rsidP="00466E7D">
      <w:pPr>
        <w:pStyle w:val="ParaNoNdepar-AltN"/>
        <w:rPr>
          <w:rFonts w:cs="Times New Roman"/>
          <w:szCs w:val="24"/>
          <w:lang w:val="fr-CA"/>
        </w:rPr>
      </w:pPr>
      <w:r w:rsidRPr="00954404">
        <w:rPr>
          <w:rFonts w:cs="Times New Roman"/>
          <w:szCs w:val="24"/>
          <w:lang w:val="fr-CA"/>
        </w:rPr>
        <w:t>En l</w:t>
      </w:r>
      <w:r>
        <w:rPr>
          <w:rFonts w:cs="Times New Roman"/>
          <w:szCs w:val="24"/>
          <w:lang w:val="fr-CA"/>
        </w:rPr>
        <w:t>’</w:t>
      </w:r>
      <w:r w:rsidRPr="00954404">
        <w:rPr>
          <w:rFonts w:cs="Times New Roman"/>
          <w:szCs w:val="24"/>
          <w:lang w:val="fr-CA"/>
        </w:rPr>
        <w:t>espèce, comme dans l</w:t>
      </w:r>
      <w:r>
        <w:rPr>
          <w:rFonts w:cs="Times New Roman"/>
          <w:szCs w:val="24"/>
          <w:lang w:val="fr-CA"/>
        </w:rPr>
        <w:t>’</w:t>
      </w:r>
      <w:r w:rsidRPr="00954404">
        <w:rPr>
          <w:rFonts w:cs="Times New Roman"/>
          <w:szCs w:val="24"/>
          <w:lang w:val="fr-CA"/>
        </w:rPr>
        <w:t>arrêt</w:t>
      </w:r>
      <w:r w:rsidR="00E9060A">
        <w:rPr>
          <w:rFonts w:cs="Times New Roman"/>
          <w:szCs w:val="24"/>
          <w:lang w:val="fr-CA"/>
        </w:rPr>
        <w:t xml:space="preserve"> </w:t>
      </w:r>
      <w:r w:rsidRPr="00954404">
        <w:rPr>
          <w:rFonts w:cs="Times New Roman"/>
          <w:i/>
          <w:szCs w:val="24"/>
          <w:lang w:val="fr-CA"/>
        </w:rPr>
        <w:t>Broome</w:t>
      </w:r>
      <w:r w:rsidRPr="00954404">
        <w:rPr>
          <w:rFonts w:cs="Times New Roman"/>
          <w:szCs w:val="24"/>
          <w:lang w:val="fr-CA"/>
        </w:rPr>
        <w:t>, le groupe de demandeurs s</w:t>
      </w:r>
      <w:r>
        <w:rPr>
          <w:rFonts w:cs="Times New Roman"/>
          <w:szCs w:val="24"/>
          <w:lang w:val="fr-CA"/>
        </w:rPr>
        <w:t>’</w:t>
      </w:r>
      <w:r w:rsidRPr="00954404">
        <w:rPr>
          <w:rFonts w:cs="Times New Roman"/>
          <w:szCs w:val="24"/>
          <w:lang w:val="fr-CA"/>
        </w:rPr>
        <w:t>appuie sur les obligations que la loi impose à la province pour établir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obligation de diligence de droit privé.  Essentiellement, ils allèguent que les obligations d</w:t>
      </w:r>
      <w:r>
        <w:rPr>
          <w:rFonts w:cs="Times New Roman"/>
          <w:szCs w:val="24"/>
          <w:lang w:val="fr-CA"/>
        </w:rPr>
        <w:t>’</w:t>
      </w:r>
      <w:r w:rsidRPr="00954404">
        <w:rPr>
          <w:rFonts w:cs="Times New Roman"/>
          <w:szCs w:val="24"/>
          <w:lang w:val="fr-CA"/>
        </w:rPr>
        <w:t>origine législative et réglementaire ont fait en sorte que l</w:t>
      </w:r>
      <w:r>
        <w:rPr>
          <w:rFonts w:cs="Times New Roman"/>
          <w:szCs w:val="24"/>
          <w:lang w:val="fr-CA"/>
        </w:rPr>
        <w:t>’</w:t>
      </w:r>
      <w:r w:rsidRPr="00954404">
        <w:rPr>
          <w:rFonts w:cs="Times New Roman"/>
          <w:szCs w:val="24"/>
          <w:lang w:val="fr-CA"/>
        </w:rPr>
        <w:t>Alberta entretient une relation de proximité avec les membres du groupe, et qu</w:t>
      </w:r>
      <w:r>
        <w:rPr>
          <w:rFonts w:cs="Times New Roman"/>
          <w:szCs w:val="24"/>
          <w:lang w:val="fr-CA"/>
        </w:rPr>
        <w:t>’</w:t>
      </w:r>
      <w:r w:rsidRPr="00954404">
        <w:rPr>
          <w:rFonts w:cs="Times New Roman"/>
          <w:szCs w:val="24"/>
          <w:lang w:val="fr-CA"/>
        </w:rPr>
        <w:t>il était raisonnablement prévisible que ces derniers soient touchés par le défaut du gouvernement de s</w:t>
      </w:r>
      <w:r>
        <w:rPr>
          <w:rFonts w:cs="Times New Roman"/>
          <w:szCs w:val="24"/>
          <w:lang w:val="fr-CA"/>
        </w:rPr>
        <w:t>’</w:t>
      </w:r>
      <w:r w:rsidRPr="00954404">
        <w:rPr>
          <w:rFonts w:cs="Times New Roman"/>
          <w:szCs w:val="24"/>
          <w:lang w:val="fr-CA"/>
        </w:rPr>
        <w:t>acquitter de ces obligations sans négligence.  L</w:t>
      </w:r>
      <w:r>
        <w:rPr>
          <w:rFonts w:cs="Times New Roman"/>
          <w:szCs w:val="24"/>
          <w:lang w:val="fr-CA"/>
        </w:rPr>
        <w:t>’</w:t>
      </w:r>
      <w:r w:rsidRPr="00954404">
        <w:rPr>
          <w:rFonts w:cs="Times New Roman"/>
          <w:szCs w:val="24"/>
          <w:lang w:val="fr-CA"/>
        </w:rPr>
        <w:t>analyse prévue dans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Cooper</w:t>
      </w:r>
      <w:r w:rsidRPr="00954404">
        <w:rPr>
          <w:rFonts w:cs="Times New Roman"/>
          <w:szCs w:val="24"/>
          <w:lang w:val="fr-CA"/>
        </w:rPr>
        <w:t xml:space="preserve"> s</w:t>
      </w:r>
      <w:r>
        <w:rPr>
          <w:rFonts w:cs="Times New Roman"/>
          <w:szCs w:val="24"/>
          <w:lang w:val="fr-CA"/>
        </w:rPr>
        <w:t>’</w:t>
      </w:r>
      <w:r w:rsidRPr="00954404">
        <w:rPr>
          <w:rFonts w:cs="Times New Roman"/>
          <w:szCs w:val="24"/>
          <w:lang w:val="fr-CA"/>
        </w:rPr>
        <w:t>applique aux demandes fondées sur des obligations d</w:t>
      </w:r>
      <w:r>
        <w:rPr>
          <w:rFonts w:cs="Times New Roman"/>
          <w:szCs w:val="24"/>
          <w:lang w:val="fr-CA"/>
        </w:rPr>
        <w:t>’</w:t>
      </w:r>
      <w:r w:rsidRPr="00954404">
        <w:rPr>
          <w:rFonts w:cs="Times New Roman"/>
          <w:szCs w:val="24"/>
          <w:lang w:val="fr-CA"/>
        </w:rPr>
        <w:t>origine législative.  Comme le juge Cromwell l</w:t>
      </w:r>
      <w:r>
        <w:rPr>
          <w:rFonts w:cs="Times New Roman"/>
          <w:szCs w:val="24"/>
          <w:lang w:val="fr-CA"/>
        </w:rPr>
        <w:t>’</w:t>
      </w:r>
      <w:r w:rsidRPr="00954404">
        <w:rPr>
          <w:rFonts w:cs="Times New Roman"/>
          <w:szCs w:val="24"/>
          <w:lang w:val="fr-CA"/>
        </w:rPr>
        <w:t xml:space="preserve">a affirmé au nom de notre Cour dans </w:t>
      </w:r>
      <w:r w:rsidRPr="00954404">
        <w:rPr>
          <w:rFonts w:cs="Times New Roman"/>
          <w:i/>
          <w:szCs w:val="24"/>
          <w:lang w:val="fr-CA"/>
        </w:rPr>
        <w:t>Broome</w:t>
      </w:r>
      <w:r w:rsidRPr="00954404">
        <w:rPr>
          <w:rFonts w:cs="Times New Roman"/>
          <w:szCs w:val="24"/>
          <w:lang w:val="fr-CA"/>
        </w:rPr>
        <w:t>, au par</w:t>
      </w:r>
      <w:r w:rsidR="00E9060A">
        <w:rPr>
          <w:rFonts w:cs="Times New Roman"/>
          <w:szCs w:val="24"/>
          <w:lang w:val="fr-CA"/>
        </w:rPr>
        <w:t>.</w:t>
      </w:r>
      <w:r w:rsidRPr="00954404">
        <w:rPr>
          <w:rFonts w:cs="Times New Roman"/>
          <w:szCs w:val="24"/>
          <w:lang w:val="fr-CA"/>
        </w:rPr>
        <w:t> 13</w:t>
      </w:r>
      <w:r>
        <w:rPr>
          <w:rFonts w:cs="Times New Roman"/>
          <w:szCs w:val="24"/>
          <w:lang w:val="fr-CA"/>
        </w:rPr>
        <w:t> :</w:t>
      </w:r>
    </w:p>
    <w:p w:rsidR="00466E7D" w:rsidRPr="00954404" w:rsidRDefault="00466E7D" w:rsidP="00466E7D">
      <w:pPr>
        <w:pStyle w:val="Citation-AltC"/>
        <w:ind w:hanging="1166"/>
        <w:contextualSpacing w:val="0"/>
        <w:rPr>
          <w:szCs w:val="24"/>
          <w:lang w:val="fr-CA"/>
        </w:rPr>
      </w:pPr>
      <w:r w:rsidRPr="00954404">
        <w:rPr>
          <w:szCs w:val="24"/>
          <w:lang w:val="fr-CA"/>
        </w:rPr>
        <w:tab/>
        <w:t>C</w:t>
      </w:r>
      <w:r>
        <w:rPr>
          <w:szCs w:val="24"/>
          <w:lang w:val="fr-CA"/>
        </w:rPr>
        <w:t>’</w:t>
      </w:r>
      <w:r w:rsidRPr="00954404">
        <w:rPr>
          <w:szCs w:val="24"/>
          <w:lang w:val="fr-CA"/>
        </w:rPr>
        <w:t xml:space="preserve">est [le critère </w:t>
      </w:r>
      <w:r w:rsidRPr="00954404">
        <w:rPr>
          <w:i/>
          <w:szCs w:val="24"/>
          <w:lang w:val="fr-CA"/>
        </w:rPr>
        <w:t>Anns</w:t>
      </w:r>
      <w:r w:rsidRPr="00954404">
        <w:rPr>
          <w:szCs w:val="24"/>
          <w:lang w:val="fr-CA"/>
        </w:rPr>
        <w:t>/</w:t>
      </w:r>
      <w:r w:rsidRPr="00954404">
        <w:rPr>
          <w:i/>
          <w:szCs w:val="24"/>
          <w:lang w:val="fr-CA"/>
        </w:rPr>
        <w:t>Kamloops</w:t>
      </w:r>
      <w:r w:rsidRPr="00954404">
        <w:rPr>
          <w:szCs w:val="24"/>
          <w:lang w:val="fr-CA"/>
        </w:rPr>
        <w:t>] qu</w:t>
      </w:r>
      <w:r>
        <w:rPr>
          <w:szCs w:val="24"/>
          <w:lang w:val="fr-CA"/>
        </w:rPr>
        <w:t>’</w:t>
      </w:r>
      <w:r w:rsidRPr="00954404">
        <w:rPr>
          <w:szCs w:val="24"/>
          <w:lang w:val="fr-CA"/>
        </w:rPr>
        <w:t>il convient d</w:t>
      </w:r>
      <w:r>
        <w:rPr>
          <w:szCs w:val="24"/>
          <w:lang w:val="fr-CA"/>
        </w:rPr>
        <w:t>’</w:t>
      </w:r>
      <w:r w:rsidRPr="00954404">
        <w:rPr>
          <w:szCs w:val="24"/>
          <w:lang w:val="fr-CA"/>
        </w:rPr>
        <w:t>appliquer en l</w:t>
      </w:r>
      <w:r>
        <w:rPr>
          <w:szCs w:val="24"/>
          <w:lang w:val="fr-CA"/>
        </w:rPr>
        <w:t>’</w:t>
      </w:r>
      <w:r w:rsidRPr="00954404">
        <w:rPr>
          <w:szCs w:val="24"/>
          <w:lang w:val="fr-CA"/>
        </w:rPr>
        <w:t>espèce, même si les appelants invoquent principalement des obligations d</w:t>
      </w:r>
      <w:r>
        <w:rPr>
          <w:szCs w:val="24"/>
          <w:lang w:val="fr-CA"/>
        </w:rPr>
        <w:t>’</w:t>
      </w:r>
      <w:r w:rsidRPr="00954404">
        <w:rPr>
          <w:szCs w:val="24"/>
          <w:lang w:val="fr-CA"/>
        </w:rPr>
        <w:t xml:space="preserve">origine législative.  De telles </w:t>
      </w:r>
      <w:r w:rsidRPr="00954404">
        <w:rPr>
          <w:rStyle w:val="ssl2"/>
          <w:szCs w:val="24"/>
          <w:lang w:val="fr-CA"/>
        </w:rPr>
        <w:t>obligations</w:t>
      </w:r>
      <w:r w:rsidRPr="00954404">
        <w:rPr>
          <w:szCs w:val="24"/>
          <w:lang w:val="fr-CA"/>
        </w:rPr>
        <w:t xml:space="preserve"> n</w:t>
      </w:r>
      <w:r>
        <w:rPr>
          <w:szCs w:val="24"/>
          <w:lang w:val="fr-CA"/>
        </w:rPr>
        <w:t>’</w:t>
      </w:r>
      <w:r w:rsidRPr="00954404">
        <w:rPr>
          <w:szCs w:val="24"/>
          <w:lang w:val="fr-CA"/>
        </w:rPr>
        <w:t xml:space="preserve">engendrent généralement pas, à elles seules, des obligations de diligence de droit privé.  Le critère </w:t>
      </w:r>
      <w:r w:rsidRPr="00954404">
        <w:rPr>
          <w:i/>
          <w:iCs/>
          <w:szCs w:val="24"/>
          <w:lang w:val="fr-CA"/>
        </w:rPr>
        <w:t>Anns/Kamloops</w:t>
      </w:r>
      <w:r w:rsidRPr="00954404">
        <w:rPr>
          <w:szCs w:val="24"/>
          <w:lang w:val="fr-CA"/>
        </w:rPr>
        <w:t xml:space="preserve"> sert à déterminer si des entités publiques, comme des entités privées, ont envers des particuliers une obligation de diligence de droit privé habilitant ces derniers à poursuivre les entités publiques au civil</w:t>
      </w:r>
      <w:r w:rsidR="00E148A7">
        <w:rPr>
          <w:szCs w:val="24"/>
          <w:lang w:val="fr-CA"/>
        </w:rPr>
        <w:t xml:space="preserve"> . . .</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Pour déterminer si une obligation de diligence repose sur le gouvernement, il faut procéder à un « examen des attributions pertinentes que la Loi confère » à l</w:t>
      </w:r>
      <w:r>
        <w:rPr>
          <w:rFonts w:cs="Times New Roman"/>
          <w:szCs w:val="24"/>
          <w:lang w:val="fr-CA"/>
        </w:rPr>
        <w:t>’</w:t>
      </w:r>
      <w:r w:rsidRPr="00954404">
        <w:rPr>
          <w:rFonts w:cs="Times New Roman"/>
          <w:szCs w:val="24"/>
          <w:lang w:val="fr-CA"/>
        </w:rPr>
        <w:t>entité gouvernementale</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Cooper</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 xml:space="preserve">45.  Voir également </w:t>
      </w:r>
      <w:r w:rsidRPr="00954404">
        <w:rPr>
          <w:rFonts w:cs="Times New Roman"/>
          <w:i/>
          <w:szCs w:val="24"/>
          <w:lang w:val="fr-CA"/>
        </w:rPr>
        <w:t>Broome</w:t>
      </w:r>
      <w:r w:rsidRPr="00954404">
        <w:rPr>
          <w:rFonts w:cs="Times New Roman"/>
          <w:szCs w:val="24"/>
          <w:lang w:val="fr-CA"/>
        </w:rPr>
        <w:t>,</w:t>
      </w:r>
      <w:r w:rsidRPr="00954404">
        <w:rPr>
          <w:rFonts w:cs="Times New Roman"/>
          <w:i/>
          <w:szCs w:val="24"/>
          <w:lang w:val="fr-CA"/>
        </w:rPr>
        <w:t xml:space="preserve"> </w:t>
      </w:r>
      <w:r>
        <w:rPr>
          <w:rFonts w:cs="Times New Roman"/>
          <w:szCs w:val="24"/>
          <w:lang w:val="fr-CA"/>
        </w:rPr>
        <w:t>par. </w:t>
      </w:r>
      <w:r w:rsidRPr="00954404">
        <w:rPr>
          <w:rFonts w:cs="Times New Roman"/>
          <w:szCs w:val="24"/>
          <w:lang w:val="fr-CA"/>
        </w:rPr>
        <w:t xml:space="preserve">20; </w:t>
      </w:r>
      <w:r w:rsidRPr="00954404">
        <w:rPr>
          <w:rFonts w:cs="Times New Roman"/>
          <w:i/>
          <w:szCs w:val="24"/>
          <w:lang w:val="fr-CA"/>
        </w:rPr>
        <w:t>Syl Apps Secure Treatment Centre c. B.D.</w:t>
      </w:r>
      <w:r w:rsidRPr="00954404">
        <w:rPr>
          <w:rFonts w:cs="Times New Roman"/>
          <w:szCs w:val="24"/>
          <w:lang w:val="fr-CA"/>
        </w:rPr>
        <w:t>, 2007 CSC 3</w:t>
      </w:r>
      <w:r w:rsidR="00E9060A">
        <w:rPr>
          <w:rFonts w:cs="Times New Roman"/>
          <w:szCs w:val="24"/>
          <w:lang w:val="fr-CA"/>
        </w:rPr>
        <w:t>8</w:t>
      </w:r>
      <w:r w:rsidRPr="00954404">
        <w:rPr>
          <w:rFonts w:cs="Times New Roman"/>
          <w:szCs w:val="24"/>
          <w:lang w:val="fr-CA"/>
        </w:rPr>
        <w:t xml:space="preserve">, [2007] 3 R.C.S. 83, </w:t>
      </w:r>
      <w:r>
        <w:rPr>
          <w:rFonts w:cs="Times New Roman"/>
          <w:szCs w:val="24"/>
          <w:lang w:val="fr-CA"/>
        </w:rPr>
        <w:t>par. </w:t>
      </w:r>
      <w:r w:rsidRPr="00954404">
        <w:rPr>
          <w:rFonts w:cs="Times New Roman"/>
          <w:szCs w:val="24"/>
          <w:lang w:val="fr-CA"/>
        </w:rPr>
        <w:t xml:space="preserve">27. </w:t>
      </w:r>
    </w:p>
    <w:p w:rsidR="00466E7D" w:rsidRPr="00954404" w:rsidRDefault="00466E7D" w:rsidP="00466E7D">
      <w:pPr>
        <w:pStyle w:val="ParaNoNdepar-AltN"/>
        <w:rPr>
          <w:rStyle w:val="ssl2"/>
          <w:rFonts w:cs="Times New Roman"/>
          <w:szCs w:val="24"/>
          <w:lang w:val="fr-CA"/>
        </w:rPr>
      </w:pPr>
      <w:r w:rsidRPr="00954404">
        <w:rPr>
          <w:rStyle w:val="ssl2"/>
          <w:rFonts w:cs="Times New Roman"/>
          <w:szCs w:val="24"/>
          <w:lang w:val="fr-CA"/>
        </w:rPr>
        <w:t xml:space="preserve">En </w:t>
      </w:r>
      <w:r w:rsidRPr="00954404">
        <w:rPr>
          <w:rFonts w:cs="Times New Roman"/>
          <w:szCs w:val="24"/>
          <w:lang w:val="fr-CA"/>
        </w:rPr>
        <w:t>l</w:t>
      </w:r>
      <w:r>
        <w:rPr>
          <w:rFonts w:cs="Times New Roman"/>
          <w:szCs w:val="24"/>
          <w:lang w:val="fr-CA"/>
        </w:rPr>
        <w:t>’</w:t>
      </w:r>
      <w:r w:rsidRPr="00954404">
        <w:rPr>
          <w:rFonts w:cs="Times New Roman"/>
          <w:szCs w:val="24"/>
          <w:lang w:val="fr-CA"/>
        </w:rPr>
        <w:t>espèce</w:t>
      </w:r>
      <w:r w:rsidRPr="00954404">
        <w:rPr>
          <w:rStyle w:val="ssl2"/>
          <w:rFonts w:cs="Times New Roman"/>
          <w:szCs w:val="24"/>
          <w:lang w:val="fr-CA"/>
        </w:rPr>
        <w:t>, le régime législatif n</w:t>
      </w:r>
      <w:r>
        <w:rPr>
          <w:rStyle w:val="ssl2"/>
          <w:rFonts w:cs="Times New Roman"/>
          <w:szCs w:val="24"/>
          <w:lang w:val="fr-CA"/>
        </w:rPr>
        <w:t>’</w:t>
      </w:r>
      <w:r w:rsidRPr="00954404">
        <w:rPr>
          <w:rStyle w:val="ssl2"/>
          <w:rFonts w:cs="Times New Roman"/>
          <w:szCs w:val="24"/>
          <w:lang w:val="fr-CA"/>
        </w:rPr>
        <w:t xml:space="preserve">impose pas </w:t>
      </w:r>
      <w:r w:rsidRPr="00954404">
        <w:rPr>
          <w:rFonts w:cs="Times New Roman"/>
          <w:szCs w:val="24"/>
          <w:lang w:val="fr-CA"/>
        </w:rPr>
        <w:t>à l</w:t>
      </w:r>
      <w:r>
        <w:rPr>
          <w:rFonts w:cs="Times New Roman"/>
          <w:szCs w:val="24"/>
          <w:lang w:val="fr-CA"/>
        </w:rPr>
        <w:t>’</w:t>
      </w:r>
      <w:r w:rsidRPr="00954404">
        <w:rPr>
          <w:rFonts w:cs="Times New Roman"/>
          <w:szCs w:val="24"/>
          <w:lang w:val="fr-CA"/>
        </w:rPr>
        <w:t xml:space="preserve">État </w:t>
      </w:r>
      <w:r w:rsidRPr="00954404">
        <w:rPr>
          <w:rStyle w:val="ssl2"/>
          <w:rFonts w:cs="Times New Roman"/>
          <w:szCs w:val="24"/>
          <w:lang w:val="fr-CA"/>
        </w:rPr>
        <w:t>l</w:t>
      </w:r>
      <w:r>
        <w:rPr>
          <w:rStyle w:val="ssl2"/>
          <w:rFonts w:cs="Times New Roman"/>
          <w:szCs w:val="24"/>
          <w:lang w:val="fr-CA"/>
        </w:rPr>
        <w:t>’</w:t>
      </w:r>
      <w:r w:rsidRPr="00954404">
        <w:rPr>
          <w:rStyle w:val="ssl2"/>
          <w:rFonts w:cs="Times New Roman"/>
          <w:szCs w:val="24"/>
          <w:lang w:val="fr-CA"/>
        </w:rPr>
        <w:t>obligation d</w:t>
      </w:r>
      <w:r>
        <w:rPr>
          <w:rStyle w:val="ssl2"/>
          <w:rFonts w:cs="Times New Roman"/>
          <w:szCs w:val="24"/>
          <w:lang w:val="fr-CA"/>
        </w:rPr>
        <w:t>’</w:t>
      </w:r>
      <w:r w:rsidRPr="00954404">
        <w:rPr>
          <w:rStyle w:val="ssl2"/>
          <w:rFonts w:cs="Times New Roman"/>
          <w:szCs w:val="24"/>
          <w:lang w:val="fr-CA"/>
        </w:rPr>
        <w:t>agir pour le bénéfice des membres du groupe à l</w:t>
      </w:r>
      <w:r>
        <w:rPr>
          <w:rStyle w:val="ssl2"/>
          <w:rFonts w:cs="Times New Roman"/>
          <w:szCs w:val="24"/>
          <w:lang w:val="fr-CA"/>
        </w:rPr>
        <w:t>’</w:t>
      </w:r>
      <w:r w:rsidRPr="00954404">
        <w:rPr>
          <w:rStyle w:val="ssl2"/>
          <w:rFonts w:cs="Times New Roman"/>
          <w:szCs w:val="24"/>
          <w:lang w:val="fr-CA"/>
        </w:rPr>
        <w:t>égard des frais d</w:t>
      </w:r>
      <w:r>
        <w:rPr>
          <w:rStyle w:val="ssl2"/>
          <w:rFonts w:cs="Times New Roman"/>
          <w:szCs w:val="24"/>
          <w:lang w:val="fr-CA"/>
        </w:rPr>
        <w:t>’</w:t>
      </w:r>
      <w:r w:rsidRPr="00954404">
        <w:rPr>
          <w:rStyle w:val="ssl2"/>
          <w:rFonts w:cs="Times New Roman"/>
          <w:szCs w:val="24"/>
          <w:lang w:val="fr-CA"/>
        </w:rPr>
        <w:t>hébergement.  Un examen des dispositions pertinentes révèle que le ministre a l</w:t>
      </w:r>
      <w:r>
        <w:rPr>
          <w:rStyle w:val="ssl2"/>
          <w:rFonts w:cs="Times New Roman"/>
          <w:szCs w:val="24"/>
          <w:lang w:val="fr-CA"/>
        </w:rPr>
        <w:t>’</w:t>
      </w:r>
      <w:r w:rsidRPr="00954404">
        <w:rPr>
          <w:rStyle w:val="ssl2"/>
          <w:rFonts w:cs="Times New Roman"/>
          <w:szCs w:val="24"/>
          <w:lang w:val="fr-CA"/>
        </w:rPr>
        <w:t>obligation générale de fournir des services de soins de santé assurés</w:t>
      </w:r>
      <w:r>
        <w:rPr>
          <w:rStyle w:val="ssl2"/>
          <w:rFonts w:cs="Times New Roman"/>
          <w:szCs w:val="24"/>
          <w:lang w:val="fr-CA"/>
        </w:rPr>
        <w:t> :</w:t>
      </w:r>
      <w:r w:rsidRPr="00954404">
        <w:rPr>
          <w:rFonts w:cs="Times New Roman"/>
          <w:i/>
          <w:szCs w:val="24"/>
          <w:lang w:val="fr-CA"/>
        </w:rPr>
        <w:t xml:space="preserve"> Alberta Health Care Insurance Act</w:t>
      </w:r>
      <w:r w:rsidRPr="00954404">
        <w:rPr>
          <w:rFonts w:cs="Times New Roman"/>
          <w:szCs w:val="24"/>
          <w:lang w:val="fr-CA"/>
        </w:rPr>
        <w:t xml:space="preserve">, </w:t>
      </w:r>
      <w:r>
        <w:rPr>
          <w:rFonts w:cs="Times New Roman"/>
          <w:szCs w:val="24"/>
          <w:lang w:val="fr-CA"/>
        </w:rPr>
        <w:t>art. </w:t>
      </w:r>
      <w:r w:rsidRPr="00954404">
        <w:rPr>
          <w:rFonts w:cs="Times New Roman"/>
          <w:szCs w:val="24"/>
          <w:lang w:val="fr-CA"/>
        </w:rPr>
        <w:t>3.  Or, les demandeurs n</w:t>
      </w:r>
      <w:r>
        <w:rPr>
          <w:rFonts w:cs="Times New Roman"/>
          <w:szCs w:val="24"/>
          <w:lang w:val="fr-CA"/>
        </w:rPr>
        <w:t>’</w:t>
      </w:r>
      <w:r w:rsidRPr="00954404">
        <w:rPr>
          <w:rFonts w:cs="Times New Roman"/>
          <w:szCs w:val="24"/>
          <w:lang w:val="fr-CA"/>
        </w:rPr>
        <w:t>ont pu appuyer sur les dispositions l</w:t>
      </w:r>
      <w:r>
        <w:rPr>
          <w:rFonts w:cs="Times New Roman"/>
          <w:szCs w:val="24"/>
          <w:lang w:val="fr-CA"/>
        </w:rPr>
        <w:t>’</w:t>
      </w:r>
      <w:r w:rsidRPr="00954404">
        <w:rPr>
          <w:rFonts w:cs="Times New Roman"/>
          <w:szCs w:val="24"/>
          <w:lang w:val="fr-CA"/>
        </w:rPr>
        <w:t>existence d</w:t>
      </w:r>
      <w:r>
        <w:rPr>
          <w:rFonts w:cs="Times New Roman"/>
          <w:szCs w:val="24"/>
          <w:lang w:val="fr-CA"/>
        </w:rPr>
        <w:t>’</w:t>
      </w:r>
      <w:r w:rsidRPr="00954404">
        <w:rPr>
          <w:rFonts w:cs="Times New Roman"/>
          <w:szCs w:val="24"/>
          <w:lang w:val="fr-CA"/>
        </w:rPr>
        <w:t>une obligation de vérifier, de superviser, de contrôler ou de gérer les fonds liés aux frais d</w:t>
      </w:r>
      <w:r>
        <w:rPr>
          <w:rFonts w:cs="Times New Roman"/>
          <w:szCs w:val="24"/>
          <w:lang w:val="fr-CA"/>
        </w:rPr>
        <w:t>’</w:t>
      </w:r>
      <w:r w:rsidRPr="00954404">
        <w:rPr>
          <w:rFonts w:cs="Times New Roman"/>
          <w:szCs w:val="24"/>
          <w:lang w:val="fr-CA"/>
        </w:rPr>
        <w:t>hébergement</w:t>
      </w:r>
      <w:r w:rsidRPr="00954404">
        <w:rPr>
          <w:rStyle w:val="ssl2"/>
          <w:rFonts w:cs="Times New Roman"/>
          <w:szCs w:val="24"/>
          <w:lang w:val="fr-CA"/>
        </w:rPr>
        <w:t>.  La</w:t>
      </w:r>
      <w:r w:rsidRPr="00954404">
        <w:rPr>
          <w:rStyle w:val="ssl2"/>
          <w:rFonts w:cs="Times New Roman"/>
          <w:i/>
          <w:szCs w:val="24"/>
          <w:lang w:val="fr-CA"/>
        </w:rPr>
        <w:t xml:space="preserve"> Nursing Homes Act</w:t>
      </w:r>
      <w:r w:rsidRPr="00954404">
        <w:rPr>
          <w:rStyle w:val="ssl2"/>
          <w:rFonts w:cs="Times New Roman"/>
          <w:szCs w:val="24"/>
          <w:lang w:val="fr-CA"/>
        </w:rPr>
        <w:t xml:space="preserve"> n</w:t>
      </w:r>
      <w:r>
        <w:rPr>
          <w:rStyle w:val="ssl2"/>
          <w:rFonts w:cs="Times New Roman"/>
          <w:szCs w:val="24"/>
          <w:lang w:val="fr-CA"/>
        </w:rPr>
        <w:t>’</w:t>
      </w:r>
      <w:r w:rsidRPr="00954404">
        <w:rPr>
          <w:rStyle w:val="ssl2"/>
          <w:rFonts w:cs="Times New Roman"/>
          <w:szCs w:val="24"/>
          <w:lang w:val="fr-CA"/>
        </w:rPr>
        <w:t xml:space="preserve">impose </w:t>
      </w:r>
      <w:r w:rsidRPr="00954404">
        <w:rPr>
          <w:rFonts w:cs="Times New Roman"/>
          <w:szCs w:val="24"/>
          <w:lang w:val="fr-CA"/>
        </w:rPr>
        <w:t>à l</w:t>
      </w:r>
      <w:r>
        <w:rPr>
          <w:rFonts w:cs="Times New Roman"/>
          <w:szCs w:val="24"/>
          <w:lang w:val="fr-CA"/>
        </w:rPr>
        <w:t>’</w:t>
      </w:r>
      <w:r w:rsidRPr="00954404">
        <w:rPr>
          <w:rFonts w:cs="Times New Roman"/>
          <w:szCs w:val="24"/>
          <w:lang w:val="fr-CA"/>
        </w:rPr>
        <w:t xml:space="preserve">État </w:t>
      </w:r>
      <w:r w:rsidRPr="00954404">
        <w:rPr>
          <w:rStyle w:val="ssl2"/>
          <w:rFonts w:cs="Times New Roman"/>
          <w:szCs w:val="24"/>
          <w:lang w:val="fr-CA"/>
        </w:rPr>
        <w:t>aucune obligation positive, elle ne lui confère que des pouvoirs de contrôle facultatifs.  Les exigences de rendre compte sont discrétionnaires (c.</w:t>
      </w:r>
      <w:r>
        <w:rPr>
          <w:rStyle w:val="ssl2"/>
          <w:rFonts w:cs="Times New Roman"/>
          <w:szCs w:val="24"/>
          <w:lang w:val="fr-CA"/>
        </w:rPr>
        <w:noBreakHyphen/>
      </w:r>
      <w:r w:rsidRPr="00954404">
        <w:rPr>
          <w:rStyle w:val="ssl2"/>
          <w:rFonts w:cs="Times New Roman"/>
          <w:szCs w:val="24"/>
          <w:lang w:val="fr-CA"/>
        </w:rPr>
        <w:t>à</w:t>
      </w:r>
      <w:r>
        <w:rPr>
          <w:rStyle w:val="ssl2"/>
          <w:rFonts w:cs="Times New Roman"/>
          <w:szCs w:val="24"/>
          <w:lang w:val="fr-CA"/>
        </w:rPr>
        <w:noBreakHyphen/>
      </w:r>
      <w:r w:rsidRPr="00954404">
        <w:rPr>
          <w:rStyle w:val="ssl2"/>
          <w:rFonts w:cs="Times New Roman"/>
          <w:szCs w:val="24"/>
          <w:lang w:val="fr-CA"/>
        </w:rPr>
        <w:t>d. à la demande du ministre).  Bien que ces exigences remontent la voie hiérarchique (c.</w:t>
      </w:r>
      <w:r>
        <w:rPr>
          <w:rStyle w:val="ssl2"/>
          <w:rFonts w:cs="Times New Roman"/>
          <w:szCs w:val="24"/>
          <w:lang w:val="fr-CA"/>
        </w:rPr>
        <w:noBreakHyphen/>
      </w:r>
      <w:r w:rsidRPr="00954404">
        <w:rPr>
          <w:rStyle w:val="ssl2"/>
          <w:rFonts w:cs="Times New Roman"/>
          <w:szCs w:val="24"/>
          <w:lang w:val="fr-CA"/>
        </w:rPr>
        <w:t>à</w:t>
      </w:r>
      <w:r>
        <w:rPr>
          <w:rStyle w:val="ssl2"/>
          <w:rFonts w:cs="Times New Roman"/>
          <w:szCs w:val="24"/>
          <w:lang w:val="fr-CA"/>
        </w:rPr>
        <w:noBreakHyphen/>
      </w:r>
      <w:r w:rsidRPr="00954404">
        <w:rPr>
          <w:rStyle w:val="ssl2"/>
          <w:rFonts w:cs="Times New Roman"/>
          <w:szCs w:val="24"/>
          <w:lang w:val="fr-CA"/>
        </w:rPr>
        <w:t>d. que l</w:t>
      </w:r>
      <w:r>
        <w:rPr>
          <w:rStyle w:val="ssl2"/>
          <w:rFonts w:cs="Times New Roman"/>
          <w:szCs w:val="24"/>
          <w:lang w:val="fr-CA"/>
        </w:rPr>
        <w:t>’</w:t>
      </w:r>
      <w:r w:rsidRPr="00954404">
        <w:rPr>
          <w:rStyle w:val="ssl2"/>
          <w:rFonts w:cs="Times New Roman"/>
          <w:szCs w:val="24"/>
          <w:lang w:val="fr-CA"/>
        </w:rPr>
        <w:t>ARS ou l</w:t>
      </w:r>
      <w:r>
        <w:rPr>
          <w:rStyle w:val="ssl2"/>
          <w:rFonts w:cs="Times New Roman"/>
          <w:szCs w:val="24"/>
          <w:lang w:val="fr-CA"/>
        </w:rPr>
        <w:t>’</w:t>
      </w:r>
      <w:r w:rsidRPr="00954404">
        <w:rPr>
          <w:rStyle w:val="ssl2"/>
          <w:rFonts w:cs="Times New Roman"/>
          <w:szCs w:val="24"/>
          <w:lang w:val="fr-CA"/>
        </w:rPr>
        <w:t xml:space="preserve">exploitant doit rendre compte au ministre), le </w:t>
      </w:r>
      <w:r w:rsidRPr="00954404">
        <w:rPr>
          <w:rStyle w:val="ssl2"/>
          <w:rFonts w:cs="Times New Roman"/>
          <w:i/>
          <w:szCs w:val="24"/>
          <w:lang w:val="fr-CA"/>
        </w:rPr>
        <w:t>ministre</w:t>
      </w:r>
      <w:r w:rsidRPr="00954404">
        <w:rPr>
          <w:rStyle w:val="ssl2"/>
          <w:rFonts w:cs="Times New Roman"/>
          <w:szCs w:val="24"/>
          <w:lang w:val="fr-CA"/>
        </w:rPr>
        <w:t xml:space="preserve"> n</w:t>
      </w:r>
      <w:r>
        <w:rPr>
          <w:rStyle w:val="ssl2"/>
          <w:rFonts w:cs="Times New Roman"/>
          <w:szCs w:val="24"/>
          <w:lang w:val="fr-CA"/>
        </w:rPr>
        <w:t>’</w:t>
      </w:r>
      <w:r w:rsidRPr="00954404">
        <w:rPr>
          <w:rStyle w:val="ssl2"/>
          <w:rFonts w:cs="Times New Roman"/>
          <w:szCs w:val="24"/>
          <w:lang w:val="fr-CA"/>
        </w:rPr>
        <w:t>est pas tenu de répondre</w:t>
      </w:r>
      <w:r>
        <w:rPr>
          <w:rStyle w:val="ssl2"/>
          <w:rFonts w:cs="Times New Roman"/>
          <w:szCs w:val="24"/>
          <w:lang w:val="fr-CA"/>
        </w:rPr>
        <w:t> :</w:t>
      </w:r>
      <w:r w:rsidRPr="00954404">
        <w:rPr>
          <w:rStyle w:val="ssl2"/>
          <w:rFonts w:cs="Times New Roman"/>
          <w:szCs w:val="24"/>
          <w:lang w:val="fr-CA"/>
        </w:rPr>
        <w:t xml:space="preserve"> </w:t>
      </w:r>
      <w:r w:rsidRPr="00954404">
        <w:rPr>
          <w:rStyle w:val="ssl2"/>
          <w:rFonts w:cs="Times New Roman"/>
          <w:i/>
          <w:szCs w:val="24"/>
          <w:lang w:val="fr-CA"/>
        </w:rPr>
        <w:t>Nursing Homes Act</w:t>
      </w:r>
      <w:r w:rsidRPr="00954404">
        <w:rPr>
          <w:rStyle w:val="ssl2"/>
          <w:rFonts w:cs="Times New Roman"/>
          <w:szCs w:val="24"/>
          <w:lang w:val="fr-CA"/>
        </w:rPr>
        <w:t xml:space="preserve">, </w:t>
      </w:r>
      <w:r>
        <w:rPr>
          <w:rStyle w:val="ssl2"/>
          <w:rFonts w:cs="Times New Roman"/>
          <w:szCs w:val="24"/>
          <w:lang w:val="fr-CA"/>
        </w:rPr>
        <w:t>art. </w:t>
      </w:r>
      <w:r w:rsidRPr="00954404">
        <w:rPr>
          <w:rStyle w:val="ssl2"/>
          <w:rFonts w:cs="Times New Roman"/>
          <w:szCs w:val="24"/>
          <w:lang w:val="fr-CA"/>
        </w:rPr>
        <w:t>12 et 19.  Il en va de même pour les règlements d</w:t>
      </w:r>
      <w:r>
        <w:rPr>
          <w:rStyle w:val="ssl2"/>
          <w:rFonts w:cs="Times New Roman"/>
          <w:szCs w:val="24"/>
          <w:lang w:val="fr-CA"/>
        </w:rPr>
        <w:t>’</w:t>
      </w:r>
      <w:r w:rsidRPr="00954404">
        <w:rPr>
          <w:rStyle w:val="ssl2"/>
          <w:rFonts w:cs="Times New Roman"/>
          <w:szCs w:val="24"/>
          <w:lang w:val="fr-CA"/>
        </w:rPr>
        <w:t xml:space="preserve">application de cette Loi (le </w:t>
      </w:r>
      <w:r w:rsidRPr="00954404">
        <w:rPr>
          <w:rStyle w:val="ssl2"/>
          <w:rFonts w:cs="Times New Roman"/>
          <w:i/>
          <w:szCs w:val="24"/>
          <w:lang w:val="fr-CA"/>
        </w:rPr>
        <w:t>N</w:t>
      </w:r>
      <w:r w:rsidRPr="00954404">
        <w:rPr>
          <w:rFonts w:cs="Times New Roman"/>
          <w:i/>
          <w:szCs w:val="24"/>
          <w:lang w:val="fr-CA"/>
        </w:rPr>
        <w:t xml:space="preserve">ursing Homes General Regulation </w:t>
      </w:r>
      <w:r w:rsidRPr="00954404">
        <w:rPr>
          <w:rFonts w:cs="Times New Roman"/>
          <w:szCs w:val="24"/>
          <w:lang w:val="fr-CA"/>
        </w:rPr>
        <w:t>et le</w:t>
      </w:r>
      <w:r w:rsidRPr="00954404">
        <w:rPr>
          <w:rFonts w:cs="Times New Roman"/>
          <w:i/>
          <w:szCs w:val="24"/>
          <w:lang w:val="fr-CA"/>
        </w:rPr>
        <w:t xml:space="preserve"> Nursing Homes Operation Regulation</w:t>
      </w:r>
      <w:r w:rsidRPr="00954404">
        <w:rPr>
          <w:rFonts w:cs="Times New Roman"/>
          <w:szCs w:val="24"/>
          <w:lang w:val="fr-CA"/>
        </w:rPr>
        <w:t xml:space="preserve">), pour la </w:t>
      </w:r>
      <w:r w:rsidRPr="00954404">
        <w:rPr>
          <w:rFonts w:cs="Times New Roman"/>
          <w:i/>
          <w:szCs w:val="24"/>
          <w:lang w:val="fr-CA"/>
        </w:rPr>
        <w:t>Regional Health Authorities Act</w:t>
      </w:r>
      <w:r w:rsidRPr="00954404">
        <w:rPr>
          <w:rFonts w:cs="Times New Roman"/>
          <w:szCs w:val="24"/>
          <w:lang w:val="fr-CA"/>
        </w:rPr>
        <w:t xml:space="preserve">, </w:t>
      </w:r>
      <w:r>
        <w:rPr>
          <w:rFonts w:cs="Times New Roman"/>
          <w:szCs w:val="24"/>
          <w:lang w:val="fr-CA"/>
        </w:rPr>
        <w:t>art. </w:t>
      </w:r>
      <w:r w:rsidRPr="00954404">
        <w:rPr>
          <w:rFonts w:cs="Times New Roman"/>
          <w:szCs w:val="24"/>
          <w:lang w:val="fr-CA"/>
        </w:rPr>
        <w:t>9, 13, 14 et 21, et ses règlements d</w:t>
      </w:r>
      <w:r>
        <w:rPr>
          <w:rFonts w:cs="Times New Roman"/>
          <w:szCs w:val="24"/>
          <w:lang w:val="fr-CA"/>
        </w:rPr>
        <w:t>’</w:t>
      </w:r>
      <w:r w:rsidRPr="00954404">
        <w:rPr>
          <w:rFonts w:cs="Times New Roman"/>
          <w:szCs w:val="24"/>
          <w:lang w:val="fr-CA"/>
        </w:rPr>
        <w:t xml:space="preserve">application, ainsi que pour la </w:t>
      </w:r>
      <w:r w:rsidRPr="00954404">
        <w:rPr>
          <w:rFonts w:cs="Times New Roman"/>
          <w:i/>
          <w:szCs w:val="24"/>
          <w:lang w:val="fr-CA"/>
        </w:rPr>
        <w:t>Hospitals Act</w:t>
      </w:r>
      <w:r w:rsidRPr="00954404">
        <w:rPr>
          <w:rFonts w:cs="Times New Roman"/>
          <w:szCs w:val="24"/>
          <w:lang w:val="fr-CA"/>
        </w:rPr>
        <w:t xml:space="preserve">, </w:t>
      </w:r>
      <w:r>
        <w:rPr>
          <w:rFonts w:cs="Times New Roman"/>
          <w:szCs w:val="24"/>
          <w:lang w:val="fr-CA"/>
        </w:rPr>
        <w:t>art. </w:t>
      </w:r>
      <w:r w:rsidRPr="00954404">
        <w:rPr>
          <w:rFonts w:cs="Times New Roman"/>
          <w:szCs w:val="24"/>
          <w:lang w:val="fr-CA"/>
        </w:rPr>
        <w:t>25</w:t>
      </w:r>
      <w:r>
        <w:rPr>
          <w:rFonts w:cs="Times New Roman"/>
          <w:szCs w:val="24"/>
          <w:lang w:val="fr-CA"/>
        </w:rPr>
        <w:noBreakHyphen/>
      </w:r>
      <w:r w:rsidRPr="00954404">
        <w:rPr>
          <w:rFonts w:cs="Times New Roman"/>
          <w:szCs w:val="24"/>
          <w:lang w:val="fr-CA"/>
        </w:rPr>
        <w:t>27 et 29, et ses règlements d</w:t>
      </w:r>
      <w:r>
        <w:rPr>
          <w:rFonts w:cs="Times New Roman"/>
          <w:szCs w:val="24"/>
          <w:lang w:val="fr-CA"/>
        </w:rPr>
        <w:t>’</w:t>
      </w:r>
      <w:r w:rsidRPr="00954404">
        <w:rPr>
          <w:rFonts w:cs="Times New Roman"/>
          <w:szCs w:val="24"/>
          <w:lang w:val="fr-CA"/>
        </w:rPr>
        <w:t>application.</w:t>
      </w:r>
      <w:r w:rsidRPr="00954404">
        <w:rPr>
          <w:rStyle w:val="ssl2"/>
          <w:rFonts w:cs="Times New Roman"/>
          <w:szCs w:val="24"/>
          <w:lang w:val="fr-CA"/>
        </w:rPr>
        <w:t xml:space="preserve">  Il y a lieu d</w:t>
      </w:r>
      <w:r>
        <w:rPr>
          <w:rStyle w:val="ssl2"/>
          <w:rFonts w:cs="Times New Roman"/>
          <w:szCs w:val="24"/>
          <w:lang w:val="fr-CA"/>
        </w:rPr>
        <w:t>’</w:t>
      </w:r>
      <w:r w:rsidRPr="00954404">
        <w:rPr>
          <w:rStyle w:val="ssl2"/>
          <w:rFonts w:cs="Times New Roman"/>
          <w:szCs w:val="24"/>
          <w:lang w:val="fr-CA"/>
        </w:rPr>
        <w:t>établir une distinction entre l</w:t>
      </w:r>
      <w:r>
        <w:rPr>
          <w:rStyle w:val="ssl2"/>
          <w:rFonts w:cs="Times New Roman"/>
          <w:szCs w:val="24"/>
          <w:lang w:val="fr-CA"/>
        </w:rPr>
        <w:t>’</w:t>
      </w:r>
      <w:r w:rsidRPr="00954404">
        <w:rPr>
          <w:rStyle w:val="ssl2"/>
          <w:rFonts w:cs="Times New Roman"/>
          <w:szCs w:val="24"/>
          <w:lang w:val="fr-CA"/>
        </w:rPr>
        <w:t xml:space="preserve">espèce et </w:t>
      </w:r>
      <w:r w:rsidRPr="00954404">
        <w:rPr>
          <w:rStyle w:val="ssl2"/>
          <w:rFonts w:cs="Times New Roman"/>
          <w:i/>
          <w:szCs w:val="24"/>
          <w:lang w:val="fr-CA"/>
        </w:rPr>
        <w:t xml:space="preserve">Brewer </w:t>
      </w:r>
      <w:r w:rsidRPr="00954404">
        <w:rPr>
          <w:rFonts w:cs="Times New Roman"/>
          <w:i/>
          <w:szCs w:val="24"/>
          <w:lang w:val="fr-CA"/>
        </w:rPr>
        <w:t>Bros. c. Canada (Procureur général)</w:t>
      </w:r>
      <w:r w:rsidRPr="00954404">
        <w:rPr>
          <w:rFonts w:cs="Times New Roman"/>
          <w:szCs w:val="24"/>
          <w:lang w:val="fr-CA"/>
        </w:rPr>
        <w:t xml:space="preserve">, </w:t>
      </w:r>
      <w:r w:rsidRPr="00954404">
        <w:rPr>
          <w:rStyle w:val="ssl2"/>
          <w:rFonts w:cs="Times New Roman"/>
          <w:szCs w:val="24"/>
          <w:lang w:val="fr-CA"/>
        </w:rPr>
        <w:t>[1992] 1 C.F. 25 (C.A.), sur lequel s</w:t>
      </w:r>
      <w:r>
        <w:rPr>
          <w:rStyle w:val="ssl2"/>
          <w:rFonts w:cs="Times New Roman"/>
          <w:szCs w:val="24"/>
          <w:lang w:val="fr-CA"/>
        </w:rPr>
        <w:t>’</w:t>
      </w:r>
      <w:r w:rsidRPr="00954404">
        <w:rPr>
          <w:rStyle w:val="ssl2"/>
          <w:rFonts w:cs="Times New Roman"/>
          <w:szCs w:val="24"/>
          <w:lang w:val="fr-CA"/>
        </w:rPr>
        <w:t xml:space="preserve">appuient les </w:t>
      </w:r>
      <w:r w:rsidRPr="00954404">
        <w:rPr>
          <w:rStyle w:val="ssl2"/>
          <w:rFonts w:cs="Times New Roman"/>
          <w:szCs w:val="24"/>
          <w:lang w:val="fr-CA"/>
        </w:rPr>
        <w:lastRenderedPageBreak/>
        <w:t>demandeurs, où la loi en question imposait à l</w:t>
      </w:r>
      <w:r>
        <w:rPr>
          <w:rStyle w:val="ssl2"/>
          <w:rFonts w:cs="Times New Roman"/>
          <w:szCs w:val="24"/>
          <w:lang w:val="fr-CA"/>
        </w:rPr>
        <w:t>’</w:t>
      </w:r>
      <w:r w:rsidRPr="00954404">
        <w:rPr>
          <w:rStyle w:val="ssl2"/>
          <w:rFonts w:cs="Times New Roman"/>
          <w:szCs w:val="24"/>
          <w:lang w:val="fr-CA"/>
        </w:rPr>
        <w:t xml:space="preserve">autorité publique une </w:t>
      </w:r>
      <w:r w:rsidRPr="00954404">
        <w:rPr>
          <w:rStyle w:val="ssl2"/>
          <w:rFonts w:cs="Times New Roman"/>
          <w:i/>
          <w:szCs w:val="24"/>
          <w:lang w:val="fr-CA"/>
        </w:rPr>
        <w:t>obligation positive d</w:t>
      </w:r>
      <w:r>
        <w:rPr>
          <w:rStyle w:val="ssl2"/>
          <w:rFonts w:cs="Times New Roman"/>
          <w:i/>
          <w:szCs w:val="24"/>
          <w:lang w:val="fr-CA"/>
        </w:rPr>
        <w:t>’</w:t>
      </w:r>
      <w:r w:rsidRPr="00954404">
        <w:rPr>
          <w:rStyle w:val="ssl2"/>
          <w:rFonts w:cs="Times New Roman"/>
          <w:i/>
          <w:szCs w:val="24"/>
          <w:lang w:val="fr-CA"/>
        </w:rPr>
        <w:t>agir</w:t>
      </w:r>
      <w:r w:rsidRPr="00954404">
        <w:rPr>
          <w:rStyle w:val="ssl2"/>
          <w:rFonts w:cs="Times New Roman"/>
          <w:szCs w:val="24"/>
          <w:lang w:val="fr-CA"/>
        </w:rPr>
        <w:t>.</w:t>
      </w:r>
    </w:p>
    <w:p w:rsidR="00466E7D" w:rsidRPr="00954404" w:rsidRDefault="00466E7D" w:rsidP="00466E7D">
      <w:pPr>
        <w:pStyle w:val="ParaNoNdepar-AltN"/>
        <w:rPr>
          <w:rStyle w:val="ssl2"/>
          <w:rFonts w:cs="Times New Roman"/>
          <w:szCs w:val="24"/>
          <w:lang w:val="fr-CA"/>
        </w:rPr>
      </w:pPr>
      <w:r w:rsidRPr="00954404">
        <w:rPr>
          <w:rStyle w:val="ssl2"/>
          <w:rFonts w:cs="Times New Roman"/>
          <w:szCs w:val="24"/>
          <w:lang w:val="fr-CA"/>
        </w:rPr>
        <w:t>Pour ces motifs, je conclus que le régime législatif n</w:t>
      </w:r>
      <w:r>
        <w:rPr>
          <w:rStyle w:val="ssl2"/>
          <w:rFonts w:cs="Times New Roman"/>
          <w:szCs w:val="24"/>
          <w:lang w:val="fr-CA"/>
        </w:rPr>
        <w:t>’</w:t>
      </w:r>
      <w:r w:rsidRPr="00954404">
        <w:rPr>
          <w:rStyle w:val="ssl2"/>
          <w:rFonts w:cs="Times New Roman"/>
          <w:szCs w:val="24"/>
          <w:lang w:val="fr-CA"/>
        </w:rPr>
        <w:t>impose pas une obligation de diligence à l</w:t>
      </w:r>
      <w:r>
        <w:rPr>
          <w:rStyle w:val="ssl2"/>
          <w:rFonts w:cs="Times New Roman"/>
          <w:szCs w:val="24"/>
          <w:lang w:val="fr-CA"/>
        </w:rPr>
        <w:t>’</w:t>
      </w:r>
      <w:r w:rsidRPr="00954404">
        <w:rPr>
          <w:rStyle w:val="ssl2"/>
          <w:rFonts w:cs="Times New Roman"/>
          <w:szCs w:val="24"/>
          <w:lang w:val="fr-CA"/>
        </w:rPr>
        <w:t>Alberta.  Toutefois, le groupe de demandeurs prétend également que par sa conduite, l</w:t>
      </w:r>
      <w:r>
        <w:rPr>
          <w:rStyle w:val="ssl2"/>
          <w:rFonts w:cs="Times New Roman"/>
          <w:szCs w:val="24"/>
          <w:lang w:val="fr-CA"/>
        </w:rPr>
        <w:t>’</w:t>
      </w:r>
      <w:r w:rsidRPr="00954404">
        <w:rPr>
          <w:rStyle w:val="ssl2"/>
          <w:rFonts w:cs="Times New Roman"/>
          <w:szCs w:val="24"/>
          <w:lang w:val="fr-CA"/>
        </w:rPr>
        <w:t>Alberta a établi un rapport suffisamment étroit pour donner naissance à une obligation de diligence.  Les demandeurs invoquent, d</w:t>
      </w:r>
      <w:r>
        <w:rPr>
          <w:rStyle w:val="ssl2"/>
          <w:rFonts w:cs="Times New Roman"/>
          <w:szCs w:val="24"/>
          <w:lang w:val="fr-CA"/>
        </w:rPr>
        <w:t>’</w:t>
      </w:r>
      <w:r w:rsidRPr="00954404">
        <w:rPr>
          <w:rStyle w:val="ssl2"/>
          <w:rFonts w:cs="Times New Roman"/>
          <w:szCs w:val="24"/>
          <w:lang w:val="fr-CA"/>
        </w:rPr>
        <w:t>une façon générale, le fait que l</w:t>
      </w:r>
      <w:r>
        <w:rPr>
          <w:rStyle w:val="ssl2"/>
          <w:rFonts w:cs="Times New Roman"/>
          <w:szCs w:val="24"/>
          <w:lang w:val="fr-CA"/>
        </w:rPr>
        <w:t>’</w:t>
      </w:r>
      <w:r w:rsidRPr="00954404">
        <w:rPr>
          <w:rStyle w:val="ssl2"/>
          <w:rFonts w:cs="Times New Roman"/>
          <w:szCs w:val="24"/>
          <w:lang w:val="fr-CA"/>
        </w:rPr>
        <w:t>Alberta supervisait, contrôlait et gérait les frais d</w:t>
      </w:r>
      <w:r>
        <w:rPr>
          <w:rStyle w:val="ssl2"/>
          <w:rFonts w:cs="Times New Roman"/>
          <w:szCs w:val="24"/>
          <w:lang w:val="fr-CA"/>
        </w:rPr>
        <w:t>’</w:t>
      </w:r>
      <w:r w:rsidRPr="00954404">
        <w:rPr>
          <w:rStyle w:val="ssl2"/>
          <w:rFonts w:cs="Times New Roman"/>
          <w:szCs w:val="24"/>
          <w:lang w:val="fr-CA"/>
        </w:rPr>
        <w:t>hébergement.  Plus précisément, ils insistent sur le fait que l</w:t>
      </w:r>
      <w:r>
        <w:rPr>
          <w:rStyle w:val="ssl2"/>
          <w:rFonts w:cs="Times New Roman"/>
          <w:szCs w:val="24"/>
          <w:lang w:val="fr-CA"/>
        </w:rPr>
        <w:t>’</w:t>
      </w:r>
      <w:r w:rsidRPr="00954404">
        <w:rPr>
          <w:rStyle w:val="ssl2"/>
          <w:rFonts w:cs="Times New Roman"/>
          <w:szCs w:val="24"/>
          <w:lang w:val="fr-CA"/>
        </w:rPr>
        <w:t>Alberta a ordonné aux autorités de la santé de facturer aux membres du groupe le montant maximum des frais d</w:t>
      </w:r>
      <w:r>
        <w:rPr>
          <w:rStyle w:val="ssl2"/>
          <w:rFonts w:cs="Times New Roman"/>
          <w:szCs w:val="24"/>
          <w:lang w:val="fr-CA"/>
        </w:rPr>
        <w:t>’</w:t>
      </w:r>
      <w:r w:rsidRPr="00954404">
        <w:rPr>
          <w:rStyle w:val="ssl2"/>
          <w:rFonts w:cs="Times New Roman"/>
          <w:szCs w:val="24"/>
          <w:lang w:val="fr-CA"/>
        </w:rPr>
        <w:t xml:space="preserve">hébergement, sans tenir compte des </w:t>
      </w:r>
      <w:r w:rsidRPr="00954404">
        <w:rPr>
          <w:rFonts w:cs="Times New Roman"/>
          <w:szCs w:val="24"/>
          <w:lang w:val="fr-CA"/>
        </w:rPr>
        <w:t>coûts réels</w:t>
      </w:r>
      <w:r w:rsidRPr="00954404">
        <w:rPr>
          <w:rFonts w:cs="Times New Roman"/>
          <w:i/>
          <w:szCs w:val="24"/>
          <w:lang w:val="fr-CA"/>
        </w:rPr>
        <w:t xml:space="preserve"> </w:t>
      </w:r>
      <w:r w:rsidRPr="00954404">
        <w:rPr>
          <w:rFonts w:cs="Times New Roman"/>
          <w:szCs w:val="24"/>
          <w:lang w:val="fr-CA"/>
        </w:rPr>
        <w:t>de l</w:t>
      </w:r>
      <w:r>
        <w:rPr>
          <w:rFonts w:cs="Times New Roman"/>
          <w:szCs w:val="24"/>
          <w:lang w:val="fr-CA"/>
        </w:rPr>
        <w:t>’</w:t>
      </w:r>
      <w:r w:rsidRPr="00954404">
        <w:rPr>
          <w:rFonts w:cs="Times New Roman"/>
          <w:szCs w:val="24"/>
          <w:lang w:val="fr-CA"/>
        </w:rPr>
        <w:t>hébergement et des repas, et</w:t>
      </w:r>
      <w:r w:rsidRPr="00954404">
        <w:rPr>
          <w:rStyle w:val="ssl2"/>
          <w:rFonts w:cs="Times New Roman"/>
          <w:szCs w:val="24"/>
          <w:lang w:val="fr-CA"/>
        </w:rPr>
        <w:t xml:space="preserve"> que les renseignements concernant les taux ont été transmis par les autorités de la santé directement aux membres du groupe sur l</w:t>
      </w:r>
      <w:r>
        <w:rPr>
          <w:rStyle w:val="ssl2"/>
          <w:rFonts w:cs="Times New Roman"/>
          <w:szCs w:val="24"/>
          <w:lang w:val="fr-CA"/>
        </w:rPr>
        <w:t>’</w:t>
      </w:r>
      <w:r w:rsidRPr="00954404">
        <w:rPr>
          <w:rStyle w:val="ssl2"/>
          <w:rFonts w:cs="Times New Roman"/>
          <w:szCs w:val="24"/>
          <w:lang w:val="fr-CA"/>
        </w:rPr>
        <w:t>ordre de l</w:t>
      </w:r>
      <w:r>
        <w:rPr>
          <w:rStyle w:val="ssl2"/>
          <w:rFonts w:cs="Times New Roman"/>
          <w:szCs w:val="24"/>
          <w:lang w:val="fr-CA"/>
        </w:rPr>
        <w:t>’</w:t>
      </w:r>
      <w:r w:rsidRPr="00954404">
        <w:rPr>
          <w:rStyle w:val="ssl2"/>
          <w:rFonts w:cs="Times New Roman"/>
          <w:szCs w:val="24"/>
          <w:lang w:val="fr-CA"/>
        </w:rPr>
        <w:t>Alberta.  Selon eux, ces éléments sont suffisants pour faire naître une relation de proximité.</w:t>
      </w:r>
    </w:p>
    <w:p w:rsidR="00466E7D" w:rsidRPr="00954404" w:rsidRDefault="00466E7D" w:rsidP="00466E7D">
      <w:pPr>
        <w:pStyle w:val="ParaNoNdepar-AltN"/>
        <w:rPr>
          <w:rStyle w:val="ssl2"/>
          <w:rFonts w:cs="Times New Roman"/>
          <w:szCs w:val="24"/>
          <w:lang w:val="fr-CA"/>
        </w:rPr>
      </w:pPr>
      <w:r w:rsidRPr="00954404">
        <w:rPr>
          <w:rStyle w:val="ssl2"/>
          <w:rFonts w:cs="Times New Roman"/>
          <w:szCs w:val="24"/>
          <w:lang w:val="fr-CA"/>
        </w:rPr>
        <w:t>En l</w:t>
      </w:r>
      <w:r>
        <w:rPr>
          <w:rStyle w:val="ssl2"/>
          <w:rFonts w:cs="Times New Roman"/>
          <w:szCs w:val="24"/>
          <w:lang w:val="fr-CA"/>
        </w:rPr>
        <w:t>’</w:t>
      </w:r>
      <w:r w:rsidRPr="00954404">
        <w:rPr>
          <w:rStyle w:val="ssl2"/>
          <w:rFonts w:cs="Times New Roman"/>
          <w:szCs w:val="24"/>
          <w:lang w:val="fr-CA"/>
        </w:rPr>
        <w:t>absence d</w:t>
      </w:r>
      <w:r>
        <w:rPr>
          <w:rStyle w:val="ssl2"/>
          <w:rFonts w:cs="Times New Roman"/>
          <w:szCs w:val="24"/>
          <w:lang w:val="fr-CA"/>
        </w:rPr>
        <w:t>’</w:t>
      </w:r>
      <w:r w:rsidRPr="00954404">
        <w:rPr>
          <w:rStyle w:val="ssl2"/>
          <w:rFonts w:cs="Times New Roman"/>
          <w:szCs w:val="24"/>
          <w:lang w:val="fr-CA"/>
        </w:rPr>
        <w:t>une obligation d</w:t>
      </w:r>
      <w:r>
        <w:rPr>
          <w:rStyle w:val="ssl2"/>
          <w:rFonts w:cs="Times New Roman"/>
          <w:szCs w:val="24"/>
          <w:lang w:val="fr-CA"/>
        </w:rPr>
        <w:t>’</w:t>
      </w:r>
      <w:r w:rsidRPr="00954404">
        <w:rPr>
          <w:rStyle w:val="ssl2"/>
          <w:rFonts w:cs="Times New Roman"/>
          <w:szCs w:val="24"/>
          <w:lang w:val="fr-CA"/>
        </w:rPr>
        <w:t>origine législative, le fait que l</w:t>
      </w:r>
      <w:r>
        <w:rPr>
          <w:rStyle w:val="ssl2"/>
          <w:rFonts w:cs="Times New Roman"/>
          <w:szCs w:val="24"/>
          <w:lang w:val="fr-CA"/>
        </w:rPr>
        <w:t>’</w:t>
      </w:r>
      <w:r w:rsidRPr="00954404">
        <w:rPr>
          <w:rStyle w:val="ssl2"/>
          <w:rFonts w:cs="Times New Roman"/>
          <w:szCs w:val="24"/>
          <w:lang w:val="fr-CA"/>
        </w:rPr>
        <w:t>Alberta peut avoir vérifié, supervisé, contrôlé et généralement géré les frais d</w:t>
      </w:r>
      <w:r>
        <w:rPr>
          <w:rStyle w:val="ssl2"/>
          <w:rFonts w:cs="Times New Roman"/>
          <w:szCs w:val="24"/>
          <w:lang w:val="fr-CA"/>
        </w:rPr>
        <w:t>’</w:t>
      </w:r>
      <w:r w:rsidRPr="00954404">
        <w:rPr>
          <w:rStyle w:val="ssl2"/>
          <w:rFonts w:cs="Times New Roman"/>
          <w:szCs w:val="24"/>
          <w:lang w:val="fr-CA"/>
        </w:rPr>
        <w:t xml:space="preserve">hébergement contestés ne crée pas un lien de proximité suffisant pour imposer une obligation de diligence </w:t>
      </w:r>
      <w:r w:rsidRPr="00954404">
        <w:rPr>
          <w:rStyle w:val="ssl2"/>
          <w:rFonts w:cs="Times New Roman"/>
          <w:i/>
          <w:szCs w:val="24"/>
          <w:lang w:val="fr-CA"/>
        </w:rPr>
        <w:t>prima facie</w:t>
      </w:r>
      <w:r w:rsidRPr="00954404">
        <w:rPr>
          <w:rStyle w:val="ssl2"/>
          <w:rFonts w:cs="Times New Roman"/>
          <w:szCs w:val="24"/>
          <w:lang w:val="fr-CA"/>
        </w:rPr>
        <w:t>.  Comme la Cour l</w:t>
      </w:r>
      <w:r>
        <w:rPr>
          <w:rStyle w:val="ssl2"/>
          <w:rFonts w:cs="Times New Roman"/>
          <w:szCs w:val="24"/>
          <w:lang w:val="fr-CA"/>
        </w:rPr>
        <w:t>’</w:t>
      </w:r>
      <w:r w:rsidRPr="00954404">
        <w:rPr>
          <w:rStyle w:val="ssl2"/>
          <w:rFonts w:cs="Times New Roman"/>
          <w:szCs w:val="24"/>
          <w:lang w:val="fr-CA"/>
        </w:rPr>
        <w:t xml:space="preserve">a affirmé dans </w:t>
      </w:r>
      <w:r w:rsidRPr="00954404">
        <w:rPr>
          <w:rStyle w:val="ssl2"/>
          <w:rFonts w:cs="Times New Roman"/>
          <w:i/>
          <w:szCs w:val="24"/>
          <w:lang w:val="fr-CA"/>
        </w:rPr>
        <w:t>Broome</w:t>
      </w:r>
      <w:r w:rsidRPr="00954404">
        <w:rPr>
          <w:rStyle w:val="ssl2"/>
          <w:rFonts w:cs="Times New Roman"/>
          <w:szCs w:val="24"/>
          <w:lang w:val="fr-CA"/>
        </w:rPr>
        <w:t xml:space="preserve">, au </w:t>
      </w:r>
      <w:r>
        <w:rPr>
          <w:rStyle w:val="ssl2"/>
          <w:rFonts w:cs="Times New Roman"/>
          <w:szCs w:val="24"/>
          <w:lang w:val="fr-CA"/>
        </w:rPr>
        <w:t>par. </w:t>
      </w:r>
      <w:r w:rsidRPr="00954404">
        <w:rPr>
          <w:rStyle w:val="ssl2"/>
          <w:rFonts w:cs="Times New Roman"/>
          <w:szCs w:val="24"/>
          <w:lang w:val="fr-CA"/>
        </w:rPr>
        <w:t>40</w:t>
      </w:r>
      <w:r>
        <w:rPr>
          <w:rStyle w:val="ssl2"/>
          <w:rFonts w:cs="Times New Roman"/>
          <w:szCs w:val="24"/>
          <w:lang w:val="fr-CA"/>
        </w:rPr>
        <w:t> :</w:t>
      </w:r>
      <w:r w:rsidRPr="00954404">
        <w:rPr>
          <w:rStyle w:val="ssl2"/>
          <w:rFonts w:cs="Times New Roman"/>
          <w:szCs w:val="24"/>
          <w:lang w:val="fr-CA"/>
        </w:rPr>
        <w:t xml:space="preserve"> </w:t>
      </w:r>
    </w:p>
    <w:p w:rsidR="00466E7D" w:rsidRPr="00954404" w:rsidRDefault="00466E7D" w:rsidP="00466E7D">
      <w:pPr>
        <w:pStyle w:val="Citation-AltC"/>
        <w:ind w:hanging="1166"/>
        <w:contextualSpacing w:val="0"/>
        <w:rPr>
          <w:rStyle w:val="ssl2"/>
          <w:szCs w:val="24"/>
          <w:lang w:val="fr-CA"/>
        </w:rPr>
      </w:pPr>
      <w:r w:rsidRPr="00954404">
        <w:rPr>
          <w:szCs w:val="24"/>
          <w:lang w:val="fr-CA"/>
        </w:rPr>
        <w:tab/>
      </w:r>
      <w:r w:rsidRPr="00954404">
        <w:rPr>
          <w:szCs w:val="24"/>
          <w:lang w:val="fr-CA"/>
        </w:rPr>
        <w:tab/>
        <w:t>Même dans l</w:t>
      </w:r>
      <w:r>
        <w:rPr>
          <w:szCs w:val="24"/>
          <w:lang w:val="fr-CA"/>
        </w:rPr>
        <w:t>’</w:t>
      </w:r>
      <w:r w:rsidRPr="00954404">
        <w:rPr>
          <w:szCs w:val="24"/>
          <w:lang w:val="fr-CA"/>
        </w:rPr>
        <w:t>hypothèse où il y aurait lieu de retenir l</w:t>
      </w:r>
      <w:r>
        <w:rPr>
          <w:szCs w:val="24"/>
          <w:lang w:val="fr-CA"/>
        </w:rPr>
        <w:t>’</w:t>
      </w:r>
      <w:r w:rsidRPr="00954404">
        <w:rPr>
          <w:szCs w:val="24"/>
          <w:lang w:val="fr-CA"/>
        </w:rPr>
        <w:t xml:space="preserve">interprétation selon laquelle il existait une </w:t>
      </w:r>
      <w:r w:rsidRPr="00954404">
        <w:rPr>
          <w:rStyle w:val="ssl2"/>
          <w:szCs w:val="24"/>
          <w:lang w:val="fr-CA"/>
        </w:rPr>
        <w:t>obligation</w:t>
      </w:r>
      <w:r w:rsidRPr="00954404">
        <w:rPr>
          <w:szCs w:val="24"/>
          <w:lang w:val="fr-CA"/>
        </w:rPr>
        <w:t xml:space="preserve"> d</w:t>
      </w:r>
      <w:r>
        <w:rPr>
          <w:szCs w:val="24"/>
          <w:lang w:val="fr-CA"/>
        </w:rPr>
        <w:t>’</w:t>
      </w:r>
      <w:r w:rsidRPr="00954404">
        <w:rPr>
          <w:szCs w:val="24"/>
          <w:lang w:val="fr-CA"/>
        </w:rPr>
        <w:t>inspecter le Children</w:t>
      </w:r>
      <w:r>
        <w:rPr>
          <w:szCs w:val="24"/>
          <w:lang w:val="fr-CA"/>
        </w:rPr>
        <w:t>’</w:t>
      </w:r>
      <w:r w:rsidRPr="00954404">
        <w:rPr>
          <w:szCs w:val="24"/>
          <w:lang w:val="fr-CA"/>
        </w:rPr>
        <w:t xml:space="preserve">s Home, </w:t>
      </w:r>
      <w:r w:rsidRPr="00954404">
        <w:rPr>
          <w:szCs w:val="24"/>
          <w:u w:val="single"/>
          <w:lang w:val="fr-CA"/>
        </w:rPr>
        <w:t>la loi ne donne, d</w:t>
      </w:r>
      <w:r>
        <w:rPr>
          <w:szCs w:val="24"/>
          <w:u w:val="single"/>
          <w:lang w:val="fr-CA"/>
        </w:rPr>
        <w:t>’</w:t>
      </w:r>
      <w:r w:rsidRPr="00954404">
        <w:rPr>
          <w:szCs w:val="24"/>
          <w:u w:val="single"/>
          <w:lang w:val="fr-CA"/>
        </w:rPr>
        <w:t>après le dossier dont je suis saisi, aucune indication quant à l</w:t>
      </w:r>
      <w:r>
        <w:rPr>
          <w:szCs w:val="24"/>
          <w:u w:val="single"/>
          <w:lang w:val="fr-CA"/>
        </w:rPr>
        <w:t>’</w:t>
      </w:r>
      <w:r w:rsidRPr="00954404">
        <w:rPr>
          <w:szCs w:val="24"/>
          <w:u w:val="single"/>
          <w:lang w:val="fr-CA"/>
        </w:rPr>
        <w:t>objet ou à la portée de telles inspections, elle ne prescrit aucune norme à appliquer et elle n</w:t>
      </w:r>
      <w:r>
        <w:rPr>
          <w:szCs w:val="24"/>
          <w:u w:val="single"/>
          <w:lang w:val="fr-CA"/>
        </w:rPr>
        <w:t>’</w:t>
      </w:r>
      <w:r w:rsidRPr="00954404">
        <w:rPr>
          <w:szCs w:val="24"/>
          <w:u w:val="single"/>
          <w:lang w:val="fr-CA"/>
        </w:rPr>
        <w:t>exige la prise d</w:t>
      </w:r>
      <w:r>
        <w:rPr>
          <w:szCs w:val="24"/>
          <w:u w:val="single"/>
          <w:lang w:val="fr-CA"/>
        </w:rPr>
        <w:t>’</w:t>
      </w:r>
      <w:r w:rsidRPr="00954404">
        <w:rPr>
          <w:szCs w:val="24"/>
          <w:u w:val="single"/>
          <w:lang w:val="fr-CA"/>
        </w:rPr>
        <w:t>aucune mesure à la suite de l</w:t>
      </w:r>
      <w:r>
        <w:rPr>
          <w:szCs w:val="24"/>
          <w:u w:val="single"/>
          <w:lang w:val="fr-CA"/>
        </w:rPr>
        <w:t>’</w:t>
      </w:r>
      <w:r w:rsidRPr="00954404">
        <w:rPr>
          <w:szCs w:val="24"/>
          <w:u w:val="single"/>
          <w:lang w:val="fr-CA"/>
        </w:rPr>
        <w:t>inspection.  Aucune source n</w:t>
      </w:r>
      <w:r>
        <w:rPr>
          <w:szCs w:val="24"/>
          <w:u w:val="single"/>
          <w:lang w:val="fr-CA"/>
        </w:rPr>
        <w:t>’</w:t>
      </w:r>
      <w:r w:rsidRPr="00954404">
        <w:rPr>
          <w:szCs w:val="24"/>
          <w:u w:val="single"/>
          <w:lang w:val="fr-CA"/>
        </w:rPr>
        <w:t>est invoquée à l</w:t>
      </w:r>
      <w:r>
        <w:rPr>
          <w:szCs w:val="24"/>
          <w:u w:val="single"/>
          <w:lang w:val="fr-CA"/>
        </w:rPr>
        <w:t>’</w:t>
      </w:r>
      <w:r w:rsidRPr="00954404">
        <w:rPr>
          <w:szCs w:val="24"/>
          <w:u w:val="single"/>
          <w:lang w:val="fr-CA"/>
        </w:rPr>
        <w:t xml:space="preserve">appui de la proposition </w:t>
      </w:r>
      <w:r w:rsidRPr="00954404">
        <w:rPr>
          <w:szCs w:val="24"/>
          <w:u w:val="single"/>
          <w:lang w:val="fr-CA"/>
        </w:rPr>
        <w:lastRenderedPageBreak/>
        <w:t>suivant laquelle une obligation d</w:t>
      </w:r>
      <w:r>
        <w:rPr>
          <w:szCs w:val="24"/>
          <w:u w:val="single"/>
          <w:lang w:val="fr-CA"/>
        </w:rPr>
        <w:t>’</w:t>
      </w:r>
      <w:r w:rsidRPr="00954404">
        <w:rPr>
          <w:szCs w:val="24"/>
          <w:u w:val="single"/>
          <w:lang w:val="fr-CA"/>
        </w:rPr>
        <w:t>inspection ainsi réduite au minimum pourrait permettre de conclure à l</w:t>
      </w:r>
      <w:r>
        <w:rPr>
          <w:szCs w:val="24"/>
          <w:u w:val="single"/>
          <w:lang w:val="fr-CA"/>
        </w:rPr>
        <w:t>’</w:t>
      </w:r>
      <w:r w:rsidRPr="00954404">
        <w:rPr>
          <w:szCs w:val="24"/>
          <w:u w:val="single"/>
          <w:lang w:val="fr-CA"/>
        </w:rPr>
        <w:t>existence d</w:t>
      </w:r>
      <w:r>
        <w:rPr>
          <w:szCs w:val="24"/>
          <w:u w:val="single"/>
          <w:lang w:val="fr-CA"/>
        </w:rPr>
        <w:t>’</w:t>
      </w:r>
      <w:r w:rsidRPr="00954404">
        <w:rPr>
          <w:szCs w:val="24"/>
          <w:u w:val="single"/>
          <w:lang w:val="fr-CA"/>
        </w:rPr>
        <w:t>un lien de proximité</w:t>
      </w:r>
      <w:r w:rsidRPr="00954404">
        <w:rPr>
          <w:szCs w:val="24"/>
          <w:lang w:val="fr-CA"/>
        </w:rPr>
        <w:t xml:space="preserve"> entre le directeur et les enfants.  [Je souligne.]</w:t>
      </w:r>
    </w:p>
    <w:p w:rsidR="00466E7D" w:rsidRPr="00954404" w:rsidRDefault="00466E7D" w:rsidP="00466E7D">
      <w:pPr>
        <w:pStyle w:val="ContinueParaSuitedupar-AltP"/>
        <w:rPr>
          <w:rStyle w:val="ssl2"/>
          <w:rFonts w:cs="Times New Roman"/>
          <w:lang w:val="fr-CA"/>
        </w:rPr>
      </w:pPr>
      <w:r w:rsidRPr="00954404">
        <w:rPr>
          <w:rStyle w:val="ssl2"/>
          <w:rFonts w:cs="Times New Roman"/>
          <w:lang w:val="fr-CA"/>
        </w:rPr>
        <w:t>Les actes allégués, à savoir que l</w:t>
      </w:r>
      <w:r>
        <w:rPr>
          <w:rStyle w:val="ssl2"/>
          <w:rFonts w:cs="Times New Roman"/>
          <w:lang w:val="fr-CA"/>
        </w:rPr>
        <w:t>’</w:t>
      </w:r>
      <w:r w:rsidRPr="00954404">
        <w:rPr>
          <w:rStyle w:val="ssl2"/>
          <w:rFonts w:cs="Times New Roman"/>
          <w:lang w:val="fr-CA"/>
        </w:rPr>
        <w:t>Alberta a fixé les frais et que les autorités de la santé ont transmis ce renseignement aux membres du groupe de demandeurs, relèvent de l</w:t>
      </w:r>
      <w:r>
        <w:rPr>
          <w:rStyle w:val="ssl2"/>
          <w:rFonts w:cs="Times New Roman"/>
          <w:lang w:val="fr-CA"/>
        </w:rPr>
        <w:t>’</w:t>
      </w:r>
      <w:r w:rsidRPr="00954404">
        <w:rPr>
          <w:rStyle w:val="ssl2"/>
          <w:rFonts w:cs="Times New Roman"/>
          <w:lang w:val="fr-CA"/>
        </w:rPr>
        <w:t>administration du régime.  Comme dans l</w:t>
      </w:r>
      <w:r>
        <w:rPr>
          <w:rStyle w:val="ssl2"/>
          <w:rFonts w:cs="Times New Roman"/>
          <w:lang w:val="fr-CA"/>
        </w:rPr>
        <w:t>’</w:t>
      </w:r>
      <w:r w:rsidRPr="00954404">
        <w:rPr>
          <w:rStyle w:val="ssl2"/>
          <w:rFonts w:cs="Times New Roman"/>
          <w:lang w:val="fr-CA"/>
        </w:rPr>
        <w:t xml:space="preserve">arrêt </w:t>
      </w:r>
      <w:r w:rsidRPr="00954404">
        <w:rPr>
          <w:rStyle w:val="ssl2"/>
          <w:rFonts w:cs="Times New Roman"/>
          <w:i/>
          <w:lang w:val="fr-CA"/>
        </w:rPr>
        <w:t>Broome</w:t>
      </w:r>
      <w:r w:rsidRPr="00954404">
        <w:rPr>
          <w:rStyle w:val="ssl2"/>
          <w:rFonts w:cs="Times New Roman"/>
          <w:lang w:val="fr-CA"/>
        </w:rPr>
        <w:t>, la simple prestation d</w:t>
      </w:r>
      <w:r>
        <w:rPr>
          <w:rStyle w:val="ssl2"/>
          <w:rFonts w:cs="Times New Roman"/>
          <w:lang w:val="fr-CA"/>
        </w:rPr>
        <w:t>’</w:t>
      </w:r>
      <w:r w:rsidRPr="00954404">
        <w:rPr>
          <w:rStyle w:val="ssl2"/>
          <w:rFonts w:cs="Times New Roman"/>
          <w:lang w:val="fr-CA"/>
        </w:rPr>
        <w:t>un service ne suffit pas, à elle seule, pour établir une relation de proximité entre le gouvernement et les demandeurs.</w:t>
      </w:r>
    </w:p>
    <w:p w:rsidR="00466E7D" w:rsidRPr="00954404" w:rsidRDefault="00466E7D" w:rsidP="00466E7D">
      <w:pPr>
        <w:pStyle w:val="ParaNoNdepar-AltN"/>
        <w:rPr>
          <w:rStyle w:val="ssl2"/>
          <w:rFonts w:cs="Times New Roman"/>
          <w:szCs w:val="24"/>
          <w:lang w:val="fr-CA"/>
        </w:rPr>
      </w:pPr>
      <w:r w:rsidRPr="00954404">
        <w:rPr>
          <w:rStyle w:val="ssl2"/>
          <w:rFonts w:cs="Times New Roman"/>
          <w:szCs w:val="24"/>
          <w:lang w:val="fr-CA"/>
        </w:rPr>
        <w:t>Par conséquent, à supposer que les faits invoqués soient vrais, je conclus que l</w:t>
      </w:r>
      <w:r>
        <w:rPr>
          <w:rStyle w:val="ssl2"/>
          <w:rFonts w:cs="Times New Roman"/>
          <w:szCs w:val="24"/>
          <w:lang w:val="fr-CA"/>
        </w:rPr>
        <w:t>’</w:t>
      </w:r>
      <w:r w:rsidRPr="00954404">
        <w:rPr>
          <w:rStyle w:val="ssl2"/>
          <w:rFonts w:cs="Times New Roman"/>
          <w:szCs w:val="24"/>
          <w:lang w:val="fr-CA"/>
        </w:rPr>
        <w:t>allégation de négligence est vouée à l</w:t>
      </w:r>
      <w:r>
        <w:rPr>
          <w:rStyle w:val="ssl2"/>
          <w:rFonts w:cs="Times New Roman"/>
          <w:szCs w:val="24"/>
          <w:lang w:val="fr-CA"/>
        </w:rPr>
        <w:t>’</w:t>
      </w:r>
      <w:r w:rsidRPr="00954404">
        <w:rPr>
          <w:rStyle w:val="ssl2"/>
          <w:rFonts w:cs="Times New Roman"/>
          <w:szCs w:val="24"/>
          <w:lang w:val="fr-CA"/>
        </w:rPr>
        <w:t xml:space="preserve">échec à la première étape du critère retenu dans les arrêts </w:t>
      </w:r>
      <w:r w:rsidRPr="00954404">
        <w:rPr>
          <w:rStyle w:val="ssl2"/>
          <w:rFonts w:cs="Times New Roman"/>
          <w:i/>
          <w:szCs w:val="24"/>
          <w:lang w:val="fr-CA"/>
        </w:rPr>
        <w:t xml:space="preserve">Anns </w:t>
      </w:r>
      <w:r w:rsidRPr="00954404">
        <w:rPr>
          <w:rStyle w:val="ssl2"/>
          <w:rFonts w:cs="Times New Roman"/>
          <w:szCs w:val="24"/>
          <w:lang w:val="fr-CA"/>
        </w:rPr>
        <w:t xml:space="preserve">et </w:t>
      </w:r>
      <w:r w:rsidRPr="00954404">
        <w:rPr>
          <w:rStyle w:val="ssl2"/>
          <w:rFonts w:cs="Times New Roman"/>
          <w:i/>
          <w:szCs w:val="24"/>
          <w:lang w:val="fr-CA"/>
        </w:rPr>
        <w:t>Cooper</w:t>
      </w:r>
      <w:r w:rsidRPr="00954404">
        <w:rPr>
          <w:rStyle w:val="ssl2"/>
          <w:rFonts w:cs="Times New Roman"/>
          <w:szCs w:val="24"/>
          <w:lang w:val="fr-CA"/>
        </w:rPr>
        <w:t>.  En l</w:t>
      </w:r>
      <w:r>
        <w:rPr>
          <w:rStyle w:val="ssl2"/>
          <w:rFonts w:cs="Times New Roman"/>
          <w:szCs w:val="24"/>
          <w:lang w:val="fr-CA"/>
        </w:rPr>
        <w:t>’</w:t>
      </w:r>
      <w:r w:rsidRPr="00954404">
        <w:rPr>
          <w:rStyle w:val="ssl2"/>
          <w:rFonts w:cs="Times New Roman"/>
          <w:szCs w:val="24"/>
          <w:lang w:val="fr-CA"/>
        </w:rPr>
        <w:t>absence d</w:t>
      </w:r>
      <w:r>
        <w:rPr>
          <w:rStyle w:val="ssl2"/>
          <w:rFonts w:cs="Times New Roman"/>
          <w:szCs w:val="24"/>
          <w:lang w:val="fr-CA"/>
        </w:rPr>
        <w:t>’</w:t>
      </w:r>
      <w:r w:rsidRPr="00954404">
        <w:rPr>
          <w:rStyle w:val="ssl2"/>
          <w:rFonts w:cs="Times New Roman"/>
          <w:szCs w:val="24"/>
          <w:lang w:val="fr-CA"/>
        </w:rPr>
        <w:t>une obligation d</w:t>
      </w:r>
      <w:r>
        <w:rPr>
          <w:rStyle w:val="ssl2"/>
          <w:rFonts w:cs="Times New Roman"/>
          <w:szCs w:val="24"/>
          <w:lang w:val="fr-CA"/>
        </w:rPr>
        <w:t>’</w:t>
      </w:r>
      <w:r w:rsidRPr="00954404">
        <w:rPr>
          <w:rStyle w:val="ssl2"/>
          <w:rFonts w:cs="Times New Roman"/>
          <w:szCs w:val="24"/>
          <w:lang w:val="fr-CA"/>
        </w:rPr>
        <w:t>origine législative de prendre les mesures qui, selon les demandeurs, ont été prises négligemment, la relation de proximité nécessaire entre l</w:t>
      </w:r>
      <w:r>
        <w:rPr>
          <w:rStyle w:val="ssl2"/>
          <w:rFonts w:cs="Times New Roman"/>
          <w:szCs w:val="24"/>
          <w:lang w:val="fr-CA"/>
        </w:rPr>
        <w:t>’</w:t>
      </w:r>
      <w:r w:rsidRPr="00954404">
        <w:rPr>
          <w:rStyle w:val="ssl2"/>
          <w:rFonts w:cs="Times New Roman"/>
          <w:szCs w:val="24"/>
          <w:lang w:val="fr-CA"/>
        </w:rPr>
        <w:t>Alberta et les demandeurs ne peut être établie.</w:t>
      </w:r>
    </w:p>
    <w:p w:rsidR="00466E7D" w:rsidRPr="00954404" w:rsidRDefault="00466E7D" w:rsidP="00466E7D">
      <w:pPr>
        <w:pStyle w:val="ParaNoNdepar-AltN"/>
        <w:rPr>
          <w:rStyle w:val="ssl2"/>
          <w:rFonts w:cs="Times New Roman"/>
          <w:szCs w:val="24"/>
          <w:lang w:val="fr-CA"/>
        </w:rPr>
      </w:pPr>
      <w:r w:rsidRPr="00954404">
        <w:rPr>
          <w:rStyle w:val="ssl2"/>
          <w:rFonts w:cs="Times New Roman"/>
          <w:szCs w:val="24"/>
          <w:lang w:val="fr-CA"/>
        </w:rPr>
        <w:t xml:space="preserve">Si les allégations franchissaient avec succès la première étape du critère </w:t>
      </w:r>
      <w:r w:rsidRPr="00954404">
        <w:rPr>
          <w:rStyle w:val="ssl2"/>
          <w:rFonts w:cs="Times New Roman"/>
          <w:i/>
          <w:szCs w:val="24"/>
          <w:lang w:val="fr-CA"/>
        </w:rPr>
        <w:t>Anns/Cooper</w:t>
      </w:r>
      <w:r w:rsidRPr="00954404">
        <w:rPr>
          <w:rStyle w:val="ssl2"/>
          <w:rFonts w:cs="Times New Roman"/>
          <w:szCs w:val="24"/>
          <w:lang w:val="fr-CA"/>
        </w:rPr>
        <w:t>, elles devraient être rejetées à la deuxième étape, où il faut se demander si l</w:t>
      </w:r>
      <w:r>
        <w:rPr>
          <w:rStyle w:val="ssl2"/>
          <w:rFonts w:cs="Times New Roman"/>
          <w:szCs w:val="24"/>
          <w:lang w:val="fr-CA"/>
        </w:rPr>
        <w:t>’</w:t>
      </w:r>
      <w:r w:rsidRPr="00954404">
        <w:rPr>
          <w:rStyle w:val="ssl2"/>
          <w:rFonts w:cs="Times New Roman"/>
          <w:szCs w:val="24"/>
          <w:lang w:val="fr-CA"/>
        </w:rPr>
        <w:t xml:space="preserve">obligation de diligence </w:t>
      </w:r>
      <w:r w:rsidRPr="00954404">
        <w:rPr>
          <w:rStyle w:val="ssl2"/>
          <w:rFonts w:cs="Times New Roman"/>
          <w:i/>
          <w:szCs w:val="24"/>
          <w:lang w:val="fr-CA"/>
        </w:rPr>
        <w:t>prima facie</w:t>
      </w:r>
      <w:r w:rsidRPr="00954404">
        <w:rPr>
          <w:rStyle w:val="ssl2"/>
          <w:rFonts w:cs="Times New Roman"/>
          <w:szCs w:val="24"/>
          <w:lang w:val="fr-CA"/>
        </w:rPr>
        <w:t xml:space="preserve"> est écartée par des considérations de politique générale.</w:t>
      </w:r>
      <w:r w:rsidRPr="00954404">
        <w:rPr>
          <w:rFonts w:cs="Times New Roman"/>
          <w:szCs w:val="24"/>
          <w:lang w:val="fr-CA"/>
        </w:rPr>
        <w:t xml:space="preserve">  Si le défendeur est une entité publique, il peut être difficile d</w:t>
      </w:r>
      <w:r>
        <w:rPr>
          <w:rFonts w:cs="Times New Roman"/>
          <w:szCs w:val="24"/>
          <w:lang w:val="fr-CA"/>
        </w:rPr>
        <w:t>’</w:t>
      </w:r>
      <w:r w:rsidRPr="00954404">
        <w:rPr>
          <w:rFonts w:cs="Times New Roman"/>
          <w:szCs w:val="24"/>
          <w:lang w:val="fr-CA"/>
        </w:rPr>
        <w:t>inférer une obligation de diligence de droit privé en se fondant sur des obligations d</w:t>
      </w:r>
      <w:r>
        <w:rPr>
          <w:rFonts w:cs="Times New Roman"/>
          <w:szCs w:val="24"/>
          <w:lang w:val="fr-CA"/>
        </w:rPr>
        <w:t>’</w:t>
      </w:r>
      <w:r w:rsidRPr="00954404">
        <w:rPr>
          <w:rFonts w:cs="Times New Roman"/>
          <w:szCs w:val="24"/>
          <w:lang w:val="fr-CA"/>
        </w:rPr>
        <w:t>origine législative.  Cette inférence doit respecter le rôle constitutionnel particulier de ces institutions</w:t>
      </w:r>
      <w:r>
        <w:rPr>
          <w:rFonts w:cs="Times New Roman"/>
          <w:szCs w:val="24"/>
          <w:lang w:val="fr-CA"/>
        </w:rPr>
        <w:t> :</w:t>
      </w:r>
      <w:r w:rsidRPr="00954404">
        <w:rPr>
          <w:rFonts w:cs="Times New Roman"/>
          <w:szCs w:val="24"/>
          <w:lang w:val="fr-CA"/>
        </w:rPr>
        <w:t xml:space="preserve"> </w:t>
      </w:r>
      <w:r w:rsidRPr="00954404">
        <w:rPr>
          <w:rFonts w:cs="Times New Roman"/>
          <w:i/>
          <w:iCs/>
          <w:szCs w:val="24"/>
          <w:lang w:val="fr-CA"/>
        </w:rPr>
        <w:t>Welbridge Holdings Ltd. c. Greater Winnipeg</w:t>
      </w:r>
      <w:r w:rsidRPr="00954404">
        <w:rPr>
          <w:rFonts w:cs="Times New Roman"/>
          <w:szCs w:val="24"/>
          <w:lang w:val="fr-CA"/>
        </w:rPr>
        <w:t>, [1971] R.C.S. 957, le juge Laskin (plus tard Juge en chef), s</w:t>
      </w:r>
      <w:r>
        <w:rPr>
          <w:rFonts w:cs="Times New Roman"/>
          <w:szCs w:val="24"/>
          <w:lang w:val="fr-CA"/>
        </w:rPr>
        <w:t>’</w:t>
      </w:r>
      <w:r w:rsidRPr="00954404">
        <w:rPr>
          <w:rFonts w:cs="Times New Roman"/>
          <w:szCs w:val="24"/>
          <w:lang w:val="fr-CA"/>
        </w:rPr>
        <w:t xml:space="preserve">exprimant au nom de la Cour.  Se rattache à </w:t>
      </w:r>
      <w:r w:rsidRPr="00954404">
        <w:rPr>
          <w:rFonts w:cs="Times New Roman"/>
          <w:szCs w:val="24"/>
          <w:lang w:val="fr-CA"/>
        </w:rPr>
        <w:lastRenderedPageBreak/>
        <w:t>cette préoccupation la crainte que le gouvernement soit constamment exposé à des recours privés, ce qui peut grever les ressources publiques et freiner l</w:t>
      </w:r>
      <w:r>
        <w:rPr>
          <w:rFonts w:cs="Times New Roman"/>
          <w:szCs w:val="24"/>
          <w:lang w:val="fr-CA"/>
        </w:rPr>
        <w:t>’</w:t>
      </w:r>
      <w:r w:rsidRPr="00954404">
        <w:rPr>
          <w:rFonts w:cs="Times New Roman"/>
          <w:szCs w:val="24"/>
          <w:lang w:val="fr-CA"/>
        </w:rPr>
        <w:t>intervention du gouvernement.  Il est possible de soutenir que l</w:t>
      </w:r>
      <w:r>
        <w:rPr>
          <w:rFonts w:cs="Times New Roman"/>
          <w:szCs w:val="24"/>
          <w:lang w:val="fr-CA"/>
        </w:rPr>
        <w:t>’</w:t>
      </w:r>
      <w:r w:rsidRPr="00954404">
        <w:rPr>
          <w:rFonts w:cs="Times New Roman"/>
          <w:szCs w:val="24"/>
          <w:lang w:val="fr-CA"/>
        </w:rPr>
        <w:t>imposition d</w:t>
      </w:r>
      <w:r>
        <w:rPr>
          <w:rFonts w:cs="Times New Roman"/>
          <w:szCs w:val="24"/>
          <w:lang w:val="fr-CA"/>
        </w:rPr>
        <w:t>’</w:t>
      </w:r>
      <w:r w:rsidRPr="00954404">
        <w:rPr>
          <w:rStyle w:val="ssl2"/>
          <w:rFonts w:cs="Times New Roman"/>
          <w:szCs w:val="24"/>
          <w:lang w:val="fr-CA"/>
        </w:rPr>
        <w:t xml:space="preserve">une obligation de diligence envers le groupe de demandeurs, au vu des faits allégués, autorisait à invoquer la négligence </w:t>
      </w:r>
      <w:r w:rsidRPr="00954404">
        <w:rPr>
          <w:rStyle w:val="ssl2"/>
          <w:rFonts w:cs="Times New Roman"/>
          <w:i/>
          <w:szCs w:val="24"/>
          <w:lang w:val="fr-CA"/>
        </w:rPr>
        <w:t>tout</w:t>
      </w:r>
      <w:r w:rsidRPr="00954404">
        <w:rPr>
          <w:rStyle w:val="ssl2"/>
          <w:rFonts w:cs="Times New Roman"/>
          <w:szCs w:val="24"/>
          <w:lang w:val="fr-CA"/>
        </w:rPr>
        <w:t xml:space="preserve"> patient du système de santé ayant droit au financement des services de santé, qu</w:t>
      </w:r>
      <w:r>
        <w:rPr>
          <w:rStyle w:val="ssl2"/>
          <w:rFonts w:cs="Times New Roman"/>
          <w:szCs w:val="24"/>
          <w:lang w:val="fr-CA"/>
        </w:rPr>
        <w:t>’</w:t>
      </w:r>
      <w:r w:rsidRPr="00954404">
        <w:rPr>
          <w:rStyle w:val="ssl2"/>
          <w:rFonts w:cs="Times New Roman"/>
          <w:szCs w:val="24"/>
          <w:lang w:val="fr-CA"/>
        </w:rPr>
        <w:t>ils soient primaires ou complémentaires.  Cela évoque le risque d</w:t>
      </w:r>
      <w:r>
        <w:rPr>
          <w:rStyle w:val="ssl2"/>
          <w:rFonts w:cs="Times New Roman"/>
          <w:szCs w:val="24"/>
          <w:lang w:val="fr-CA"/>
        </w:rPr>
        <w:t>’</w:t>
      </w:r>
      <w:r w:rsidRPr="00954404">
        <w:rPr>
          <w:rStyle w:val="ssl2"/>
          <w:rFonts w:cs="Times New Roman"/>
          <w:szCs w:val="24"/>
          <w:lang w:val="fr-CA"/>
        </w:rPr>
        <w:t xml:space="preserve">une responsabilité illimitée envers un groupe indéterminé, ce que déplorait le juge </w:t>
      </w:r>
      <w:r w:rsidR="00E9060A">
        <w:rPr>
          <w:rStyle w:val="ssl2"/>
          <w:rFonts w:cs="Times New Roman"/>
          <w:szCs w:val="24"/>
          <w:lang w:val="fr-CA"/>
        </w:rPr>
        <w:t xml:space="preserve">en chef </w:t>
      </w:r>
      <w:r w:rsidRPr="00954404">
        <w:rPr>
          <w:rStyle w:val="ssl2"/>
          <w:rFonts w:cs="Times New Roman"/>
          <w:szCs w:val="24"/>
          <w:lang w:val="fr-CA"/>
        </w:rPr>
        <w:t xml:space="preserve">Cardozo dans </w:t>
      </w:r>
      <w:r w:rsidRPr="00954404">
        <w:rPr>
          <w:rFonts w:cs="Times New Roman"/>
          <w:i/>
          <w:szCs w:val="24"/>
          <w:lang w:val="fr-CA"/>
        </w:rPr>
        <w:t>Ultramares Cor</w:t>
      </w:r>
      <w:r>
        <w:rPr>
          <w:rFonts w:cs="Times New Roman"/>
          <w:i/>
          <w:szCs w:val="24"/>
          <w:lang w:val="fr-CA"/>
        </w:rPr>
        <w:t>p. </w:t>
      </w:r>
      <w:r w:rsidRPr="00954404">
        <w:rPr>
          <w:rFonts w:cs="Times New Roman"/>
          <w:i/>
          <w:szCs w:val="24"/>
          <w:lang w:val="fr-CA"/>
        </w:rPr>
        <w:t>c. Touche</w:t>
      </w:r>
      <w:r w:rsidRPr="00954404">
        <w:rPr>
          <w:rFonts w:cs="Times New Roman"/>
          <w:szCs w:val="24"/>
          <w:lang w:val="fr-CA"/>
        </w:rPr>
        <w:t xml:space="preserve">, 174 N.E. 441 (N.Y. 1931), </w:t>
      </w:r>
      <w:r>
        <w:rPr>
          <w:rFonts w:cs="Times New Roman"/>
          <w:szCs w:val="24"/>
          <w:lang w:val="fr-CA"/>
        </w:rPr>
        <w:t>p. </w:t>
      </w:r>
      <w:r w:rsidRPr="00954404">
        <w:rPr>
          <w:rFonts w:cs="Times New Roman"/>
          <w:szCs w:val="24"/>
          <w:lang w:val="fr-CA"/>
        </w:rPr>
        <w:t>444</w:t>
      </w:r>
      <w:r>
        <w:rPr>
          <w:rFonts w:cs="Times New Roman"/>
          <w:szCs w:val="24"/>
          <w:lang w:val="fr-CA"/>
        </w:rPr>
        <w:t> :</w:t>
      </w:r>
      <w:r w:rsidRPr="00954404">
        <w:rPr>
          <w:rFonts w:cs="Times New Roman"/>
          <w:szCs w:val="24"/>
          <w:lang w:val="fr-CA"/>
        </w:rPr>
        <w:t xml:space="preserve"> voir </w:t>
      </w:r>
      <w:r w:rsidRPr="00954404">
        <w:rPr>
          <w:rFonts w:cs="Times New Roman"/>
          <w:i/>
          <w:szCs w:val="24"/>
          <w:lang w:val="fr-CA"/>
        </w:rPr>
        <w:t>Design Services Ltd. c. Canada</w:t>
      </w:r>
      <w:r w:rsidRPr="00954404">
        <w:rPr>
          <w:rFonts w:cs="Times New Roman"/>
          <w:szCs w:val="24"/>
          <w:lang w:val="fr-CA"/>
        </w:rPr>
        <w:t xml:space="preserve">, 2008 CSC 22, [2008] 1 R.C.S. 737, </w:t>
      </w:r>
      <w:r>
        <w:rPr>
          <w:rFonts w:cs="Times New Roman"/>
          <w:szCs w:val="24"/>
          <w:lang w:val="fr-CA"/>
        </w:rPr>
        <w:t>par. </w:t>
      </w:r>
      <w:r w:rsidRPr="00954404">
        <w:rPr>
          <w:rFonts w:cs="Times New Roman"/>
          <w:szCs w:val="24"/>
          <w:lang w:val="fr-CA"/>
        </w:rPr>
        <w:t>59</w:t>
      </w:r>
      <w:r>
        <w:rPr>
          <w:rFonts w:cs="Times New Roman"/>
          <w:szCs w:val="24"/>
          <w:lang w:val="fr-CA"/>
        </w:rPr>
        <w:noBreakHyphen/>
      </w:r>
      <w:r w:rsidRPr="00954404">
        <w:rPr>
          <w:rFonts w:cs="Times New Roman"/>
          <w:szCs w:val="24"/>
          <w:lang w:val="fr-CA"/>
        </w:rPr>
        <w:t>66</w:t>
      </w:r>
      <w:r w:rsidRPr="00954404">
        <w:rPr>
          <w:rStyle w:val="ssl2"/>
          <w:rFonts w:cs="Times New Roman"/>
          <w:szCs w:val="24"/>
          <w:lang w:val="fr-CA"/>
        </w:rPr>
        <w:t>.</w:t>
      </w:r>
    </w:p>
    <w:p w:rsidR="00466E7D" w:rsidRPr="00954404" w:rsidRDefault="00466E7D" w:rsidP="00466E7D">
      <w:pPr>
        <w:pStyle w:val="ParaNoNdepar-AltN"/>
        <w:rPr>
          <w:rFonts w:cs="Times New Roman"/>
          <w:szCs w:val="24"/>
          <w:lang w:val="fr-CA"/>
        </w:rPr>
      </w:pPr>
      <w:r w:rsidRPr="00954404">
        <w:rPr>
          <w:rStyle w:val="ssl2"/>
          <w:rFonts w:cs="Times New Roman"/>
          <w:szCs w:val="24"/>
          <w:lang w:val="fr-CA"/>
        </w:rPr>
        <w:t>Pour ces motifs, je suis d</w:t>
      </w:r>
      <w:r>
        <w:rPr>
          <w:rStyle w:val="ssl2"/>
          <w:rFonts w:cs="Times New Roman"/>
          <w:szCs w:val="24"/>
          <w:lang w:val="fr-CA"/>
        </w:rPr>
        <w:t>’</w:t>
      </w:r>
      <w:r w:rsidRPr="00954404">
        <w:rPr>
          <w:rStyle w:val="ssl2"/>
          <w:rFonts w:cs="Times New Roman"/>
          <w:szCs w:val="24"/>
          <w:lang w:val="fr-CA"/>
        </w:rPr>
        <w:t>avis que les allégations ne révèlent pas une obligation de diligence et que la cause d</w:t>
      </w:r>
      <w:r>
        <w:rPr>
          <w:rStyle w:val="ssl2"/>
          <w:rFonts w:cs="Times New Roman"/>
          <w:szCs w:val="24"/>
          <w:lang w:val="fr-CA"/>
        </w:rPr>
        <w:t>’</w:t>
      </w:r>
      <w:r w:rsidRPr="00954404">
        <w:rPr>
          <w:rStyle w:val="ssl2"/>
          <w:rFonts w:cs="Times New Roman"/>
          <w:szCs w:val="24"/>
          <w:lang w:val="fr-CA"/>
        </w:rPr>
        <w:t>action telle qu</w:t>
      </w:r>
      <w:r>
        <w:rPr>
          <w:rStyle w:val="ssl2"/>
          <w:rFonts w:cs="Times New Roman"/>
          <w:szCs w:val="24"/>
          <w:lang w:val="fr-CA"/>
        </w:rPr>
        <w:t>’</w:t>
      </w:r>
      <w:r w:rsidRPr="00954404">
        <w:rPr>
          <w:rStyle w:val="ssl2"/>
          <w:rFonts w:cs="Times New Roman"/>
          <w:szCs w:val="24"/>
          <w:lang w:val="fr-CA"/>
        </w:rPr>
        <w:t>elle a été plaidée est vouée à l</w:t>
      </w:r>
      <w:r>
        <w:rPr>
          <w:rStyle w:val="ssl2"/>
          <w:rFonts w:cs="Times New Roman"/>
          <w:szCs w:val="24"/>
          <w:lang w:val="fr-CA"/>
        </w:rPr>
        <w:t>’</w:t>
      </w:r>
      <w:r w:rsidRPr="00954404">
        <w:rPr>
          <w:rStyle w:val="ssl2"/>
          <w:rFonts w:cs="Times New Roman"/>
          <w:szCs w:val="24"/>
          <w:lang w:val="fr-CA"/>
        </w:rPr>
        <w:t>échec.  Par conséquent, je</w:t>
      </w:r>
      <w:r w:rsidRPr="00954404">
        <w:rPr>
          <w:rFonts w:cs="Times New Roman"/>
          <w:szCs w:val="24"/>
          <w:lang w:val="fr-CA"/>
        </w:rPr>
        <w:t xml:space="preserve"> suis d</w:t>
      </w:r>
      <w:r>
        <w:rPr>
          <w:rFonts w:cs="Times New Roman"/>
          <w:szCs w:val="24"/>
          <w:lang w:val="fr-CA"/>
        </w:rPr>
        <w:t>’</w:t>
      </w:r>
      <w:r w:rsidRPr="00954404">
        <w:rPr>
          <w:rFonts w:cs="Times New Roman"/>
          <w:szCs w:val="24"/>
          <w:lang w:val="fr-CA"/>
        </w:rPr>
        <w:t>avis de radier en totalité l</w:t>
      </w:r>
      <w:r>
        <w:rPr>
          <w:rFonts w:cs="Times New Roman"/>
          <w:szCs w:val="24"/>
          <w:lang w:val="fr-CA"/>
        </w:rPr>
        <w:t>’</w:t>
      </w:r>
      <w:r w:rsidRPr="00954404">
        <w:rPr>
          <w:rFonts w:cs="Times New Roman"/>
          <w:szCs w:val="24"/>
          <w:lang w:val="fr-CA"/>
        </w:rPr>
        <w:t>allégation de négligence.</w:t>
      </w:r>
    </w:p>
    <w:p w:rsidR="00466E7D" w:rsidRPr="00954404" w:rsidRDefault="00466E7D" w:rsidP="00466E7D">
      <w:pPr>
        <w:pStyle w:val="TitleTitre-AltT"/>
        <w:keepNext/>
        <w:spacing w:after="720"/>
        <w:rPr>
          <w:rFonts w:cs="Times New Roman"/>
          <w:szCs w:val="24"/>
          <w:lang w:val="fr-CA"/>
        </w:rPr>
      </w:pPr>
      <w:r w:rsidRPr="00954404">
        <w:rPr>
          <w:rFonts w:cs="Times New Roman"/>
          <w:szCs w:val="24"/>
          <w:lang w:val="fr-CA"/>
        </w:rPr>
        <w:t>C.</w:t>
      </w:r>
      <w:r w:rsidRPr="00954404">
        <w:rPr>
          <w:rFonts w:cs="Times New Roman"/>
          <w:szCs w:val="24"/>
          <w:lang w:val="fr-CA"/>
        </w:rPr>
        <w:tab/>
      </w:r>
      <w:r w:rsidRPr="00954404">
        <w:rPr>
          <w:rFonts w:cs="Times New Roman"/>
          <w:i/>
          <w:szCs w:val="24"/>
          <w:lang w:val="fr-CA"/>
        </w:rPr>
        <w:t>L</w:t>
      </w:r>
      <w:r>
        <w:rPr>
          <w:rFonts w:cs="Times New Roman"/>
          <w:i/>
          <w:szCs w:val="24"/>
          <w:lang w:val="fr-CA"/>
        </w:rPr>
        <w:t>’</w:t>
      </w:r>
      <w:r w:rsidRPr="00954404">
        <w:rPr>
          <w:rFonts w:cs="Times New Roman"/>
          <w:i/>
          <w:szCs w:val="24"/>
          <w:lang w:val="fr-CA"/>
        </w:rPr>
        <w:t>allégation de mauvaise foi</w:t>
      </w:r>
      <w:r w:rsidRPr="00954404">
        <w:rPr>
          <w:rFonts w:cs="Times New Roman"/>
          <w:szCs w:val="24"/>
          <w:lang w:val="fr-CA"/>
        </w:rPr>
        <w:t xml:space="preserve"> </w:t>
      </w:r>
    </w:p>
    <w:p w:rsidR="00466E7D" w:rsidRPr="00954404" w:rsidRDefault="00466E7D" w:rsidP="00466E7D">
      <w:pPr>
        <w:pStyle w:val="ParaNoNdepar-AltN"/>
        <w:rPr>
          <w:rFonts w:cs="Times New Roman"/>
          <w:szCs w:val="24"/>
          <w:lang w:val="fr-CA"/>
        </w:rPr>
      </w:pPr>
      <w:r w:rsidRPr="00954404">
        <w:rPr>
          <w:rFonts w:cs="Times New Roman"/>
          <w:szCs w:val="24"/>
          <w:lang w:val="fr-CA"/>
        </w:rPr>
        <w:t>Le groupe de demandeurs fait valoir qu</w:t>
      </w:r>
      <w:r>
        <w:rPr>
          <w:rFonts w:cs="Times New Roman"/>
          <w:szCs w:val="24"/>
          <w:lang w:val="fr-CA"/>
        </w:rPr>
        <w:t>’</w:t>
      </w:r>
      <w:r w:rsidRPr="00954404">
        <w:rPr>
          <w:rFonts w:cs="Times New Roman"/>
          <w:szCs w:val="24"/>
          <w:lang w:val="fr-CA"/>
        </w:rPr>
        <w:t>en demandant aux exploitants des ESLD de facturer, relativement à l</w:t>
      </w:r>
      <w:r>
        <w:rPr>
          <w:rFonts w:cs="Times New Roman"/>
          <w:szCs w:val="24"/>
          <w:lang w:val="fr-CA"/>
        </w:rPr>
        <w:t>’</w:t>
      </w:r>
      <w:r w:rsidRPr="00954404">
        <w:rPr>
          <w:rFonts w:cs="Times New Roman"/>
          <w:szCs w:val="24"/>
          <w:lang w:val="fr-CA"/>
        </w:rPr>
        <w:t>hébergement et aux repas, le montant maximum que permettaient les règlements, le ministre de la Santé et du Bien</w:t>
      </w:r>
      <w:r>
        <w:rPr>
          <w:rFonts w:cs="Times New Roman"/>
          <w:szCs w:val="24"/>
          <w:lang w:val="fr-CA"/>
        </w:rPr>
        <w:noBreakHyphen/>
      </w:r>
      <w:r w:rsidRPr="00954404">
        <w:rPr>
          <w:rFonts w:cs="Times New Roman"/>
          <w:szCs w:val="24"/>
          <w:lang w:val="fr-CA"/>
        </w:rPr>
        <w:t>être a fait preuve de mauvaise foi dans l</w:t>
      </w:r>
      <w:r>
        <w:rPr>
          <w:rFonts w:cs="Times New Roman"/>
          <w:szCs w:val="24"/>
          <w:lang w:val="fr-CA"/>
        </w:rPr>
        <w:t>’</w:t>
      </w:r>
      <w:r w:rsidRPr="00954404">
        <w:rPr>
          <w:rFonts w:cs="Times New Roman"/>
          <w:szCs w:val="24"/>
          <w:lang w:val="fr-CA"/>
        </w:rPr>
        <w:t>exercice de son pouvoir discrétionnaire.  Les demandeurs affirment que le ministre a donné ses directives en sachant très bien que certains exploitants des ESLD avaient l</w:t>
      </w:r>
      <w:r>
        <w:rPr>
          <w:rFonts w:cs="Times New Roman"/>
          <w:szCs w:val="24"/>
          <w:lang w:val="fr-CA"/>
        </w:rPr>
        <w:t>’</w:t>
      </w:r>
      <w:r w:rsidRPr="00954404">
        <w:rPr>
          <w:rFonts w:cs="Times New Roman"/>
          <w:szCs w:val="24"/>
          <w:lang w:val="fr-CA"/>
        </w:rPr>
        <w:t>habitude d</w:t>
      </w:r>
      <w:r>
        <w:rPr>
          <w:rFonts w:cs="Times New Roman"/>
          <w:szCs w:val="24"/>
          <w:lang w:val="fr-CA"/>
        </w:rPr>
        <w:t>’</w:t>
      </w:r>
      <w:r w:rsidRPr="00954404">
        <w:rPr>
          <w:rFonts w:cs="Times New Roman"/>
          <w:szCs w:val="24"/>
          <w:lang w:val="fr-CA"/>
        </w:rPr>
        <w:t xml:space="preserve">employer le surplus des frais </w:t>
      </w:r>
      <w:r w:rsidRPr="00954404">
        <w:rPr>
          <w:rFonts w:cs="Times New Roman"/>
          <w:szCs w:val="24"/>
          <w:lang w:val="fr-CA"/>
        </w:rPr>
        <w:lastRenderedPageBreak/>
        <w:t>d</w:t>
      </w:r>
      <w:r>
        <w:rPr>
          <w:rFonts w:cs="Times New Roman"/>
          <w:szCs w:val="24"/>
          <w:lang w:val="fr-CA"/>
        </w:rPr>
        <w:t>’</w:t>
      </w:r>
      <w:r w:rsidRPr="00954404">
        <w:rPr>
          <w:rFonts w:cs="Times New Roman"/>
          <w:szCs w:val="24"/>
          <w:lang w:val="fr-CA"/>
        </w:rPr>
        <w:t>hébergement pour financer les soins de base et les frais d</w:t>
      </w:r>
      <w:r>
        <w:rPr>
          <w:rFonts w:cs="Times New Roman"/>
          <w:szCs w:val="24"/>
          <w:lang w:val="fr-CA"/>
        </w:rPr>
        <w:t>’</w:t>
      </w:r>
      <w:r w:rsidRPr="00954404">
        <w:rPr>
          <w:rFonts w:cs="Times New Roman"/>
          <w:szCs w:val="24"/>
          <w:lang w:val="fr-CA"/>
        </w:rPr>
        <w:t>exploitation qui sont normalement la responsabilité de l</w:t>
      </w:r>
      <w:r>
        <w:rPr>
          <w:rFonts w:cs="Times New Roman"/>
          <w:szCs w:val="24"/>
          <w:lang w:val="fr-CA"/>
        </w:rPr>
        <w:t>’</w:t>
      </w:r>
      <w:r w:rsidRPr="00954404">
        <w:rPr>
          <w:rFonts w:cs="Times New Roman"/>
          <w:szCs w:val="24"/>
          <w:lang w:val="fr-CA"/>
        </w:rPr>
        <w:t>exploitant et de la province.  Selon eux, cette insouciance et ce dérèglement dans l</w:t>
      </w:r>
      <w:r>
        <w:rPr>
          <w:rFonts w:cs="Times New Roman"/>
          <w:szCs w:val="24"/>
          <w:lang w:val="fr-CA"/>
        </w:rPr>
        <w:t>’</w:t>
      </w:r>
      <w:r w:rsidRPr="00954404">
        <w:rPr>
          <w:rFonts w:cs="Times New Roman"/>
          <w:szCs w:val="24"/>
          <w:lang w:val="fr-CA"/>
        </w:rPr>
        <w:t>exercice du pouvoir est suffisant pour établir une cause d</w:t>
      </w:r>
      <w:r>
        <w:rPr>
          <w:rFonts w:cs="Times New Roman"/>
          <w:szCs w:val="24"/>
          <w:lang w:val="fr-CA"/>
        </w:rPr>
        <w:t>’</w:t>
      </w:r>
      <w:r w:rsidRPr="00954404">
        <w:rPr>
          <w:rFonts w:cs="Times New Roman"/>
          <w:szCs w:val="24"/>
          <w:lang w:val="fr-CA"/>
        </w:rPr>
        <w:t>action distincte fondée sur la mauvaise foi.</w:t>
      </w:r>
    </w:p>
    <w:p w:rsidR="00466E7D" w:rsidRPr="00954404" w:rsidRDefault="00466E7D" w:rsidP="00466E7D">
      <w:pPr>
        <w:pStyle w:val="ParaNoNdepar-AltN"/>
        <w:rPr>
          <w:rFonts w:cs="Times New Roman"/>
          <w:szCs w:val="24"/>
          <w:lang w:val="fr-CA"/>
        </w:rPr>
      </w:pPr>
      <w:r w:rsidRPr="00954404">
        <w:rPr>
          <w:rFonts w:cs="Times New Roman"/>
          <w:szCs w:val="24"/>
          <w:lang w:val="fr-CA"/>
        </w:rPr>
        <w:t>Je souscris aux observations de la province selon lesquelles l</w:t>
      </w:r>
      <w:r>
        <w:rPr>
          <w:rFonts w:cs="Times New Roman"/>
          <w:szCs w:val="24"/>
          <w:lang w:val="fr-CA"/>
        </w:rPr>
        <w:t>’</w:t>
      </w:r>
      <w:r w:rsidRPr="00954404">
        <w:rPr>
          <w:rFonts w:cs="Times New Roman"/>
          <w:szCs w:val="24"/>
          <w:lang w:val="fr-CA"/>
        </w:rPr>
        <w:t>allégation de mauvaise foi, telle qu</w:t>
      </w:r>
      <w:r>
        <w:rPr>
          <w:rFonts w:cs="Times New Roman"/>
          <w:szCs w:val="24"/>
          <w:lang w:val="fr-CA"/>
        </w:rPr>
        <w:t>’</w:t>
      </w:r>
      <w:r w:rsidRPr="00954404">
        <w:rPr>
          <w:rFonts w:cs="Times New Roman"/>
          <w:szCs w:val="24"/>
          <w:lang w:val="fr-CA"/>
        </w:rPr>
        <w:t>elle est invoquée, est liée au manquement allégué à l</w:t>
      </w:r>
      <w:r>
        <w:rPr>
          <w:rFonts w:cs="Times New Roman"/>
          <w:szCs w:val="24"/>
          <w:lang w:val="fr-CA"/>
        </w:rPr>
        <w:t>’</w:t>
      </w:r>
      <w:r w:rsidRPr="00954404">
        <w:rPr>
          <w:rFonts w:cs="Times New Roman"/>
          <w:szCs w:val="24"/>
          <w:lang w:val="fr-CA"/>
        </w:rPr>
        <w:t>obligation de diligence et doit être écartée si l</w:t>
      </w:r>
      <w:r>
        <w:rPr>
          <w:rFonts w:cs="Times New Roman"/>
          <w:szCs w:val="24"/>
          <w:lang w:val="fr-CA"/>
        </w:rPr>
        <w:t>’</w:t>
      </w:r>
      <w:r w:rsidRPr="00954404">
        <w:rPr>
          <w:rFonts w:cs="Times New Roman"/>
          <w:szCs w:val="24"/>
          <w:lang w:val="fr-CA"/>
        </w:rPr>
        <w:t>allégation de négligence est radiée.  Les allégations révèlent le lien explicite entre la mauvaise foi et la négligence</w:t>
      </w:r>
      <w:r>
        <w:rPr>
          <w:rFonts w:cs="Times New Roman"/>
          <w:szCs w:val="24"/>
          <w:lang w:val="fr-CA"/>
        </w:rPr>
        <w:t> :</w:t>
      </w:r>
    </w:p>
    <w:p w:rsidR="00466E7D" w:rsidRPr="00954404" w:rsidRDefault="00466E7D" w:rsidP="00466E7D">
      <w:pPr>
        <w:pStyle w:val="Citation-AltC"/>
        <w:spacing w:after="240"/>
        <w:ind w:hanging="1166"/>
        <w:contextualSpacing w:val="0"/>
        <w:rPr>
          <w:smallCaps/>
          <w:szCs w:val="24"/>
          <w:lang w:val="fr-CA"/>
        </w:rPr>
      </w:pPr>
      <w:r w:rsidRPr="00954404">
        <w:rPr>
          <w:szCs w:val="24"/>
          <w:lang w:val="fr-CA"/>
        </w:rPr>
        <w:tab/>
        <w:t>[</w:t>
      </w:r>
      <w:r w:rsidRPr="00954404">
        <w:rPr>
          <w:smallCaps/>
          <w:szCs w:val="24"/>
          <w:lang w:val="fr-CA"/>
        </w:rPr>
        <w:t>traduction]</w:t>
      </w:r>
    </w:p>
    <w:p w:rsidR="00466E7D" w:rsidRPr="00954404" w:rsidRDefault="00466E7D" w:rsidP="00466E7D">
      <w:pPr>
        <w:pStyle w:val="Citation-AltC"/>
        <w:spacing w:after="240"/>
        <w:ind w:hanging="1166"/>
        <w:contextualSpacing w:val="0"/>
        <w:rPr>
          <w:b/>
          <w:szCs w:val="24"/>
          <w:lang w:val="fr-CA"/>
        </w:rPr>
      </w:pPr>
      <w:r w:rsidRPr="00954404">
        <w:rPr>
          <w:b/>
          <w:szCs w:val="24"/>
          <w:lang w:val="fr-CA"/>
        </w:rPr>
        <w:tab/>
        <w:t>Négligence</w:t>
      </w:r>
      <w:r>
        <w:rPr>
          <w:b/>
          <w:szCs w:val="24"/>
          <w:lang w:val="fr-CA"/>
        </w:rPr>
        <w:t> :</w:t>
      </w:r>
      <w:r w:rsidRPr="00954404">
        <w:rPr>
          <w:b/>
          <w:szCs w:val="24"/>
          <w:lang w:val="fr-CA"/>
        </w:rPr>
        <w:t xml:space="preserve"> </w:t>
      </w:r>
      <w:r w:rsidRPr="00954404">
        <w:rPr>
          <w:rStyle w:val="ssl2"/>
          <w:b/>
          <w:szCs w:val="24"/>
          <w:lang w:val="fr-CA"/>
        </w:rPr>
        <w:t>manquement</w:t>
      </w:r>
      <w:r w:rsidRPr="00954404">
        <w:rPr>
          <w:b/>
          <w:szCs w:val="24"/>
          <w:lang w:val="fr-CA"/>
        </w:rPr>
        <w:t xml:space="preserve"> à l</w:t>
      </w:r>
      <w:r>
        <w:rPr>
          <w:b/>
          <w:szCs w:val="24"/>
          <w:lang w:val="fr-CA"/>
        </w:rPr>
        <w:t>’</w:t>
      </w:r>
      <w:r w:rsidRPr="00954404">
        <w:rPr>
          <w:b/>
          <w:szCs w:val="24"/>
          <w:lang w:val="fr-CA"/>
        </w:rPr>
        <w:t>obligation de diligence et mauvaise foi</w:t>
      </w:r>
    </w:p>
    <w:p w:rsidR="00466E7D" w:rsidRPr="00954404" w:rsidRDefault="00466E7D" w:rsidP="00466E7D">
      <w:pPr>
        <w:pStyle w:val="Citation-AltC"/>
        <w:spacing w:after="240"/>
        <w:ind w:hanging="1166"/>
        <w:contextualSpacing w:val="0"/>
        <w:jc w:val="center"/>
        <w:rPr>
          <w:szCs w:val="24"/>
          <w:lang w:val="fr-CA"/>
        </w:rPr>
      </w:pPr>
      <w:r w:rsidRPr="00954404">
        <w:rPr>
          <w:szCs w:val="24"/>
          <w:lang w:val="fr-CA"/>
        </w:rPr>
        <w:t>. . .</w:t>
      </w:r>
    </w:p>
    <w:p w:rsidR="00466E7D" w:rsidRPr="00954404" w:rsidRDefault="00466E7D" w:rsidP="00466E7D">
      <w:pPr>
        <w:pStyle w:val="Citation-AltC"/>
        <w:spacing w:after="240"/>
        <w:ind w:hanging="1166"/>
        <w:contextualSpacing w:val="0"/>
        <w:rPr>
          <w:szCs w:val="24"/>
          <w:lang w:val="fr-CA"/>
        </w:rPr>
      </w:pPr>
      <w:r w:rsidRPr="00954404">
        <w:rPr>
          <w:szCs w:val="24"/>
          <w:lang w:val="fr-CA"/>
        </w:rPr>
        <w:tab/>
        <w:t>44.  </w:t>
      </w:r>
      <w:r w:rsidRPr="00954404">
        <w:rPr>
          <w:szCs w:val="24"/>
          <w:u w:val="single"/>
          <w:lang w:val="fr-CA"/>
        </w:rPr>
        <w:t>En violation de leur obligation de diligence et en agissant de façon imprudente, arbitraire et de mauvaise foi, les défendeurs n</w:t>
      </w:r>
      <w:r>
        <w:rPr>
          <w:szCs w:val="24"/>
          <w:u w:val="single"/>
          <w:lang w:val="fr-CA"/>
        </w:rPr>
        <w:t>’</w:t>
      </w:r>
      <w:r w:rsidRPr="00954404">
        <w:rPr>
          <w:szCs w:val="24"/>
          <w:u w:val="single"/>
          <w:lang w:val="fr-CA"/>
        </w:rPr>
        <w:t>ont fait aucunement preuve, ou n</w:t>
      </w:r>
      <w:r>
        <w:rPr>
          <w:szCs w:val="24"/>
          <w:u w:val="single"/>
          <w:lang w:val="fr-CA"/>
        </w:rPr>
        <w:t>’</w:t>
      </w:r>
      <w:r w:rsidRPr="00954404">
        <w:rPr>
          <w:szCs w:val="24"/>
          <w:u w:val="single"/>
          <w:lang w:val="fr-CA"/>
        </w:rPr>
        <w:t>ont pas fait suffisamment preuve, de diligence, d</w:t>
      </w:r>
      <w:r>
        <w:rPr>
          <w:szCs w:val="24"/>
          <w:u w:val="single"/>
          <w:lang w:val="fr-CA"/>
        </w:rPr>
        <w:t>’</w:t>
      </w:r>
      <w:r w:rsidRPr="00954404">
        <w:rPr>
          <w:szCs w:val="24"/>
          <w:u w:val="single"/>
          <w:lang w:val="fr-CA"/>
        </w:rPr>
        <w:t>habileté et de prudence dans la vérification, la supervision, le contrôle et la gestion</w:t>
      </w:r>
      <w:r w:rsidRPr="00954404">
        <w:rPr>
          <w:szCs w:val="24"/>
          <w:lang w:val="fr-CA"/>
        </w:rPr>
        <w:t xml:space="preserve"> (i) </w:t>
      </w:r>
      <w:r w:rsidRPr="00954404">
        <w:rPr>
          <w:rStyle w:val="ssl2"/>
          <w:szCs w:val="24"/>
          <w:lang w:val="fr-CA"/>
        </w:rPr>
        <w:t>des prestations pour soins de santé versées par l</w:t>
      </w:r>
      <w:r>
        <w:rPr>
          <w:rStyle w:val="ssl2"/>
          <w:szCs w:val="24"/>
          <w:lang w:val="fr-CA"/>
        </w:rPr>
        <w:t>’</w:t>
      </w:r>
      <w:r w:rsidRPr="00954404">
        <w:rPr>
          <w:rStyle w:val="ssl2"/>
          <w:szCs w:val="24"/>
          <w:lang w:val="fr-CA"/>
        </w:rPr>
        <w:t>État aux autorités de la santé, (ii) des prestations pour soins de santé fournies par les autorités de la santé à des établissements de soins de longue durée et (iii) des frais d</w:t>
      </w:r>
      <w:r>
        <w:rPr>
          <w:rStyle w:val="ssl2"/>
          <w:szCs w:val="24"/>
          <w:lang w:val="fr-CA"/>
        </w:rPr>
        <w:t>’</w:t>
      </w:r>
      <w:r w:rsidRPr="00954404">
        <w:rPr>
          <w:rStyle w:val="ssl2"/>
          <w:szCs w:val="24"/>
          <w:lang w:val="fr-CA"/>
        </w:rPr>
        <w:t>hébergement payés par les membres du groupe</w:t>
      </w:r>
      <w:r w:rsidRPr="00954404">
        <w:rPr>
          <w:szCs w:val="24"/>
          <w:lang w:val="fr-CA"/>
        </w:rPr>
        <w:t xml:space="preserve">.  En particulier, </w:t>
      </w:r>
      <w:r w:rsidRPr="00954404">
        <w:rPr>
          <w:szCs w:val="24"/>
          <w:u w:val="single"/>
          <w:lang w:val="fr-CA"/>
        </w:rPr>
        <w:t>les manquements suivants sont reprochés aux défendeurs, lesquels ont agi imprudemment, arbitrairement et de mauvaise foi</w:t>
      </w:r>
      <w:r>
        <w:rPr>
          <w:szCs w:val="24"/>
          <w:lang w:val="fr-CA"/>
        </w:rPr>
        <w:t> :</w:t>
      </w:r>
    </w:p>
    <w:p w:rsidR="00466E7D" w:rsidRPr="00954404" w:rsidRDefault="00466E7D" w:rsidP="00466E7D">
      <w:pPr>
        <w:pStyle w:val="Citation-AltC"/>
        <w:spacing w:after="240"/>
        <w:ind w:left="1886" w:hanging="360"/>
        <w:contextualSpacing w:val="0"/>
        <w:rPr>
          <w:szCs w:val="24"/>
          <w:lang w:val="fr-CA"/>
        </w:rPr>
      </w:pPr>
      <w:r w:rsidRPr="00954404">
        <w:rPr>
          <w:szCs w:val="24"/>
          <w:lang w:val="fr-CA"/>
        </w:rPr>
        <w:t>a)</w:t>
      </w:r>
      <w:r w:rsidRPr="00954404">
        <w:rPr>
          <w:szCs w:val="24"/>
          <w:lang w:val="fr-CA"/>
        </w:rPr>
        <w:tab/>
        <w:t xml:space="preserve">ils ne se </w:t>
      </w:r>
      <w:r w:rsidRPr="00954404">
        <w:rPr>
          <w:rStyle w:val="ssl2"/>
          <w:szCs w:val="24"/>
          <w:lang w:val="fr-CA"/>
        </w:rPr>
        <w:t>sont</w:t>
      </w:r>
      <w:r w:rsidRPr="00954404">
        <w:rPr>
          <w:szCs w:val="24"/>
          <w:lang w:val="fr-CA"/>
        </w:rPr>
        <w:t xml:space="preserve"> appuyés sur aucun fondement rationnel pour déterminer en quoi consistent l</w:t>
      </w:r>
      <w:r>
        <w:rPr>
          <w:szCs w:val="24"/>
          <w:lang w:val="fr-CA"/>
        </w:rPr>
        <w:t>’</w:t>
      </w:r>
      <w:r w:rsidRPr="00954404">
        <w:rPr>
          <w:szCs w:val="24"/>
          <w:lang w:val="fr-CA"/>
        </w:rPr>
        <w:t>hébergement et les repas;</w:t>
      </w:r>
    </w:p>
    <w:p w:rsidR="00466E7D" w:rsidRPr="00954404" w:rsidRDefault="00466E7D" w:rsidP="00466E7D">
      <w:pPr>
        <w:pStyle w:val="Citation-AltC"/>
        <w:spacing w:after="240"/>
        <w:ind w:left="1886" w:hanging="360"/>
        <w:contextualSpacing w:val="0"/>
        <w:rPr>
          <w:szCs w:val="24"/>
          <w:lang w:val="fr-CA"/>
        </w:rPr>
      </w:pPr>
      <w:r w:rsidRPr="00954404">
        <w:rPr>
          <w:szCs w:val="24"/>
          <w:lang w:val="fr-CA"/>
        </w:rPr>
        <w:t>b)</w:t>
      </w:r>
      <w:r w:rsidRPr="00954404">
        <w:rPr>
          <w:szCs w:val="24"/>
          <w:lang w:val="fr-CA"/>
        </w:rPr>
        <w:tab/>
        <w:t>ils ne se sont appuyés sur aucun fondement rationnel pour calculer le coût réel de l</w:t>
      </w:r>
      <w:r>
        <w:rPr>
          <w:szCs w:val="24"/>
          <w:lang w:val="fr-CA"/>
        </w:rPr>
        <w:t>’</w:t>
      </w:r>
      <w:r w:rsidRPr="00954404">
        <w:rPr>
          <w:szCs w:val="24"/>
          <w:lang w:val="fr-CA"/>
        </w:rPr>
        <w:t>hébergement et des repas ou les frais d</w:t>
      </w:r>
      <w:r>
        <w:rPr>
          <w:szCs w:val="24"/>
          <w:lang w:val="fr-CA"/>
        </w:rPr>
        <w:t>’</w:t>
      </w:r>
      <w:r w:rsidRPr="00954404">
        <w:rPr>
          <w:szCs w:val="24"/>
          <w:lang w:val="fr-CA"/>
        </w:rPr>
        <w:t>hébergement;</w:t>
      </w:r>
    </w:p>
    <w:p w:rsidR="00466E7D" w:rsidRPr="00954404" w:rsidRDefault="00466E7D" w:rsidP="00466E7D">
      <w:pPr>
        <w:pStyle w:val="Citation-AltC"/>
        <w:spacing w:after="240"/>
        <w:ind w:left="1886" w:hanging="360"/>
        <w:contextualSpacing w:val="0"/>
        <w:rPr>
          <w:szCs w:val="24"/>
          <w:lang w:val="fr-CA"/>
        </w:rPr>
      </w:pPr>
      <w:r w:rsidRPr="00954404">
        <w:rPr>
          <w:szCs w:val="24"/>
          <w:lang w:val="fr-CA"/>
        </w:rPr>
        <w:t>c)</w:t>
      </w:r>
      <w:r w:rsidRPr="00954404">
        <w:rPr>
          <w:szCs w:val="24"/>
          <w:lang w:val="fr-CA"/>
        </w:rPr>
        <w:tab/>
        <w:t xml:space="preserve">ils ne se sont appuyés sur aucun fondement rationnel pour séparer ou distinguer le coût de soins de santé, lesquels relèvent des </w:t>
      </w:r>
      <w:r w:rsidRPr="00954404">
        <w:rPr>
          <w:szCs w:val="24"/>
          <w:lang w:val="fr-CA"/>
        </w:rPr>
        <w:lastRenderedPageBreak/>
        <w:t>défendeurs, des frais d</w:t>
      </w:r>
      <w:r>
        <w:rPr>
          <w:szCs w:val="24"/>
          <w:lang w:val="fr-CA"/>
        </w:rPr>
        <w:t>’</w:t>
      </w:r>
      <w:r w:rsidRPr="00954404">
        <w:rPr>
          <w:szCs w:val="24"/>
          <w:lang w:val="fr-CA"/>
        </w:rPr>
        <w:t>hébergement, lesquels relèvent des membres du groupe;</w:t>
      </w:r>
    </w:p>
    <w:p w:rsidR="00466E7D" w:rsidRPr="00954404" w:rsidRDefault="00466E7D" w:rsidP="00466E7D">
      <w:pPr>
        <w:pStyle w:val="Citation-AltC"/>
        <w:spacing w:after="240"/>
        <w:ind w:left="1886" w:hanging="360"/>
        <w:contextualSpacing w:val="0"/>
        <w:rPr>
          <w:szCs w:val="24"/>
          <w:lang w:val="fr-CA"/>
        </w:rPr>
      </w:pPr>
      <w:r w:rsidRPr="00954404">
        <w:rPr>
          <w:szCs w:val="24"/>
          <w:lang w:val="fr-CA"/>
        </w:rPr>
        <w:t>d)</w:t>
      </w:r>
      <w:r w:rsidRPr="00954404">
        <w:rPr>
          <w:szCs w:val="24"/>
          <w:lang w:val="fr-CA"/>
        </w:rPr>
        <w:tab/>
        <w:t>ils n</w:t>
      </w:r>
      <w:r>
        <w:rPr>
          <w:szCs w:val="24"/>
          <w:lang w:val="fr-CA"/>
        </w:rPr>
        <w:t>’</w:t>
      </w:r>
      <w:r w:rsidRPr="00954404">
        <w:rPr>
          <w:szCs w:val="24"/>
          <w:lang w:val="fr-CA"/>
        </w:rPr>
        <w:t>ont effectué aucune analyse pour déterminer le coût réel de l</w:t>
      </w:r>
      <w:r>
        <w:rPr>
          <w:szCs w:val="24"/>
          <w:lang w:val="fr-CA"/>
        </w:rPr>
        <w:t>’</w:t>
      </w:r>
      <w:r w:rsidRPr="00954404">
        <w:rPr>
          <w:szCs w:val="24"/>
          <w:lang w:val="fr-CA"/>
        </w:rPr>
        <w:t>hébergement et des repas et ont perçu, directement ou par l</w:t>
      </w:r>
      <w:r>
        <w:rPr>
          <w:szCs w:val="24"/>
          <w:lang w:val="fr-CA"/>
        </w:rPr>
        <w:t>’</w:t>
      </w:r>
      <w:r w:rsidRPr="00954404">
        <w:rPr>
          <w:szCs w:val="24"/>
          <w:lang w:val="fr-CA"/>
        </w:rPr>
        <w:t>intermédiaire de leurs mandataires, le montant maximum des frais d</w:t>
      </w:r>
      <w:r>
        <w:rPr>
          <w:szCs w:val="24"/>
          <w:lang w:val="fr-CA"/>
        </w:rPr>
        <w:t>’</w:t>
      </w:r>
      <w:r w:rsidRPr="00954404">
        <w:rPr>
          <w:szCs w:val="24"/>
          <w:lang w:val="fr-CA"/>
        </w:rPr>
        <w:t>hébergement dans la province de l</w:t>
      </w:r>
      <w:r>
        <w:rPr>
          <w:szCs w:val="24"/>
          <w:lang w:val="fr-CA"/>
        </w:rPr>
        <w:t>’</w:t>
      </w:r>
      <w:r w:rsidRPr="00954404">
        <w:rPr>
          <w:szCs w:val="24"/>
          <w:lang w:val="fr-CA"/>
        </w:rPr>
        <w:t>Alberta (à quelques exceptions près</w:t>
      </w:r>
      <w:r>
        <w:rPr>
          <w:szCs w:val="24"/>
          <w:lang w:val="fr-CA"/>
        </w:rPr>
        <w:t>[</w:t>
      </w:r>
      <w:r w:rsidRPr="00954404">
        <w:rPr>
          <w:szCs w:val="24"/>
          <w:lang w:val="fr-CA"/>
        </w:rPr>
        <w:t>)];</w:t>
      </w:r>
    </w:p>
    <w:p w:rsidR="00466E7D" w:rsidRPr="00954404" w:rsidRDefault="00466E7D" w:rsidP="00466E7D">
      <w:pPr>
        <w:pStyle w:val="Citation-AltC"/>
        <w:spacing w:after="240"/>
        <w:ind w:left="1886" w:hanging="360"/>
        <w:contextualSpacing w:val="0"/>
        <w:rPr>
          <w:szCs w:val="24"/>
          <w:lang w:val="fr-CA"/>
        </w:rPr>
      </w:pPr>
      <w:r w:rsidRPr="00954404">
        <w:rPr>
          <w:szCs w:val="24"/>
          <w:lang w:val="fr-CA"/>
        </w:rPr>
        <w:t>e)</w:t>
      </w:r>
      <w:r w:rsidRPr="00954404">
        <w:rPr>
          <w:szCs w:val="24"/>
          <w:lang w:val="fr-CA"/>
        </w:rPr>
        <w:tab/>
        <w:t>ils n</w:t>
      </w:r>
      <w:r>
        <w:rPr>
          <w:szCs w:val="24"/>
          <w:lang w:val="fr-CA"/>
        </w:rPr>
        <w:t>’</w:t>
      </w:r>
      <w:r w:rsidRPr="00954404">
        <w:rPr>
          <w:szCs w:val="24"/>
          <w:lang w:val="fr-CA"/>
        </w:rPr>
        <w:t>ont pas rendu compte ni exigé qu</w:t>
      </w:r>
      <w:r>
        <w:rPr>
          <w:szCs w:val="24"/>
          <w:lang w:val="fr-CA"/>
        </w:rPr>
        <w:t>’</w:t>
      </w:r>
      <w:r w:rsidRPr="00954404">
        <w:rPr>
          <w:szCs w:val="24"/>
          <w:lang w:val="fr-CA"/>
        </w:rPr>
        <w:t>on rende compte aux membres du groupe de l</w:t>
      </w:r>
      <w:r>
        <w:rPr>
          <w:szCs w:val="24"/>
          <w:lang w:val="fr-CA"/>
        </w:rPr>
        <w:t>’</w:t>
      </w:r>
      <w:r w:rsidRPr="00954404">
        <w:rPr>
          <w:szCs w:val="24"/>
          <w:lang w:val="fr-CA"/>
        </w:rPr>
        <w:t>utilisation faite des sommes payées par les membres du groupe à titre de frais d</w:t>
      </w:r>
      <w:r>
        <w:rPr>
          <w:szCs w:val="24"/>
          <w:lang w:val="fr-CA"/>
        </w:rPr>
        <w:t>’</w:t>
      </w:r>
      <w:r w:rsidRPr="00954404">
        <w:rPr>
          <w:szCs w:val="24"/>
          <w:lang w:val="fr-CA"/>
        </w:rPr>
        <w:t>hébergement;</w:t>
      </w:r>
    </w:p>
    <w:p w:rsidR="00466E7D" w:rsidRPr="00954404" w:rsidRDefault="00466E7D" w:rsidP="00466E7D">
      <w:pPr>
        <w:pStyle w:val="Citation-AltC"/>
        <w:spacing w:after="240"/>
        <w:ind w:left="1886" w:hanging="360"/>
        <w:contextualSpacing w:val="0"/>
        <w:rPr>
          <w:szCs w:val="24"/>
          <w:lang w:val="fr-CA"/>
        </w:rPr>
      </w:pPr>
      <w:r w:rsidRPr="00954404">
        <w:rPr>
          <w:szCs w:val="24"/>
          <w:lang w:val="fr-CA"/>
        </w:rPr>
        <w:t>f)</w:t>
      </w:r>
      <w:r w:rsidRPr="00954404">
        <w:rPr>
          <w:szCs w:val="24"/>
          <w:lang w:val="fr-CA"/>
        </w:rPr>
        <w:tab/>
        <w:t>ils n</w:t>
      </w:r>
      <w:r>
        <w:rPr>
          <w:szCs w:val="24"/>
          <w:lang w:val="fr-CA"/>
        </w:rPr>
        <w:t>’</w:t>
      </w:r>
      <w:r w:rsidRPr="00954404">
        <w:rPr>
          <w:szCs w:val="24"/>
          <w:lang w:val="fr-CA"/>
        </w:rPr>
        <w:t>ont mis en place aucun dossier ou système de déclaration, de comptabilité ou financier, ou n</w:t>
      </w:r>
      <w:r>
        <w:rPr>
          <w:szCs w:val="24"/>
          <w:lang w:val="fr-CA"/>
        </w:rPr>
        <w:t>’</w:t>
      </w:r>
      <w:r w:rsidRPr="00954404">
        <w:rPr>
          <w:szCs w:val="24"/>
          <w:lang w:val="fr-CA"/>
        </w:rPr>
        <w:t>ont pas mis en place un dossier ou système de déclaration, de comptabilité ou financier adéquat;</w:t>
      </w:r>
    </w:p>
    <w:p w:rsidR="00466E7D" w:rsidRPr="00954404" w:rsidRDefault="00466E7D" w:rsidP="00466E7D">
      <w:pPr>
        <w:pStyle w:val="Citation-AltC"/>
        <w:spacing w:after="240"/>
        <w:ind w:left="1886" w:hanging="360"/>
        <w:contextualSpacing w:val="0"/>
        <w:rPr>
          <w:szCs w:val="24"/>
          <w:lang w:val="fr-CA"/>
        </w:rPr>
      </w:pPr>
      <w:r w:rsidRPr="00954404">
        <w:rPr>
          <w:szCs w:val="24"/>
          <w:lang w:val="fr-CA"/>
        </w:rPr>
        <w:t>g)</w:t>
      </w:r>
      <w:r w:rsidRPr="00954404">
        <w:rPr>
          <w:szCs w:val="24"/>
          <w:lang w:val="fr-CA"/>
        </w:rPr>
        <w:tab/>
        <w:t>ils ont permis que l</w:t>
      </w:r>
      <w:r>
        <w:rPr>
          <w:szCs w:val="24"/>
          <w:lang w:val="fr-CA"/>
        </w:rPr>
        <w:t>’</w:t>
      </w:r>
      <w:r w:rsidRPr="00954404">
        <w:rPr>
          <w:szCs w:val="24"/>
          <w:lang w:val="fr-CA"/>
        </w:rPr>
        <w:t>on réclame aux membres du groupe le coût de soins de santé qui relèvent des défendeurs, y compris notamment [une liste détaillée suit] ou, subsidiairement, n</w:t>
      </w:r>
      <w:r>
        <w:rPr>
          <w:szCs w:val="24"/>
          <w:lang w:val="fr-CA"/>
        </w:rPr>
        <w:t>’</w:t>
      </w:r>
      <w:r w:rsidRPr="00954404">
        <w:rPr>
          <w:szCs w:val="24"/>
          <w:lang w:val="fr-CA"/>
        </w:rPr>
        <w:t xml:space="preserve">ont pas empêché que ces coûts leurs soient réclamés; </w:t>
      </w:r>
    </w:p>
    <w:p w:rsidR="00466E7D" w:rsidRPr="00954404" w:rsidRDefault="00466E7D" w:rsidP="00466E7D">
      <w:pPr>
        <w:pStyle w:val="Citation-AltC"/>
        <w:spacing w:after="240"/>
        <w:ind w:left="1890" w:hanging="360"/>
        <w:contextualSpacing w:val="0"/>
        <w:rPr>
          <w:szCs w:val="24"/>
          <w:lang w:val="fr-CA"/>
        </w:rPr>
      </w:pPr>
      <w:r w:rsidRPr="00954404">
        <w:rPr>
          <w:szCs w:val="24"/>
          <w:lang w:val="fr-CA"/>
        </w:rPr>
        <w:t>h)</w:t>
      </w:r>
      <w:r w:rsidRPr="00954404">
        <w:rPr>
          <w:szCs w:val="24"/>
          <w:lang w:val="fr-CA"/>
        </w:rPr>
        <w:tab/>
        <w:t>par lettre datée du 1</w:t>
      </w:r>
      <w:r w:rsidRPr="00954404">
        <w:rPr>
          <w:szCs w:val="24"/>
          <w:vertAlign w:val="superscript"/>
          <w:lang w:val="fr-CA"/>
        </w:rPr>
        <w:t>er</w:t>
      </w:r>
      <w:r w:rsidRPr="00954404">
        <w:rPr>
          <w:szCs w:val="24"/>
          <w:lang w:val="fr-CA"/>
        </w:rPr>
        <w:t> août 2003, l</w:t>
      </w:r>
      <w:r>
        <w:rPr>
          <w:szCs w:val="24"/>
          <w:lang w:val="fr-CA"/>
        </w:rPr>
        <w:t>’</w:t>
      </w:r>
      <w:r w:rsidRPr="00954404">
        <w:rPr>
          <w:szCs w:val="24"/>
          <w:lang w:val="fr-CA"/>
        </w:rPr>
        <w:t>État, par l</w:t>
      </w:r>
      <w:r>
        <w:rPr>
          <w:szCs w:val="24"/>
          <w:lang w:val="fr-CA"/>
        </w:rPr>
        <w:t>’</w:t>
      </w:r>
      <w:r w:rsidRPr="00954404">
        <w:rPr>
          <w:szCs w:val="24"/>
          <w:lang w:val="fr-CA"/>
        </w:rPr>
        <w:t>intermédiaire de son ministre du Soutien aux aînés et aux collectivités, a illégalement [liste des mesures particulières omise].</w:t>
      </w:r>
    </w:p>
    <w:p w:rsidR="00466E7D" w:rsidRPr="00954404" w:rsidRDefault="00466E7D" w:rsidP="00466E7D">
      <w:pPr>
        <w:pStyle w:val="Citation-AltC"/>
        <w:spacing w:after="240"/>
        <w:ind w:hanging="1166"/>
        <w:contextualSpacing w:val="0"/>
        <w:rPr>
          <w:b/>
          <w:szCs w:val="24"/>
          <w:lang w:val="fr-CA"/>
        </w:rPr>
      </w:pPr>
      <w:r w:rsidRPr="00954404">
        <w:rPr>
          <w:b/>
          <w:szCs w:val="24"/>
          <w:lang w:val="fr-CA"/>
        </w:rPr>
        <w:tab/>
        <w:t xml:space="preserve">Décisions de </w:t>
      </w:r>
      <w:r w:rsidRPr="00954404">
        <w:rPr>
          <w:rStyle w:val="ssl2"/>
          <w:b/>
          <w:szCs w:val="24"/>
          <w:lang w:val="fr-CA"/>
        </w:rPr>
        <w:t>politique</w:t>
      </w:r>
      <w:r w:rsidRPr="00954404">
        <w:rPr>
          <w:b/>
          <w:szCs w:val="24"/>
          <w:lang w:val="fr-CA"/>
        </w:rPr>
        <w:t xml:space="preserve"> générale</w:t>
      </w:r>
      <w:r>
        <w:rPr>
          <w:b/>
          <w:szCs w:val="24"/>
          <w:lang w:val="fr-CA"/>
        </w:rPr>
        <w:t> :</w:t>
      </w:r>
      <w:r w:rsidRPr="00954404">
        <w:rPr>
          <w:b/>
          <w:szCs w:val="24"/>
          <w:lang w:val="fr-CA"/>
        </w:rPr>
        <w:t xml:space="preserve"> manquement à une obligation de diligence et mauvaise foi</w:t>
      </w:r>
    </w:p>
    <w:p w:rsidR="00466E7D" w:rsidRPr="00954404" w:rsidRDefault="00466E7D" w:rsidP="00466E7D">
      <w:pPr>
        <w:pStyle w:val="Citation-AltC"/>
        <w:spacing w:after="240"/>
        <w:ind w:hanging="1166"/>
        <w:contextualSpacing w:val="0"/>
        <w:jc w:val="center"/>
        <w:rPr>
          <w:szCs w:val="24"/>
          <w:lang w:val="fr-CA"/>
        </w:rPr>
      </w:pPr>
      <w:r w:rsidRPr="00954404">
        <w:rPr>
          <w:szCs w:val="24"/>
          <w:lang w:val="fr-CA"/>
        </w:rPr>
        <w:t>. . .</w:t>
      </w:r>
    </w:p>
    <w:p w:rsidR="00466E7D" w:rsidRPr="00954404" w:rsidRDefault="00466E7D" w:rsidP="00466E7D">
      <w:pPr>
        <w:pStyle w:val="Citation-AltC"/>
        <w:spacing w:after="240"/>
        <w:ind w:hanging="1166"/>
        <w:contextualSpacing w:val="0"/>
        <w:rPr>
          <w:szCs w:val="24"/>
          <w:lang w:val="fr-CA"/>
        </w:rPr>
      </w:pPr>
      <w:r w:rsidRPr="00954404">
        <w:rPr>
          <w:szCs w:val="24"/>
          <w:lang w:val="fr-CA"/>
        </w:rPr>
        <w:tab/>
        <w:t>49.  </w:t>
      </w:r>
      <w:r w:rsidRPr="00954404">
        <w:rPr>
          <w:szCs w:val="24"/>
          <w:u w:val="single"/>
          <w:lang w:val="fr-CA"/>
        </w:rPr>
        <w:t>En violation de son obligation de diligence et en agissant de façon imprudente, arbitraire et de mauvaise foi</w:t>
      </w:r>
      <w:r w:rsidRPr="00E148A7">
        <w:rPr>
          <w:szCs w:val="24"/>
          <w:lang w:val="fr-CA"/>
        </w:rPr>
        <w:t>,</w:t>
      </w:r>
      <w:r w:rsidRPr="00954404">
        <w:rPr>
          <w:szCs w:val="24"/>
          <w:lang w:val="fr-CA"/>
        </w:rPr>
        <w:t xml:space="preserve"> l</w:t>
      </w:r>
      <w:r>
        <w:rPr>
          <w:szCs w:val="24"/>
          <w:lang w:val="fr-CA"/>
        </w:rPr>
        <w:t>’</w:t>
      </w:r>
      <w:r w:rsidRPr="00954404">
        <w:rPr>
          <w:szCs w:val="24"/>
          <w:lang w:val="fr-CA"/>
        </w:rPr>
        <w:t xml:space="preserve">État a, conformément à ces lettres, illégalement et indûment demandé aux autorités </w:t>
      </w:r>
      <w:r w:rsidRPr="00954404">
        <w:rPr>
          <w:rStyle w:val="ssl2"/>
          <w:szCs w:val="24"/>
          <w:lang w:val="fr-CA"/>
        </w:rPr>
        <w:t>de la santé</w:t>
      </w:r>
      <w:r w:rsidRPr="00954404">
        <w:rPr>
          <w:szCs w:val="24"/>
          <w:lang w:val="fr-CA"/>
        </w:rPr>
        <w:t xml:space="preserve"> prédécesseures et à leurs </w:t>
      </w:r>
      <w:r w:rsidRPr="00954404">
        <w:rPr>
          <w:rStyle w:val="ssl2"/>
          <w:szCs w:val="24"/>
          <w:lang w:val="fr-CA"/>
        </w:rPr>
        <w:t>mandataires</w:t>
      </w:r>
      <w:r w:rsidRPr="00954404">
        <w:rPr>
          <w:szCs w:val="24"/>
          <w:lang w:val="fr-CA"/>
        </w:rPr>
        <w:t xml:space="preserve"> d</w:t>
      </w:r>
      <w:r>
        <w:rPr>
          <w:szCs w:val="24"/>
          <w:lang w:val="fr-CA"/>
        </w:rPr>
        <w:t>’</w:t>
      </w:r>
      <w:r w:rsidRPr="00954404">
        <w:rPr>
          <w:szCs w:val="24"/>
          <w:lang w:val="fr-CA"/>
        </w:rPr>
        <w:t>exiger le montant maximum des frais d</w:t>
      </w:r>
      <w:r>
        <w:rPr>
          <w:szCs w:val="24"/>
          <w:lang w:val="fr-CA"/>
        </w:rPr>
        <w:t>’</w:t>
      </w:r>
      <w:r w:rsidRPr="00954404">
        <w:rPr>
          <w:szCs w:val="24"/>
          <w:lang w:val="fr-CA"/>
        </w:rPr>
        <w:t xml:space="preserve">hébergement, malgré le libellé facultatif et discrétionnaire du </w:t>
      </w:r>
      <w:r>
        <w:rPr>
          <w:szCs w:val="24"/>
          <w:lang w:val="fr-CA"/>
        </w:rPr>
        <w:t>par. </w:t>
      </w:r>
      <w:r w:rsidRPr="00954404">
        <w:rPr>
          <w:szCs w:val="24"/>
          <w:lang w:val="fr-CA"/>
        </w:rPr>
        <w:t xml:space="preserve">3(1) du </w:t>
      </w:r>
      <w:r w:rsidRPr="00954404">
        <w:rPr>
          <w:i/>
          <w:szCs w:val="24"/>
          <w:lang w:val="fr-CA"/>
        </w:rPr>
        <w:t>Nursing Homes Operation Regulation</w:t>
      </w:r>
      <w:r w:rsidRPr="00954404">
        <w:rPr>
          <w:szCs w:val="24"/>
          <w:lang w:val="fr-CA"/>
        </w:rPr>
        <w:t xml:space="preserve"> et du </w:t>
      </w:r>
      <w:r>
        <w:rPr>
          <w:szCs w:val="24"/>
          <w:lang w:val="fr-CA"/>
        </w:rPr>
        <w:t>par. </w:t>
      </w:r>
      <w:r w:rsidRPr="00954404">
        <w:rPr>
          <w:szCs w:val="24"/>
          <w:lang w:val="fr-CA"/>
        </w:rPr>
        <w:t xml:space="preserve">8(2) de la </w:t>
      </w:r>
      <w:r w:rsidRPr="00954404">
        <w:rPr>
          <w:i/>
          <w:szCs w:val="24"/>
          <w:lang w:val="fr-CA"/>
        </w:rPr>
        <w:t>Nursing Homes Act</w:t>
      </w:r>
      <w:r w:rsidRPr="00954404">
        <w:rPr>
          <w:szCs w:val="24"/>
          <w:lang w:val="fr-CA"/>
        </w:rPr>
        <w:t>, de sorte que les membres du groupe, à quelques exceptions près, ont dû payer le montant maximum des frais d</w:t>
      </w:r>
      <w:r>
        <w:rPr>
          <w:szCs w:val="24"/>
          <w:lang w:val="fr-CA"/>
        </w:rPr>
        <w:t>’</w:t>
      </w:r>
      <w:r w:rsidRPr="00954404">
        <w:rPr>
          <w:szCs w:val="24"/>
          <w:lang w:val="fr-CA"/>
        </w:rPr>
        <w:t>hébergement sans égard au coût réel de l</w:t>
      </w:r>
      <w:r>
        <w:rPr>
          <w:szCs w:val="24"/>
          <w:lang w:val="fr-CA"/>
        </w:rPr>
        <w:t>’</w:t>
      </w:r>
      <w:r w:rsidRPr="00954404">
        <w:rPr>
          <w:szCs w:val="24"/>
          <w:lang w:val="fr-CA"/>
        </w:rPr>
        <w:t>hébergement et des repas.</w:t>
      </w:r>
    </w:p>
    <w:p w:rsidR="00466E7D" w:rsidRPr="00954404" w:rsidRDefault="00466E7D" w:rsidP="00466E7D">
      <w:pPr>
        <w:pStyle w:val="Citation-AltC"/>
        <w:spacing w:after="240"/>
        <w:ind w:hanging="1166"/>
        <w:contextualSpacing w:val="0"/>
        <w:rPr>
          <w:szCs w:val="24"/>
          <w:lang w:val="fr-CA"/>
        </w:rPr>
      </w:pPr>
      <w:r w:rsidRPr="00954404">
        <w:rPr>
          <w:szCs w:val="24"/>
          <w:lang w:val="fr-CA"/>
        </w:rPr>
        <w:tab/>
        <w:t>50.  </w:t>
      </w:r>
      <w:r w:rsidRPr="00954404">
        <w:rPr>
          <w:szCs w:val="24"/>
          <w:u w:val="single"/>
          <w:lang w:val="fr-CA"/>
        </w:rPr>
        <w:t>De plus, en violation de son obligation de diligence et en agissant de façon imprudente, arbitraire et de mauvaise foi</w:t>
      </w:r>
      <w:r w:rsidRPr="00E9389A">
        <w:rPr>
          <w:szCs w:val="24"/>
          <w:lang w:val="fr-CA"/>
        </w:rPr>
        <w:t>,</w:t>
      </w:r>
      <w:r w:rsidRPr="00954404">
        <w:rPr>
          <w:szCs w:val="24"/>
          <w:lang w:val="fr-CA"/>
        </w:rPr>
        <w:t xml:space="preserve"> l</w:t>
      </w:r>
      <w:r>
        <w:rPr>
          <w:szCs w:val="24"/>
          <w:lang w:val="fr-CA"/>
        </w:rPr>
        <w:t>’</w:t>
      </w:r>
      <w:r w:rsidRPr="00954404">
        <w:rPr>
          <w:szCs w:val="24"/>
          <w:lang w:val="fr-CA"/>
        </w:rPr>
        <w:t xml:space="preserve">État a, conformément à ces lettres, illégalement et </w:t>
      </w:r>
      <w:r w:rsidRPr="00954404">
        <w:rPr>
          <w:rStyle w:val="ssl2"/>
          <w:szCs w:val="24"/>
          <w:lang w:val="fr-CA"/>
        </w:rPr>
        <w:t>indûment</w:t>
      </w:r>
      <w:r w:rsidRPr="00954404">
        <w:rPr>
          <w:szCs w:val="24"/>
          <w:lang w:val="fr-CA"/>
        </w:rPr>
        <w:t xml:space="preserve"> demandé aux autorités </w:t>
      </w:r>
      <w:r w:rsidRPr="00954404">
        <w:rPr>
          <w:rStyle w:val="ssl2"/>
          <w:szCs w:val="24"/>
          <w:lang w:val="fr-CA"/>
        </w:rPr>
        <w:t>de la santé</w:t>
      </w:r>
      <w:r w:rsidRPr="00954404">
        <w:rPr>
          <w:szCs w:val="24"/>
          <w:lang w:val="fr-CA"/>
        </w:rPr>
        <w:t xml:space="preserve"> prédécesseures et à leurs mandataires de facturer aux membres du groupe </w:t>
      </w:r>
      <w:r w:rsidRPr="00954404">
        <w:rPr>
          <w:szCs w:val="24"/>
          <w:lang w:val="fr-CA"/>
        </w:rPr>
        <w:lastRenderedPageBreak/>
        <w:t>le coût des soins de santé fixés à l</w:t>
      </w:r>
      <w:r>
        <w:rPr>
          <w:szCs w:val="24"/>
          <w:lang w:val="fr-CA"/>
        </w:rPr>
        <w:t>’</w:t>
      </w:r>
      <w:r w:rsidRPr="00954404">
        <w:rPr>
          <w:szCs w:val="24"/>
          <w:lang w:val="fr-CA"/>
        </w:rPr>
        <w:t>alinéa 44g) ci</w:t>
      </w:r>
      <w:r>
        <w:rPr>
          <w:szCs w:val="24"/>
          <w:lang w:val="fr-CA"/>
        </w:rPr>
        <w:noBreakHyphen/>
      </w:r>
      <w:r w:rsidRPr="00954404">
        <w:rPr>
          <w:szCs w:val="24"/>
          <w:lang w:val="fr-CA"/>
        </w:rPr>
        <w:t>dessus dans les cas suivants</w:t>
      </w:r>
      <w:r>
        <w:rPr>
          <w:szCs w:val="24"/>
          <w:lang w:val="fr-CA"/>
        </w:rPr>
        <w:t> :</w:t>
      </w:r>
    </w:p>
    <w:p w:rsidR="00466E7D" w:rsidRPr="00954404" w:rsidRDefault="00466E7D" w:rsidP="00E9060A">
      <w:pPr>
        <w:pStyle w:val="Citation-AltC"/>
        <w:spacing w:after="240"/>
        <w:ind w:left="1890" w:hanging="360"/>
        <w:contextualSpacing w:val="0"/>
        <w:rPr>
          <w:szCs w:val="24"/>
          <w:lang w:val="fr-CA"/>
        </w:rPr>
      </w:pPr>
      <w:r w:rsidRPr="00954404">
        <w:rPr>
          <w:szCs w:val="24"/>
          <w:lang w:val="fr-CA"/>
        </w:rPr>
        <w:t>a)</w:t>
      </w:r>
      <w:r w:rsidRPr="00954404">
        <w:rPr>
          <w:szCs w:val="24"/>
          <w:lang w:val="fr-CA"/>
        </w:rPr>
        <w:tab/>
        <w:t xml:space="preserve">lorsque ces coûts constituent des coûts de soins de santé prévus par la </w:t>
      </w:r>
      <w:r w:rsidRPr="00954404">
        <w:rPr>
          <w:i/>
          <w:szCs w:val="24"/>
          <w:lang w:val="fr-CA"/>
        </w:rPr>
        <w:t>Nursing Homes Act</w:t>
      </w:r>
      <w:r w:rsidRPr="00954404">
        <w:rPr>
          <w:szCs w:val="24"/>
          <w:lang w:val="fr-CA"/>
        </w:rPr>
        <w:t xml:space="preserve"> et ses règlements d</w:t>
      </w:r>
      <w:r>
        <w:rPr>
          <w:szCs w:val="24"/>
          <w:lang w:val="fr-CA"/>
        </w:rPr>
        <w:t>’</w:t>
      </w:r>
      <w:r w:rsidRPr="00954404">
        <w:rPr>
          <w:szCs w:val="24"/>
          <w:lang w:val="fr-CA"/>
        </w:rPr>
        <w:t xml:space="preserve">application, par la </w:t>
      </w:r>
      <w:r w:rsidRPr="00954404">
        <w:rPr>
          <w:i/>
          <w:szCs w:val="24"/>
          <w:lang w:val="fr-CA"/>
        </w:rPr>
        <w:t>Hospitals Act</w:t>
      </w:r>
      <w:r w:rsidRPr="00954404">
        <w:rPr>
          <w:szCs w:val="24"/>
          <w:lang w:val="fr-CA"/>
        </w:rPr>
        <w:t xml:space="preserve"> et ses règlements d</w:t>
      </w:r>
      <w:r>
        <w:rPr>
          <w:szCs w:val="24"/>
          <w:lang w:val="fr-CA"/>
        </w:rPr>
        <w:t>’</w:t>
      </w:r>
      <w:r w:rsidRPr="00954404">
        <w:rPr>
          <w:szCs w:val="24"/>
          <w:lang w:val="fr-CA"/>
        </w:rPr>
        <w:t>application, ainsi que par la directive ministérielle D</w:t>
      </w:r>
      <w:r>
        <w:rPr>
          <w:szCs w:val="24"/>
          <w:lang w:val="fr-CA"/>
        </w:rPr>
        <w:noBreakHyphen/>
      </w:r>
      <w:r w:rsidRPr="00954404">
        <w:rPr>
          <w:szCs w:val="24"/>
          <w:lang w:val="fr-CA"/>
        </w:rPr>
        <w:t>317;</w:t>
      </w:r>
    </w:p>
    <w:p w:rsidR="00466E7D" w:rsidRPr="00954404" w:rsidRDefault="00466E7D" w:rsidP="00E9060A">
      <w:pPr>
        <w:pStyle w:val="Citation-AltC"/>
        <w:spacing w:after="240"/>
        <w:ind w:left="1890" w:hanging="360"/>
        <w:contextualSpacing w:val="0"/>
        <w:rPr>
          <w:szCs w:val="24"/>
          <w:lang w:val="fr-CA"/>
        </w:rPr>
      </w:pPr>
      <w:r w:rsidRPr="00954404">
        <w:rPr>
          <w:szCs w:val="24"/>
          <w:lang w:val="fr-CA"/>
        </w:rPr>
        <w:t>b)</w:t>
      </w:r>
      <w:r w:rsidRPr="00954404">
        <w:rPr>
          <w:szCs w:val="24"/>
          <w:lang w:val="fr-CA"/>
        </w:rPr>
        <w:tab/>
        <w:t>lorsque, selon l</w:t>
      </w:r>
      <w:r>
        <w:rPr>
          <w:szCs w:val="24"/>
          <w:lang w:val="fr-CA"/>
        </w:rPr>
        <w:t>’</w:t>
      </w:r>
      <w:r w:rsidRPr="00954404">
        <w:rPr>
          <w:szCs w:val="24"/>
          <w:lang w:val="fr-CA"/>
        </w:rPr>
        <w:t>État — lequel l</w:t>
      </w:r>
      <w:r>
        <w:rPr>
          <w:szCs w:val="24"/>
          <w:lang w:val="fr-CA"/>
        </w:rPr>
        <w:t>’</w:t>
      </w:r>
      <w:r w:rsidRPr="00954404">
        <w:rPr>
          <w:szCs w:val="24"/>
          <w:lang w:val="fr-CA"/>
        </w:rPr>
        <w:t>a depuis reconnu —, ces coûts et services relevaient des défendeurs;</w:t>
      </w:r>
    </w:p>
    <w:p w:rsidR="00466E7D" w:rsidRPr="00954404" w:rsidRDefault="00466E7D" w:rsidP="00E9060A">
      <w:pPr>
        <w:pStyle w:val="Citation-AltC"/>
        <w:spacing w:after="240"/>
        <w:ind w:left="1890" w:hanging="360"/>
        <w:contextualSpacing w:val="0"/>
        <w:rPr>
          <w:szCs w:val="24"/>
          <w:lang w:val="fr-CA"/>
        </w:rPr>
      </w:pPr>
      <w:r w:rsidRPr="00954404">
        <w:rPr>
          <w:szCs w:val="24"/>
          <w:lang w:val="fr-CA"/>
        </w:rPr>
        <w:t>c)</w:t>
      </w:r>
      <w:r w:rsidRPr="00954404">
        <w:rPr>
          <w:szCs w:val="24"/>
          <w:lang w:val="fr-CA"/>
        </w:rPr>
        <w:tab/>
        <w:t>lorsque, selon l</w:t>
      </w:r>
      <w:r>
        <w:rPr>
          <w:szCs w:val="24"/>
          <w:lang w:val="fr-CA"/>
        </w:rPr>
        <w:t>’</w:t>
      </w:r>
      <w:r w:rsidRPr="00954404">
        <w:rPr>
          <w:szCs w:val="24"/>
          <w:lang w:val="fr-CA"/>
        </w:rPr>
        <w:t>État — lequel l</w:t>
      </w:r>
      <w:r>
        <w:rPr>
          <w:szCs w:val="24"/>
          <w:lang w:val="fr-CA"/>
        </w:rPr>
        <w:t>’</w:t>
      </w:r>
      <w:r w:rsidRPr="00954404">
        <w:rPr>
          <w:szCs w:val="24"/>
          <w:lang w:val="fr-CA"/>
        </w:rPr>
        <w:t>a depuis reconnu —, ces coûts faisaient partie du financement de base pour les soins de santé qu</w:t>
      </w:r>
      <w:r>
        <w:rPr>
          <w:szCs w:val="24"/>
          <w:lang w:val="fr-CA"/>
        </w:rPr>
        <w:t>’</w:t>
      </w:r>
      <w:r w:rsidRPr="00954404">
        <w:rPr>
          <w:szCs w:val="24"/>
          <w:lang w:val="fr-CA"/>
        </w:rPr>
        <w:t xml:space="preserve">il fournissait aux autorités </w:t>
      </w:r>
      <w:r w:rsidRPr="00954404">
        <w:rPr>
          <w:rStyle w:val="ssl2"/>
          <w:szCs w:val="24"/>
          <w:lang w:val="fr-CA"/>
        </w:rPr>
        <w:t>de la santé</w:t>
      </w:r>
      <w:r w:rsidRPr="00954404">
        <w:rPr>
          <w:szCs w:val="24"/>
          <w:lang w:val="fr-CA"/>
        </w:rPr>
        <w:t>.</w:t>
      </w:r>
    </w:p>
    <w:p w:rsidR="00466E7D" w:rsidRPr="00954404" w:rsidRDefault="00466E7D" w:rsidP="00466E7D">
      <w:pPr>
        <w:pStyle w:val="Citation-AltC"/>
        <w:spacing w:after="240"/>
        <w:ind w:left="1170" w:hanging="1170"/>
        <w:contextualSpacing w:val="0"/>
        <w:rPr>
          <w:szCs w:val="24"/>
          <w:lang w:val="fr-CA"/>
        </w:rPr>
      </w:pPr>
      <w:r w:rsidRPr="00954404">
        <w:rPr>
          <w:szCs w:val="24"/>
          <w:lang w:val="fr-CA"/>
        </w:rPr>
        <w:tab/>
        <w:t>51.  </w:t>
      </w:r>
      <w:r w:rsidRPr="00954404">
        <w:rPr>
          <w:szCs w:val="24"/>
          <w:u w:val="single"/>
          <w:lang w:val="fr-CA"/>
        </w:rPr>
        <w:t xml:space="preserve">En raison de la négligence, de la prise de mesures </w:t>
      </w:r>
      <w:r w:rsidRPr="00954404">
        <w:rPr>
          <w:i/>
          <w:szCs w:val="24"/>
          <w:u w:val="single"/>
          <w:lang w:val="fr-CA"/>
        </w:rPr>
        <w:t>ultra vires</w:t>
      </w:r>
      <w:r w:rsidRPr="00954404">
        <w:rPr>
          <w:szCs w:val="24"/>
          <w:u w:val="single"/>
          <w:lang w:val="fr-CA"/>
        </w:rPr>
        <w:t xml:space="preserve"> et de la mauvaise foi</w:t>
      </w:r>
      <w:r w:rsidRPr="00954404">
        <w:rPr>
          <w:szCs w:val="24"/>
          <w:lang w:val="fr-CA"/>
        </w:rPr>
        <w:t xml:space="preserve"> des défendeurs</w:t>
      </w:r>
      <w:r>
        <w:rPr>
          <w:szCs w:val="24"/>
          <w:lang w:val="fr-CA"/>
        </w:rPr>
        <w:t> :</w:t>
      </w:r>
    </w:p>
    <w:p w:rsidR="00466E7D" w:rsidRPr="00954404" w:rsidRDefault="00466E7D" w:rsidP="00E9060A">
      <w:pPr>
        <w:pStyle w:val="Citation-AltC"/>
        <w:spacing w:after="240"/>
        <w:ind w:left="1890" w:hanging="360"/>
        <w:contextualSpacing w:val="0"/>
        <w:rPr>
          <w:szCs w:val="24"/>
          <w:lang w:val="fr-CA"/>
        </w:rPr>
      </w:pPr>
      <w:r w:rsidRPr="00954404">
        <w:rPr>
          <w:szCs w:val="24"/>
          <w:lang w:val="fr-CA"/>
        </w:rPr>
        <w:t>a)</w:t>
      </w:r>
      <w:r w:rsidRPr="00954404">
        <w:rPr>
          <w:szCs w:val="24"/>
          <w:lang w:val="fr-CA"/>
        </w:rPr>
        <w:tab/>
        <w:t>il n</w:t>
      </w:r>
      <w:r>
        <w:rPr>
          <w:szCs w:val="24"/>
          <w:lang w:val="fr-CA"/>
        </w:rPr>
        <w:t>’</w:t>
      </w:r>
      <w:r w:rsidRPr="00954404">
        <w:rPr>
          <w:szCs w:val="24"/>
          <w:lang w:val="fr-CA"/>
        </w:rPr>
        <w:t>existait aucun lien raisonnable entre les frais d</w:t>
      </w:r>
      <w:r>
        <w:rPr>
          <w:szCs w:val="24"/>
          <w:lang w:val="fr-CA"/>
        </w:rPr>
        <w:t>’</w:t>
      </w:r>
      <w:r w:rsidRPr="00954404">
        <w:rPr>
          <w:szCs w:val="24"/>
          <w:lang w:val="fr-CA"/>
        </w:rPr>
        <w:t>hébergement et le coût de l</w:t>
      </w:r>
      <w:r>
        <w:rPr>
          <w:szCs w:val="24"/>
          <w:lang w:val="fr-CA"/>
        </w:rPr>
        <w:t>’</w:t>
      </w:r>
      <w:r w:rsidRPr="00954404">
        <w:rPr>
          <w:szCs w:val="24"/>
          <w:lang w:val="fr-CA"/>
        </w:rPr>
        <w:t>hébergement et des repas;</w:t>
      </w:r>
    </w:p>
    <w:p w:rsidR="00466E7D" w:rsidRPr="00954404" w:rsidRDefault="00466E7D" w:rsidP="00E9060A">
      <w:pPr>
        <w:pStyle w:val="Citation-AltC"/>
        <w:spacing w:after="240"/>
        <w:ind w:left="1890" w:hanging="360"/>
        <w:contextualSpacing w:val="0"/>
        <w:rPr>
          <w:szCs w:val="24"/>
          <w:lang w:val="fr-CA"/>
        </w:rPr>
      </w:pPr>
      <w:r w:rsidRPr="00954404">
        <w:rPr>
          <w:szCs w:val="24"/>
          <w:lang w:val="fr-CA"/>
        </w:rPr>
        <w:t>b)</w:t>
      </w:r>
      <w:r w:rsidRPr="00954404">
        <w:rPr>
          <w:szCs w:val="24"/>
          <w:lang w:val="fr-CA"/>
        </w:rPr>
        <w:tab/>
        <w:t>les membres du groupe ont payé des frais d</w:t>
      </w:r>
      <w:r>
        <w:rPr>
          <w:szCs w:val="24"/>
          <w:lang w:val="fr-CA"/>
        </w:rPr>
        <w:t>’</w:t>
      </w:r>
      <w:r w:rsidRPr="00954404">
        <w:rPr>
          <w:szCs w:val="24"/>
          <w:lang w:val="fr-CA"/>
        </w:rPr>
        <w:t xml:space="preserve">hébergement contraires à la </w:t>
      </w:r>
      <w:r w:rsidRPr="00954404">
        <w:rPr>
          <w:i/>
          <w:szCs w:val="24"/>
          <w:lang w:val="fr-CA"/>
        </w:rPr>
        <w:t xml:space="preserve">Hospitals Act </w:t>
      </w:r>
      <w:r w:rsidRPr="00954404">
        <w:rPr>
          <w:szCs w:val="24"/>
          <w:lang w:val="fr-CA"/>
        </w:rPr>
        <w:t xml:space="preserve">et à la </w:t>
      </w:r>
      <w:r w:rsidRPr="00954404">
        <w:rPr>
          <w:i/>
          <w:szCs w:val="24"/>
          <w:lang w:val="fr-CA"/>
        </w:rPr>
        <w:t>Nursing Homes Act</w:t>
      </w:r>
      <w:r w:rsidRPr="00954404">
        <w:rPr>
          <w:szCs w:val="24"/>
          <w:lang w:val="fr-CA"/>
        </w:rPr>
        <w:t>;</w:t>
      </w:r>
    </w:p>
    <w:p w:rsidR="00466E7D" w:rsidRPr="00954404" w:rsidRDefault="00466E7D" w:rsidP="00E9060A">
      <w:pPr>
        <w:pStyle w:val="Citation-AltC"/>
        <w:spacing w:after="240"/>
        <w:ind w:left="1890" w:hanging="360"/>
        <w:contextualSpacing w:val="0"/>
        <w:rPr>
          <w:szCs w:val="24"/>
          <w:lang w:val="fr-CA"/>
        </w:rPr>
      </w:pPr>
      <w:r w:rsidRPr="00954404">
        <w:rPr>
          <w:szCs w:val="24"/>
          <w:lang w:val="fr-CA"/>
        </w:rPr>
        <w:t>c)</w:t>
      </w:r>
      <w:r w:rsidRPr="00954404">
        <w:rPr>
          <w:szCs w:val="24"/>
          <w:lang w:val="fr-CA"/>
        </w:rPr>
        <w:tab/>
        <w:t>le droit des membres du groupe aux services de soins de santé et aux avantages en matière de santé financés par l</w:t>
      </w:r>
      <w:r>
        <w:rPr>
          <w:szCs w:val="24"/>
          <w:lang w:val="fr-CA"/>
        </w:rPr>
        <w:t>’</w:t>
      </w:r>
      <w:r w:rsidRPr="00954404">
        <w:rPr>
          <w:szCs w:val="24"/>
          <w:lang w:val="fr-CA"/>
        </w:rPr>
        <w:t>État a été enfreint;</w:t>
      </w:r>
    </w:p>
    <w:p w:rsidR="00466E7D" w:rsidRPr="00954404" w:rsidRDefault="00466E7D" w:rsidP="00E9060A">
      <w:pPr>
        <w:pStyle w:val="Citation-AltC"/>
        <w:spacing w:after="240"/>
        <w:ind w:left="1890" w:hanging="360"/>
        <w:contextualSpacing w:val="0"/>
        <w:rPr>
          <w:szCs w:val="24"/>
          <w:lang w:val="fr-CA"/>
        </w:rPr>
      </w:pPr>
      <w:r w:rsidRPr="00954404">
        <w:rPr>
          <w:szCs w:val="24"/>
          <w:lang w:val="fr-CA"/>
        </w:rPr>
        <w:t>d)</w:t>
      </w:r>
      <w:r w:rsidRPr="00954404">
        <w:rPr>
          <w:szCs w:val="24"/>
          <w:lang w:val="fr-CA"/>
        </w:rPr>
        <w:tab/>
        <w:t>sous le couvert des frais d</w:t>
      </w:r>
      <w:r>
        <w:rPr>
          <w:szCs w:val="24"/>
          <w:lang w:val="fr-CA"/>
        </w:rPr>
        <w:t>’</w:t>
      </w:r>
      <w:r w:rsidRPr="00954404">
        <w:rPr>
          <w:szCs w:val="24"/>
          <w:lang w:val="fr-CA"/>
        </w:rPr>
        <w:t>hébergement, les membres du groupe ont payé des frais d</w:t>
      </w:r>
      <w:r>
        <w:rPr>
          <w:szCs w:val="24"/>
          <w:lang w:val="fr-CA"/>
        </w:rPr>
        <w:t>’</w:t>
      </w:r>
      <w:r w:rsidRPr="00954404">
        <w:rPr>
          <w:szCs w:val="24"/>
          <w:lang w:val="fr-CA"/>
        </w:rPr>
        <w:t>hébergement comprenant le coût des services de soin de santé et des avantages en matière de santé qu</w:t>
      </w:r>
      <w:r>
        <w:rPr>
          <w:szCs w:val="24"/>
          <w:lang w:val="fr-CA"/>
        </w:rPr>
        <w:t>’</w:t>
      </w:r>
      <w:r w:rsidRPr="00954404">
        <w:rPr>
          <w:szCs w:val="24"/>
          <w:lang w:val="fr-CA"/>
        </w:rPr>
        <w:t>ils avaient le droit de recevoir gratuitement, comme l</w:t>
      </w:r>
      <w:r>
        <w:rPr>
          <w:szCs w:val="24"/>
          <w:lang w:val="fr-CA"/>
        </w:rPr>
        <w:t>’</w:t>
      </w:r>
      <w:r w:rsidRPr="00954404">
        <w:rPr>
          <w:szCs w:val="24"/>
          <w:lang w:val="fr-CA"/>
        </w:rPr>
        <w:t>indique l</w:t>
      </w:r>
      <w:r>
        <w:rPr>
          <w:szCs w:val="24"/>
          <w:lang w:val="fr-CA"/>
        </w:rPr>
        <w:t>’</w:t>
      </w:r>
      <w:r w:rsidRPr="00954404">
        <w:rPr>
          <w:szCs w:val="24"/>
          <w:lang w:val="fr-CA"/>
        </w:rPr>
        <w:t>alinéa 41i) ci</w:t>
      </w:r>
      <w:r>
        <w:rPr>
          <w:szCs w:val="24"/>
          <w:lang w:val="fr-CA"/>
        </w:rPr>
        <w:noBreakHyphen/>
      </w:r>
      <w:r w:rsidRPr="00954404">
        <w:rPr>
          <w:szCs w:val="24"/>
          <w:lang w:val="fr-CA"/>
        </w:rPr>
        <w:t>dessus.</w:t>
      </w:r>
    </w:p>
    <w:p w:rsidR="00466E7D" w:rsidRPr="00954404" w:rsidRDefault="00466E7D" w:rsidP="00E9060A">
      <w:pPr>
        <w:pStyle w:val="Citation-AltC"/>
        <w:spacing w:after="240"/>
        <w:ind w:left="1170" w:hanging="1170"/>
        <w:contextualSpacing w:val="0"/>
        <w:rPr>
          <w:szCs w:val="24"/>
          <w:lang w:val="fr-CA"/>
        </w:rPr>
      </w:pPr>
      <w:r w:rsidRPr="00954404">
        <w:rPr>
          <w:szCs w:val="24"/>
          <w:lang w:val="fr-CA"/>
        </w:rPr>
        <w:tab/>
        <w:t>52.  </w:t>
      </w:r>
      <w:r w:rsidRPr="00954404">
        <w:rPr>
          <w:szCs w:val="24"/>
          <w:u w:val="single"/>
          <w:lang w:val="fr-CA"/>
        </w:rPr>
        <w:t>En raison de la négligence et de la mauvaise foi des défendeurs</w:t>
      </w:r>
      <w:r w:rsidRPr="00954404">
        <w:rPr>
          <w:szCs w:val="24"/>
          <w:lang w:val="fr-CA"/>
        </w:rPr>
        <w:t>, les membres du groupe ont subi des dommages et des pertes.  [Je souligne.]</w:t>
      </w:r>
    </w:p>
    <w:p w:rsidR="00466E7D" w:rsidRPr="00954404" w:rsidRDefault="00466E7D" w:rsidP="00466E7D">
      <w:pPr>
        <w:pStyle w:val="ParaNoNdepar-AltN"/>
        <w:rPr>
          <w:rFonts w:cs="Times New Roman"/>
          <w:szCs w:val="24"/>
          <w:lang w:val="fr-CA"/>
        </w:rPr>
      </w:pPr>
      <w:r w:rsidRPr="00954404">
        <w:rPr>
          <w:rFonts w:cs="Times New Roman"/>
          <w:szCs w:val="24"/>
          <w:lang w:val="fr-CA"/>
        </w:rPr>
        <w:t>Le droit ne reconnaît pas la possibilité d</w:t>
      </w:r>
      <w:r>
        <w:rPr>
          <w:rFonts w:cs="Times New Roman"/>
          <w:szCs w:val="24"/>
          <w:lang w:val="fr-CA"/>
        </w:rPr>
        <w:t>’</w:t>
      </w:r>
      <w:r w:rsidRPr="00954404">
        <w:rPr>
          <w:rFonts w:cs="Times New Roman"/>
          <w:szCs w:val="24"/>
          <w:lang w:val="fr-CA"/>
        </w:rPr>
        <w:t>intenter une action indépendante pour mauvaise foi.  Comme la juge saisie de la demande d</w:t>
      </w:r>
      <w:r>
        <w:rPr>
          <w:rFonts w:cs="Times New Roman"/>
          <w:szCs w:val="24"/>
          <w:lang w:val="fr-CA"/>
        </w:rPr>
        <w:t>’</w:t>
      </w:r>
      <w:r w:rsidRPr="00954404">
        <w:rPr>
          <w:rFonts w:cs="Times New Roman"/>
          <w:szCs w:val="24"/>
          <w:lang w:val="fr-CA"/>
        </w:rPr>
        <w:t>autorisation du recours collectif l</w:t>
      </w:r>
      <w:r>
        <w:rPr>
          <w:rFonts w:cs="Times New Roman"/>
          <w:szCs w:val="24"/>
          <w:lang w:val="fr-CA"/>
        </w:rPr>
        <w:t>’</w:t>
      </w:r>
      <w:r w:rsidRPr="00954404">
        <w:rPr>
          <w:rFonts w:cs="Times New Roman"/>
          <w:szCs w:val="24"/>
          <w:lang w:val="fr-CA"/>
        </w:rPr>
        <w:t xml:space="preserve">a indiqué au </w:t>
      </w:r>
      <w:r>
        <w:rPr>
          <w:rFonts w:cs="Times New Roman"/>
          <w:szCs w:val="24"/>
          <w:lang w:val="fr-CA"/>
        </w:rPr>
        <w:t>par. </w:t>
      </w:r>
      <w:r w:rsidRPr="00954404">
        <w:rPr>
          <w:rFonts w:cs="Times New Roman"/>
          <w:szCs w:val="24"/>
          <w:lang w:val="fr-CA"/>
        </w:rPr>
        <w:t>408, lorsqu</w:t>
      </w:r>
      <w:r>
        <w:rPr>
          <w:rFonts w:cs="Times New Roman"/>
          <w:szCs w:val="24"/>
          <w:lang w:val="fr-CA"/>
        </w:rPr>
        <w:t>’</w:t>
      </w:r>
      <w:r w:rsidRPr="00954404">
        <w:rPr>
          <w:rFonts w:cs="Times New Roman"/>
          <w:szCs w:val="24"/>
          <w:lang w:val="fr-CA"/>
        </w:rPr>
        <w:t>une autorité gouvernementale fait preuve de mauvaise foi dans l</w:t>
      </w:r>
      <w:r>
        <w:rPr>
          <w:rFonts w:cs="Times New Roman"/>
          <w:szCs w:val="24"/>
          <w:lang w:val="fr-CA"/>
        </w:rPr>
        <w:t>’</w:t>
      </w:r>
      <w:r w:rsidRPr="00954404">
        <w:rPr>
          <w:rFonts w:cs="Times New Roman"/>
          <w:szCs w:val="24"/>
          <w:lang w:val="fr-CA"/>
        </w:rPr>
        <w:t xml:space="preserve">exercice de son pouvoir discrétionnaire, cet exercice peut, à juste </w:t>
      </w:r>
      <w:r w:rsidRPr="00954404">
        <w:rPr>
          <w:rFonts w:cs="Times New Roman"/>
          <w:szCs w:val="24"/>
          <w:lang w:val="fr-CA"/>
        </w:rPr>
        <w:lastRenderedPageBreak/>
        <w:t>titre, faire l</w:t>
      </w:r>
      <w:r>
        <w:rPr>
          <w:rFonts w:cs="Times New Roman"/>
          <w:szCs w:val="24"/>
          <w:lang w:val="fr-CA"/>
        </w:rPr>
        <w:t>’</w:t>
      </w:r>
      <w:r w:rsidRPr="00954404">
        <w:rPr>
          <w:rFonts w:cs="Times New Roman"/>
          <w:szCs w:val="24"/>
          <w:lang w:val="fr-CA"/>
        </w:rPr>
        <w:t>objet d</w:t>
      </w:r>
      <w:r>
        <w:rPr>
          <w:rFonts w:cs="Times New Roman"/>
          <w:szCs w:val="24"/>
          <w:lang w:val="fr-CA"/>
        </w:rPr>
        <w:t>’</w:t>
      </w:r>
      <w:r w:rsidRPr="00954404">
        <w:rPr>
          <w:rFonts w:cs="Times New Roman"/>
          <w:szCs w:val="24"/>
          <w:lang w:val="fr-CA"/>
        </w:rPr>
        <w:t>un contrôle judiciaire</w:t>
      </w:r>
      <w:r w:rsidRPr="00954404">
        <w:rPr>
          <w:rStyle w:val="ssl2"/>
          <w:rFonts w:cs="Times New Roman"/>
          <w:szCs w:val="24"/>
          <w:lang w:val="fr-CA"/>
        </w:rPr>
        <w:t>.  En matière de responsabilité délictuelle, cet exercice constitue une faute dans l</w:t>
      </w:r>
      <w:r>
        <w:rPr>
          <w:rStyle w:val="ssl2"/>
          <w:rFonts w:cs="Times New Roman"/>
          <w:szCs w:val="24"/>
          <w:lang w:val="fr-CA"/>
        </w:rPr>
        <w:t>’</w:t>
      </w:r>
      <w:r w:rsidRPr="00954404">
        <w:rPr>
          <w:rStyle w:val="ssl2"/>
          <w:rFonts w:cs="Times New Roman"/>
          <w:szCs w:val="24"/>
          <w:lang w:val="fr-CA"/>
        </w:rPr>
        <w:t>exercice d</w:t>
      </w:r>
      <w:r>
        <w:rPr>
          <w:rStyle w:val="ssl2"/>
          <w:rFonts w:cs="Times New Roman"/>
          <w:szCs w:val="24"/>
          <w:lang w:val="fr-CA"/>
        </w:rPr>
        <w:t>’</w:t>
      </w:r>
      <w:r w:rsidRPr="00954404">
        <w:rPr>
          <w:rStyle w:val="ssl2"/>
          <w:rFonts w:cs="Times New Roman"/>
          <w:szCs w:val="24"/>
          <w:lang w:val="fr-CA"/>
        </w:rPr>
        <w:t>une charge publique et, en droit du travail, il est pertinent aux circonstances du congédiement.  Le simple fait d</w:t>
      </w:r>
      <w:r>
        <w:rPr>
          <w:rStyle w:val="ssl2"/>
          <w:rFonts w:cs="Times New Roman"/>
          <w:szCs w:val="24"/>
          <w:lang w:val="fr-CA"/>
        </w:rPr>
        <w:t>’</w:t>
      </w:r>
      <w:r w:rsidRPr="00954404">
        <w:rPr>
          <w:rStyle w:val="ssl2"/>
          <w:rFonts w:cs="Times New Roman"/>
          <w:szCs w:val="24"/>
          <w:lang w:val="fr-CA"/>
        </w:rPr>
        <w:t>avoir agi de mauvaise foi ne donne pas lui</w:t>
      </w:r>
      <w:r>
        <w:rPr>
          <w:rStyle w:val="ssl2"/>
          <w:rFonts w:cs="Times New Roman"/>
          <w:szCs w:val="24"/>
          <w:lang w:val="fr-CA"/>
        </w:rPr>
        <w:noBreakHyphen/>
      </w:r>
      <w:r w:rsidRPr="00954404">
        <w:rPr>
          <w:rStyle w:val="ssl2"/>
          <w:rFonts w:cs="Times New Roman"/>
          <w:szCs w:val="24"/>
          <w:lang w:val="fr-CA"/>
        </w:rPr>
        <w:t>même ouverture à un droit d</w:t>
      </w:r>
      <w:r>
        <w:rPr>
          <w:rStyle w:val="ssl2"/>
          <w:rFonts w:cs="Times New Roman"/>
          <w:szCs w:val="24"/>
          <w:lang w:val="fr-CA"/>
        </w:rPr>
        <w:t>’</w:t>
      </w:r>
      <w:r w:rsidRPr="00954404">
        <w:rPr>
          <w:rStyle w:val="ssl2"/>
          <w:rFonts w:cs="Times New Roman"/>
          <w:szCs w:val="24"/>
          <w:lang w:val="fr-CA"/>
        </w:rPr>
        <w:t>action.</w:t>
      </w:r>
    </w:p>
    <w:p w:rsidR="00466E7D" w:rsidRPr="00954404" w:rsidRDefault="00466E7D" w:rsidP="00466E7D">
      <w:pPr>
        <w:pStyle w:val="ParaNoNdepar-AltN"/>
        <w:rPr>
          <w:rFonts w:cs="Times New Roman"/>
          <w:szCs w:val="24"/>
          <w:lang w:val="fr-CA"/>
        </w:rPr>
      </w:pPr>
      <w:r w:rsidRPr="00954404">
        <w:rPr>
          <w:rFonts w:cs="Times New Roman"/>
          <w:szCs w:val="24"/>
          <w:lang w:val="fr-CA"/>
        </w:rPr>
        <w:t>À l</w:t>
      </w:r>
      <w:r>
        <w:rPr>
          <w:rFonts w:cs="Times New Roman"/>
          <w:szCs w:val="24"/>
          <w:lang w:val="fr-CA"/>
        </w:rPr>
        <w:t>’</w:t>
      </w:r>
      <w:r w:rsidRPr="00954404">
        <w:rPr>
          <w:rFonts w:cs="Times New Roman"/>
          <w:szCs w:val="24"/>
          <w:lang w:val="fr-CA"/>
        </w:rPr>
        <w:t>audience, l</w:t>
      </w:r>
      <w:r>
        <w:rPr>
          <w:rFonts w:cs="Times New Roman"/>
          <w:szCs w:val="24"/>
          <w:lang w:val="fr-CA"/>
        </w:rPr>
        <w:t>’</w:t>
      </w:r>
      <w:r w:rsidRPr="00954404">
        <w:rPr>
          <w:rFonts w:cs="Times New Roman"/>
          <w:szCs w:val="24"/>
          <w:lang w:val="fr-CA"/>
        </w:rPr>
        <w:t>avocat des demandeurs a cherché à plaider que nous devrions interpréter l</w:t>
      </w:r>
      <w:r>
        <w:rPr>
          <w:rFonts w:cs="Times New Roman"/>
          <w:szCs w:val="24"/>
          <w:lang w:val="fr-CA"/>
        </w:rPr>
        <w:t>’</w:t>
      </w:r>
      <w:r w:rsidRPr="00954404">
        <w:rPr>
          <w:rFonts w:cs="Times New Roman"/>
          <w:szCs w:val="24"/>
          <w:lang w:val="fr-CA"/>
        </w:rPr>
        <w:t>allégation de mauvaise foi comme révélant l</w:t>
      </w:r>
      <w:r>
        <w:rPr>
          <w:rFonts w:cs="Times New Roman"/>
          <w:szCs w:val="24"/>
          <w:lang w:val="fr-CA"/>
        </w:rPr>
        <w:t>’</w:t>
      </w:r>
      <w:r w:rsidRPr="00954404">
        <w:rPr>
          <w:rFonts w:cs="Times New Roman"/>
          <w:szCs w:val="24"/>
          <w:lang w:val="fr-CA"/>
        </w:rPr>
        <w:t>existence du délit de faute dans l</w:t>
      </w:r>
      <w:r>
        <w:rPr>
          <w:rFonts w:cs="Times New Roman"/>
          <w:szCs w:val="24"/>
          <w:lang w:val="fr-CA"/>
        </w:rPr>
        <w:t>’</w:t>
      </w:r>
      <w:r w:rsidRPr="00954404">
        <w:rPr>
          <w:rFonts w:cs="Times New Roman"/>
          <w:szCs w:val="24"/>
          <w:lang w:val="fr-CA"/>
        </w:rPr>
        <w:t>exercice d</w:t>
      </w:r>
      <w:r>
        <w:rPr>
          <w:rFonts w:cs="Times New Roman"/>
          <w:szCs w:val="24"/>
          <w:lang w:val="fr-CA"/>
        </w:rPr>
        <w:t>’</w:t>
      </w:r>
      <w:r w:rsidRPr="00954404">
        <w:rPr>
          <w:rFonts w:cs="Times New Roman"/>
          <w:szCs w:val="24"/>
          <w:lang w:val="fr-CA"/>
        </w:rPr>
        <w:t>une charge publique</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Succession Odhavji c. Woodhouse</w:t>
      </w:r>
      <w:r w:rsidRPr="00954404">
        <w:rPr>
          <w:rFonts w:cs="Times New Roman"/>
          <w:szCs w:val="24"/>
          <w:lang w:val="fr-CA"/>
        </w:rPr>
        <w:t>, 2003 CSC 69, [2003] 3 R.C.S. 263.  Malgré la difficulté que comporte le fait d</w:t>
      </w:r>
      <w:r>
        <w:rPr>
          <w:rFonts w:cs="Times New Roman"/>
          <w:szCs w:val="24"/>
          <w:lang w:val="fr-CA"/>
        </w:rPr>
        <w:t>’</w:t>
      </w:r>
      <w:r w:rsidRPr="00954404">
        <w:rPr>
          <w:rFonts w:cs="Times New Roman"/>
          <w:szCs w:val="24"/>
          <w:lang w:val="fr-CA"/>
        </w:rPr>
        <w:t>avoir soulevé cette interprétation des allégations pour la première fois en réponse durant l</w:t>
      </w:r>
      <w:r>
        <w:rPr>
          <w:rFonts w:cs="Times New Roman"/>
          <w:szCs w:val="24"/>
          <w:lang w:val="fr-CA"/>
        </w:rPr>
        <w:t>’</w:t>
      </w:r>
      <w:r w:rsidRPr="00954404">
        <w:rPr>
          <w:rFonts w:cs="Times New Roman"/>
          <w:szCs w:val="24"/>
          <w:lang w:val="fr-CA"/>
        </w:rPr>
        <w:t>audition, je ne vois pas comment cette demande peut être accueillie en droit</w:t>
      </w:r>
      <w:r>
        <w:rPr>
          <w:rFonts w:cs="Times New Roman"/>
          <w:szCs w:val="24"/>
          <w:lang w:val="fr-CA"/>
        </w:rPr>
        <w:t> :</w:t>
      </w:r>
      <w:r w:rsidRPr="00954404">
        <w:rPr>
          <w:rFonts w:cs="Times New Roman"/>
          <w:szCs w:val="24"/>
          <w:lang w:val="fr-CA"/>
        </w:rPr>
        <w:t xml:space="preserve"> les faits nécessaires pour étayer une telle allégation ne peuvent se dégager des allégations de négligence et d</w:t>
      </w:r>
      <w:r>
        <w:rPr>
          <w:rFonts w:cs="Times New Roman"/>
          <w:szCs w:val="24"/>
          <w:lang w:val="fr-CA"/>
        </w:rPr>
        <w:t>’</w:t>
      </w:r>
      <w:r w:rsidRPr="00954404">
        <w:rPr>
          <w:rFonts w:cs="Times New Roman"/>
          <w:szCs w:val="24"/>
          <w:lang w:val="fr-CA"/>
        </w:rPr>
        <w:t>obligation fiduciaire, et le tribunal n</w:t>
      </w:r>
      <w:r>
        <w:rPr>
          <w:rFonts w:cs="Times New Roman"/>
          <w:szCs w:val="24"/>
          <w:lang w:val="fr-CA"/>
        </w:rPr>
        <w:t>’</w:t>
      </w:r>
      <w:r w:rsidRPr="00954404">
        <w:rPr>
          <w:rFonts w:cs="Times New Roman"/>
          <w:szCs w:val="24"/>
          <w:lang w:val="fr-CA"/>
        </w:rPr>
        <w:t>est pas obligé de deviner des causes d</w:t>
      </w:r>
      <w:r>
        <w:rPr>
          <w:rFonts w:cs="Times New Roman"/>
          <w:szCs w:val="24"/>
          <w:lang w:val="fr-CA"/>
        </w:rPr>
        <w:t>’</w:t>
      </w:r>
      <w:r w:rsidRPr="00954404">
        <w:rPr>
          <w:rFonts w:cs="Times New Roman"/>
          <w:szCs w:val="24"/>
          <w:lang w:val="fr-CA"/>
        </w:rPr>
        <w:t>action autres que celles délibérément invoquées et plaidées par une partie.  La faute dans l</w:t>
      </w:r>
      <w:r>
        <w:rPr>
          <w:rFonts w:cs="Times New Roman"/>
          <w:szCs w:val="24"/>
          <w:lang w:val="fr-CA"/>
        </w:rPr>
        <w:t>’</w:t>
      </w:r>
      <w:r w:rsidRPr="00954404">
        <w:rPr>
          <w:rFonts w:cs="Times New Roman"/>
          <w:szCs w:val="24"/>
          <w:lang w:val="fr-CA"/>
        </w:rPr>
        <w:t>exercice d</w:t>
      </w:r>
      <w:r>
        <w:rPr>
          <w:rFonts w:cs="Times New Roman"/>
          <w:szCs w:val="24"/>
          <w:lang w:val="fr-CA"/>
        </w:rPr>
        <w:t>’</w:t>
      </w:r>
      <w:r w:rsidRPr="00954404">
        <w:rPr>
          <w:rFonts w:cs="Times New Roman"/>
          <w:szCs w:val="24"/>
          <w:lang w:val="fr-CA"/>
        </w:rPr>
        <w:t>une charge publique n</w:t>
      </w:r>
      <w:r>
        <w:rPr>
          <w:rFonts w:cs="Times New Roman"/>
          <w:szCs w:val="24"/>
          <w:lang w:val="fr-CA"/>
        </w:rPr>
        <w:t>’</w:t>
      </w:r>
      <w:r w:rsidRPr="00954404">
        <w:rPr>
          <w:rFonts w:cs="Times New Roman"/>
          <w:szCs w:val="24"/>
          <w:lang w:val="fr-CA"/>
        </w:rPr>
        <w:t>a pas été soulevée devant les tribunaux inférieurs, et je n</w:t>
      </w:r>
      <w:r>
        <w:rPr>
          <w:rFonts w:cs="Times New Roman"/>
          <w:szCs w:val="24"/>
          <w:lang w:val="fr-CA"/>
        </w:rPr>
        <w:t>’</w:t>
      </w:r>
      <w:r w:rsidRPr="00954404">
        <w:rPr>
          <w:rFonts w:cs="Times New Roman"/>
          <w:szCs w:val="24"/>
          <w:lang w:val="fr-CA"/>
        </w:rPr>
        <w:t>accepterais pas d</w:t>
      </w:r>
      <w:r>
        <w:rPr>
          <w:rFonts w:cs="Times New Roman"/>
          <w:szCs w:val="24"/>
          <w:lang w:val="fr-CA"/>
        </w:rPr>
        <w:t>’</w:t>
      </w:r>
      <w:r w:rsidRPr="00954404">
        <w:rPr>
          <w:rFonts w:cs="Times New Roman"/>
          <w:szCs w:val="24"/>
          <w:lang w:val="fr-CA"/>
        </w:rPr>
        <w:t>examiner une telle prétention aujourd</w:t>
      </w:r>
      <w:r>
        <w:rPr>
          <w:rFonts w:cs="Times New Roman"/>
          <w:szCs w:val="24"/>
          <w:lang w:val="fr-CA"/>
        </w:rPr>
        <w:t>’</w:t>
      </w:r>
      <w:r w:rsidRPr="00954404">
        <w:rPr>
          <w:rFonts w:cs="Times New Roman"/>
          <w:szCs w:val="24"/>
          <w:lang w:val="fr-CA"/>
        </w:rPr>
        <w:t>hui.</w:t>
      </w:r>
    </w:p>
    <w:p w:rsidR="00466E7D" w:rsidRPr="00954404" w:rsidRDefault="00466E7D" w:rsidP="00466E7D">
      <w:pPr>
        <w:pStyle w:val="ParaNoNdepar-AltN"/>
        <w:rPr>
          <w:rFonts w:cs="Times New Roman"/>
          <w:szCs w:val="24"/>
          <w:lang w:val="fr-CA"/>
        </w:rPr>
      </w:pPr>
      <w:r w:rsidRPr="00954404">
        <w:rPr>
          <w:rFonts w:cs="Times New Roman"/>
          <w:szCs w:val="24"/>
          <w:lang w:val="fr-CA"/>
        </w:rPr>
        <w:t>Pour ces motifs, l</w:t>
      </w:r>
      <w:r>
        <w:rPr>
          <w:rFonts w:cs="Times New Roman"/>
          <w:szCs w:val="24"/>
          <w:lang w:val="fr-CA"/>
        </w:rPr>
        <w:t>’</w:t>
      </w:r>
      <w:r w:rsidRPr="00954404">
        <w:rPr>
          <w:rFonts w:cs="Times New Roman"/>
          <w:szCs w:val="24"/>
          <w:lang w:val="fr-CA"/>
        </w:rPr>
        <w:t>allégation de mauvaise foi devrait être radiée.</w:t>
      </w:r>
    </w:p>
    <w:p w:rsidR="00466E7D" w:rsidRPr="00954404" w:rsidRDefault="00466E7D" w:rsidP="00466E7D">
      <w:pPr>
        <w:pStyle w:val="TitleTitre-AltT"/>
        <w:keepNext/>
        <w:spacing w:after="720"/>
        <w:rPr>
          <w:rFonts w:cs="Times New Roman"/>
          <w:szCs w:val="24"/>
          <w:lang w:val="fr-CA"/>
        </w:rPr>
      </w:pPr>
      <w:r w:rsidRPr="00954404">
        <w:rPr>
          <w:rFonts w:cs="Times New Roman"/>
          <w:szCs w:val="24"/>
          <w:lang w:val="fr-CA"/>
        </w:rPr>
        <w:lastRenderedPageBreak/>
        <w:t>D.</w:t>
      </w:r>
      <w:r w:rsidRPr="00954404">
        <w:rPr>
          <w:rFonts w:cs="Times New Roman"/>
          <w:szCs w:val="24"/>
          <w:lang w:val="fr-CA"/>
        </w:rPr>
        <w:tab/>
      </w:r>
      <w:r w:rsidRPr="00954404">
        <w:rPr>
          <w:rFonts w:cs="Times New Roman"/>
          <w:i/>
          <w:szCs w:val="24"/>
          <w:lang w:val="fr-CA"/>
        </w:rPr>
        <w:t>L</w:t>
      </w:r>
      <w:r>
        <w:rPr>
          <w:rFonts w:cs="Times New Roman"/>
          <w:i/>
          <w:szCs w:val="24"/>
          <w:lang w:val="fr-CA"/>
        </w:rPr>
        <w:t>’</w:t>
      </w:r>
      <w:r w:rsidRPr="00954404">
        <w:rPr>
          <w:rFonts w:cs="Times New Roman"/>
          <w:i/>
          <w:szCs w:val="24"/>
          <w:lang w:val="fr-CA"/>
        </w:rPr>
        <w:t>allégation d</w:t>
      </w:r>
      <w:r>
        <w:rPr>
          <w:rFonts w:cs="Times New Roman"/>
          <w:i/>
          <w:szCs w:val="24"/>
          <w:lang w:val="fr-CA"/>
        </w:rPr>
        <w:t>’</w:t>
      </w:r>
      <w:r w:rsidRPr="00954404">
        <w:rPr>
          <w:rFonts w:cs="Times New Roman"/>
          <w:i/>
          <w:szCs w:val="24"/>
          <w:lang w:val="fr-CA"/>
        </w:rPr>
        <w:t>enrichissement injustifié</w:t>
      </w:r>
    </w:p>
    <w:p w:rsidR="00466E7D" w:rsidRPr="00954404" w:rsidRDefault="00466E7D" w:rsidP="00466E7D">
      <w:pPr>
        <w:pStyle w:val="ParaNoNdepar-AltN"/>
        <w:rPr>
          <w:rFonts w:cs="Times New Roman"/>
          <w:szCs w:val="24"/>
          <w:lang w:val="fr-CA"/>
        </w:rPr>
      </w:pPr>
      <w:r w:rsidRPr="00954404">
        <w:rPr>
          <w:rFonts w:cs="Times New Roman"/>
          <w:szCs w:val="24"/>
          <w:lang w:val="fr-CA"/>
        </w:rPr>
        <w:t>Les représentants des demandeurs ont présenté une demande de restitution.  Essentiellement, ils allèguent qu</w:t>
      </w:r>
      <w:r>
        <w:rPr>
          <w:rFonts w:cs="Times New Roman"/>
          <w:szCs w:val="24"/>
          <w:lang w:val="fr-CA"/>
        </w:rPr>
        <w:t>’</w:t>
      </w:r>
      <w:r w:rsidRPr="00954404">
        <w:rPr>
          <w:rFonts w:cs="Times New Roman"/>
          <w:szCs w:val="24"/>
          <w:lang w:val="fr-CA"/>
        </w:rPr>
        <w:t>en les facturant en trop pour l</w:t>
      </w:r>
      <w:r>
        <w:rPr>
          <w:rFonts w:cs="Times New Roman"/>
          <w:szCs w:val="24"/>
          <w:lang w:val="fr-CA"/>
        </w:rPr>
        <w:t>’</w:t>
      </w:r>
      <w:r w:rsidRPr="00954404">
        <w:rPr>
          <w:rFonts w:cs="Times New Roman"/>
          <w:szCs w:val="24"/>
          <w:lang w:val="fr-CA"/>
        </w:rPr>
        <w:t>hébergement et les repas, le gouvernement s</w:t>
      </w:r>
      <w:r>
        <w:rPr>
          <w:rFonts w:cs="Times New Roman"/>
          <w:szCs w:val="24"/>
          <w:lang w:val="fr-CA"/>
        </w:rPr>
        <w:t>’</w:t>
      </w:r>
      <w:r w:rsidRPr="00954404">
        <w:rPr>
          <w:rFonts w:cs="Times New Roman"/>
          <w:szCs w:val="24"/>
          <w:lang w:val="fr-CA"/>
        </w:rPr>
        <w:t>est servi de leur argent pour compenser partiellement ses obligations en vertu du régime de la santé, ce qu</w:t>
      </w:r>
      <w:r>
        <w:rPr>
          <w:rFonts w:cs="Times New Roman"/>
          <w:szCs w:val="24"/>
          <w:lang w:val="fr-CA"/>
        </w:rPr>
        <w:t>’</w:t>
      </w:r>
      <w:r w:rsidRPr="00954404">
        <w:rPr>
          <w:rFonts w:cs="Times New Roman"/>
          <w:szCs w:val="24"/>
          <w:lang w:val="fr-CA"/>
        </w:rPr>
        <w:t>il n</w:t>
      </w:r>
      <w:r>
        <w:rPr>
          <w:rFonts w:cs="Times New Roman"/>
          <w:szCs w:val="24"/>
          <w:lang w:val="fr-CA"/>
        </w:rPr>
        <w:t>’</w:t>
      </w:r>
      <w:r w:rsidRPr="00954404">
        <w:rPr>
          <w:rFonts w:cs="Times New Roman"/>
          <w:szCs w:val="24"/>
          <w:lang w:val="fr-CA"/>
        </w:rPr>
        <w:t>avait pas le droit de faire.  Ils ont affirmé que le gouvernement s</w:t>
      </w:r>
      <w:r>
        <w:rPr>
          <w:rFonts w:cs="Times New Roman"/>
          <w:szCs w:val="24"/>
          <w:lang w:val="fr-CA"/>
        </w:rPr>
        <w:t>’</w:t>
      </w:r>
      <w:r w:rsidRPr="00954404">
        <w:rPr>
          <w:rFonts w:cs="Times New Roman"/>
          <w:szCs w:val="24"/>
          <w:lang w:val="fr-CA"/>
        </w:rPr>
        <w:t>était donc injustement enrichi et qu</w:t>
      </w:r>
      <w:r>
        <w:rPr>
          <w:rFonts w:cs="Times New Roman"/>
          <w:szCs w:val="24"/>
          <w:lang w:val="fr-CA"/>
        </w:rPr>
        <w:t>’</w:t>
      </w:r>
      <w:r w:rsidRPr="00954404">
        <w:rPr>
          <w:rFonts w:cs="Times New Roman"/>
          <w:szCs w:val="24"/>
          <w:lang w:val="fr-CA"/>
        </w:rPr>
        <w:t>on devrait lui ordonner de rembourser le surplus d</w:t>
      </w:r>
      <w:r>
        <w:rPr>
          <w:rFonts w:cs="Times New Roman"/>
          <w:szCs w:val="24"/>
          <w:lang w:val="fr-CA"/>
        </w:rPr>
        <w:t>’</w:t>
      </w:r>
      <w:r w:rsidRPr="00954404">
        <w:rPr>
          <w:rFonts w:cs="Times New Roman"/>
          <w:szCs w:val="24"/>
          <w:lang w:val="fr-CA"/>
        </w:rPr>
        <w:t>argent ainsi obtenu.  Voici ce qu</w:t>
      </w:r>
      <w:r>
        <w:rPr>
          <w:rFonts w:cs="Times New Roman"/>
          <w:szCs w:val="24"/>
          <w:lang w:val="fr-CA"/>
        </w:rPr>
        <w:t>’</w:t>
      </w:r>
      <w:r w:rsidRPr="00954404">
        <w:rPr>
          <w:rFonts w:cs="Times New Roman"/>
          <w:szCs w:val="24"/>
          <w:lang w:val="fr-CA"/>
        </w:rPr>
        <w:t>ils ont invoqué à l</w:t>
      </w:r>
      <w:r>
        <w:rPr>
          <w:rFonts w:cs="Times New Roman"/>
          <w:szCs w:val="24"/>
          <w:lang w:val="fr-CA"/>
        </w:rPr>
        <w:t>’</w:t>
      </w:r>
      <w:r w:rsidRPr="00954404">
        <w:rPr>
          <w:rFonts w:cs="Times New Roman"/>
          <w:szCs w:val="24"/>
          <w:lang w:val="fr-CA"/>
        </w:rPr>
        <w:t>égard de l</w:t>
      </w:r>
      <w:r>
        <w:rPr>
          <w:rFonts w:cs="Times New Roman"/>
          <w:szCs w:val="24"/>
          <w:lang w:val="fr-CA"/>
        </w:rPr>
        <w:t>’</w:t>
      </w:r>
      <w:r w:rsidRPr="00954404">
        <w:rPr>
          <w:rFonts w:cs="Times New Roman"/>
          <w:szCs w:val="24"/>
          <w:lang w:val="fr-CA"/>
        </w:rPr>
        <w:t>enrichissement injustifié</w:t>
      </w:r>
      <w:r>
        <w:rPr>
          <w:rFonts w:cs="Times New Roman"/>
          <w:szCs w:val="24"/>
          <w:lang w:val="fr-CA"/>
        </w:rPr>
        <w:t> :</w:t>
      </w:r>
    </w:p>
    <w:p w:rsidR="00466E7D" w:rsidRDefault="00466E7D" w:rsidP="00466E7D">
      <w:pPr>
        <w:pStyle w:val="Citation-AltC"/>
        <w:spacing w:after="0"/>
        <w:ind w:hanging="1166"/>
        <w:contextualSpacing w:val="0"/>
        <w:rPr>
          <w:szCs w:val="24"/>
          <w:lang w:val="fr-CA"/>
        </w:rPr>
      </w:pPr>
      <w:r w:rsidRPr="00954404">
        <w:rPr>
          <w:szCs w:val="24"/>
          <w:lang w:val="fr-CA"/>
        </w:rPr>
        <w:tab/>
        <w:t>[</w:t>
      </w:r>
      <w:r w:rsidRPr="00954404">
        <w:rPr>
          <w:smallCaps/>
          <w:szCs w:val="24"/>
          <w:lang w:val="fr-CA"/>
        </w:rPr>
        <w:t>traduction</w:t>
      </w:r>
      <w:r w:rsidRPr="00954404">
        <w:rPr>
          <w:szCs w:val="24"/>
          <w:lang w:val="fr-CA"/>
        </w:rPr>
        <w:t>]</w:t>
      </w:r>
    </w:p>
    <w:p w:rsidR="00E9060A" w:rsidRPr="00954404" w:rsidRDefault="00E9060A" w:rsidP="00466E7D">
      <w:pPr>
        <w:pStyle w:val="Citation-AltC"/>
        <w:spacing w:after="0"/>
        <w:ind w:hanging="1166"/>
        <w:contextualSpacing w:val="0"/>
        <w:rPr>
          <w:szCs w:val="24"/>
          <w:lang w:val="fr-CA"/>
        </w:rPr>
      </w:pPr>
    </w:p>
    <w:p w:rsidR="00466E7D" w:rsidRPr="00954404" w:rsidRDefault="00466E7D" w:rsidP="00466E7D">
      <w:pPr>
        <w:pStyle w:val="Citation-AltC"/>
        <w:spacing w:after="240"/>
        <w:ind w:left="1530" w:hanging="360"/>
        <w:contextualSpacing w:val="0"/>
        <w:rPr>
          <w:b/>
          <w:szCs w:val="24"/>
          <w:lang w:val="fr-CA"/>
        </w:rPr>
      </w:pPr>
      <w:r w:rsidRPr="00954404">
        <w:rPr>
          <w:b/>
          <w:szCs w:val="24"/>
          <w:lang w:val="fr-CA"/>
        </w:rPr>
        <w:t>Restitution</w:t>
      </w:r>
    </w:p>
    <w:p w:rsidR="00466E7D" w:rsidRPr="00CB5A1B" w:rsidRDefault="00466E7D" w:rsidP="00466E7D">
      <w:pPr>
        <w:pStyle w:val="Citation-AltC"/>
        <w:spacing w:after="240"/>
        <w:ind w:left="1530" w:hanging="360"/>
        <w:contextualSpacing w:val="0"/>
        <w:jc w:val="center"/>
        <w:rPr>
          <w:szCs w:val="24"/>
          <w:lang w:val="fr-CA"/>
        </w:rPr>
      </w:pPr>
      <w:r w:rsidRPr="00CB5A1B">
        <w:rPr>
          <w:szCs w:val="24"/>
          <w:lang w:val="fr-CA"/>
        </w:rPr>
        <w:t>. . .</w:t>
      </w:r>
    </w:p>
    <w:p w:rsidR="00466E7D" w:rsidRPr="00954404" w:rsidRDefault="00466E7D" w:rsidP="00466E7D">
      <w:pPr>
        <w:pStyle w:val="Citation-AltC"/>
        <w:spacing w:after="240"/>
        <w:ind w:hanging="1166"/>
        <w:contextualSpacing w:val="0"/>
        <w:rPr>
          <w:szCs w:val="24"/>
          <w:lang w:val="fr-CA"/>
        </w:rPr>
      </w:pPr>
      <w:r w:rsidRPr="00954404">
        <w:rPr>
          <w:szCs w:val="24"/>
          <w:lang w:val="fr-CA"/>
        </w:rPr>
        <w:tab/>
        <w:t xml:space="preserve">54.  Les membres du groupe, à de rares exceptions près, ont payé le montant maximal permis par le </w:t>
      </w:r>
      <w:r>
        <w:rPr>
          <w:szCs w:val="24"/>
          <w:lang w:val="fr-CA"/>
        </w:rPr>
        <w:t>par. </w:t>
      </w:r>
      <w:r w:rsidRPr="00954404">
        <w:rPr>
          <w:szCs w:val="24"/>
          <w:lang w:val="fr-CA"/>
        </w:rPr>
        <w:t xml:space="preserve">3(1) du </w:t>
      </w:r>
      <w:r w:rsidRPr="00954404">
        <w:rPr>
          <w:i/>
          <w:szCs w:val="24"/>
          <w:lang w:val="fr-CA"/>
        </w:rPr>
        <w:t>Nursing Homes Operation Regulation</w:t>
      </w:r>
      <w:r w:rsidRPr="00954404">
        <w:rPr>
          <w:szCs w:val="24"/>
          <w:lang w:val="fr-CA"/>
        </w:rPr>
        <w:t xml:space="preserve">, A.R. 258/85 et ses modifications, </w:t>
      </w:r>
      <w:r w:rsidRPr="00954404">
        <w:rPr>
          <w:szCs w:val="24"/>
          <w:u w:val="single"/>
          <w:lang w:val="fr-CA"/>
        </w:rPr>
        <w:t>de sorte que les membres du groupe ont subi un appauvrissement égal au montant des frais d</w:t>
      </w:r>
      <w:r>
        <w:rPr>
          <w:szCs w:val="24"/>
          <w:u w:val="single"/>
          <w:lang w:val="fr-CA"/>
        </w:rPr>
        <w:t>’</w:t>
      </w:r>
      <w:r w:rsidRPr="00954404">
        <w:rPr>
          <w:szCs w:val="24"/>
          <w:u w:val="single"/>
          <w:lang w:val="fr-CA"/>
        </w:rPr>
        <w:t>hébergement</w:t>
      </w:r>
      <w:r w:rsidRPr="00954404">
        <w:rPr>
          <w:szCs w:val="24"/>
          <w:lang w:val="fr-CA"/>
        </w:rPr>
        <w:t>.</w:t>
      </w:r>
    </w:p>
    <w:p w:rsidR="00466E7D" w:rsidRPr="00954404" w:rsidRDefault="00466E7D" w:rsidP="00466E7D">
      <w:pPr>
        <w:pStyle w:val="Citation-AltC"/>
        <w:spacing w:after="240"/>
        <w:ind w:hanging="1166"/>
        <w:contextualSpacing w:val="0"/>
        <w:rPr>
          <w:szCs w:val="24"/>
          <w:lang w:val="fr-CA"/>
        </w:rPr>
      </w:pPr>
      <w:r w:rsidRPr="00954404">
        <w:rPr>
          <w:szCs w:val="24"/>
          <w:lang w:val="fr-CA"/>
        </w:rPr>
        <w:tab/>
        <w:t>55.  </w:t>
      </w:r>
      <w:r w:rsidRPr="00954404">
        <w:rPr>
          <w:szCs w:val="24"/>
          <w:u w:val="single"/>
          <w:lang w:val="fr-CA"/>
        </w:rPr>
        <w:t>Le paiement des frais d</w:t>
      </w:r>
      <w:r>
        <w:rPr>
          <w:szCs w:val="24"/>
          <w:u w:val="single"/>
          <w:lang w:val="fr-CA"/>
        </w:rPr>
        <w:t>’</w:t>
      </w:r>
      <w:r w:rsidRPr="00954404">
        <w:rPr>
          <w:szCs w:val="24"/>
          <w:u w:val="single"/>
          <w:lang w:val="fr-CA"/>
        </w:rPr>
        <w:t>hébergement constituait un avantage correspondant pour les défendeurs en ce que les paiements leur ont permis de ne pas payer les dépenses qu</w:t>
      </w:r>
      <w:r>
        <w:rPr>
          <w:szCs w:val="24"/>
          <w:u w:val="single"/>
          <w:lang w:val="fr-CA"/>
        </w:rPr>
        <w:t>’</w:t>
      </w:r>
      <w:r w:rsidRPr="00954404">
        <w:rPr>
          <w:szCs w:val="24"/>
          <w:u w:val="single"/>
          <w:lang w:val="fr-CA"/>
        </w:rPr>
        <w:t xml:space="preserve">ils devaient inévitablement payer conformément à la </w:t>
      </w:r>
      <w:r w:rsidRPr="00954404">
        <w:rPr>
          <w:i/>
          <w:szCs w:val="24"/>
          <w:u w:val="single"/>
          <w:lang w:val="fr-CA"/>
        </w:rPr>
        <w:t>Hospitals Act</w:t>
      </w:r>
      <w:r w:rsidRPr="00954404">
        <w:rPr>
          <w:szCs w:val="24"/>
          <w:u w:val="single"/>
          <w:lang w:val="fr-CA"/>
        </w:rPr>
        <w:t xml:space="preserve">, à la </w:t>
      </w:r>
      <w:r w:rsidRPr="00954404">
        <w:rPr>
          <w:i/>
          <w:szCs w:val="24"/>
          <w:u w:val="single"/>
          <w:lang w:val="fr-CA"/>
        </w:rPr>
        <w:t>Nursing Homes Act</w:t>
      </w:r>
      <w:r w:rsidRPr="00954404">
        <w:rPr>
          <w:szCs w:val="24"/>
          <w:u w:val="single"/>
          <w:lang w:val="fr-CA"/>
        </w:rPr>
        <w:t xml:space="preserve"> et à la </w:t>
      </w:r>
      <w:r w:rsidRPr="00954404">
        <w:rPr>
          <w:i/>
          <w:szCs w:val="24"/>
          <w:u w:val="single"/>
          <w:lang w:val="fr-CA"/>
        </w:rPr>
        <w:t>Ministerial Directive D</w:t>
      </w:r>
      <w:r>
        <w:rPr>
          <w:i/>
          <w:szCs w:val="24"/>
          <w:u w:val="single"/>
          <w:lang w:val="fr-CA"/>
        </w:rPr>
        <w:noBreakHyphen/>
      </w:r>
      <w:r w:rsidRPr="00954404">
        <w:rPr>
          <w:i/>
          <w:szCs w:val="24"/>
          <w:u w:val="single"/>
          <w:lang w:val="fr-CA"/>
        </w:rPr>
        <w:t>317</w:t>
      </w:r>
      <w:r w:rsidRPr="00E9060A">
        <w:rPr>
          <w:szCs w:val="24"/>
          <w:u w:val="single"/>
          <w:lang w:val="fr-CA"/>
        </w:rPr>
        <w:t>.</w:t>
      </w:r>
    </w:p>
    <w:p w:rsidR="00466E7D" w:rsidRPr="00954404" w:rsidRDefault="00466E7D" w:rsidP="00466E7D">
      <w:pPr>
        <w:pStyle w:val="Citation-AltC"/>
        <w:spacing w:after="240"/>
        <w:ind w:hanging="1166"/>
        <w:contextualSpacing w:val="0"/>
        <w:rPr>
          <w:szCs w:val="24"/>
          <w:lang w:val="fr-CA"/>
        </w:rPr>
      </w:pPr>
      <w:r w:rsidRPr="00954404">
        <w:rPr>
          <w:szCs w:val="24"/>
          <w:lang w:val="fr-CA"/>
        </w:rPr>
        <w:tab/>
        <w:t>56.  </w:t>
      </w:r>
      <w:r w:rsidRPr="00954404">
        <w:rPr>
          <w:szCs w:val="24"/>
          <w:u w:val="single"/>
          <w:lang w:val="fr-CA"/>
        </w:rPr>
        <w:t>Aucun motif juridique ne justifie l</w:t>
      </w:r>
      <w:r>
        <w:rPr>
          <w:szCs w:val="24"/>
          <w:u w:val="single"/>
          <w:lang w:val="fr-CA"/>
        </w:rPr>
        <w:t>’</w:t>
      </w:r>
      <w:r w:rsidRPr="00954404">
        <w:rPr>
          <w:szCs w:val="24"/>
          <w:u w:val="single"/>
          <w:lang w:val="fr-CA"/>
        </w:rPr>
        <w:t>appauvrissement des membres du groupe et l</w:t>
      </w:r>
      <w:r>
        <w:rPr>
          <w:szCs w:val="24"/>
          <w:u w:val="single"/>
          <w:lang w:val="fr-CA"/>
        </w:rPr>
        <w:t>’</w:t>
      </w:r>
      <w:r w:rsidRPr="00954404">
        <w:rPr>
          <w:szCs w:val="24"/>
          <w:u w:val="single"/>
          <w:lang w:val="fr-CA"/>
        </w:rPr>
        <w:t>avantage correspondant qu</w:t>
      </w:r>
      <w:r>
        <w:rPr>
          <w:szCs w:val="24"/>
          <w:u w:val="single"/>
          <w:lang w:val="fr-CA"/>
        </w:rPr>
        <w:t>’</w:t>
      </w:r>
      <w:r w:rsidRPr="00954404">
        <w:rPr>
          <w:szCs w:val="24"/>
          <w:u w:val="single"/>
          <w:lang w:val="fr-CA"/>
        </w:rPr>
        <w:t>ont tiré les défendeurs</w:t>
      </w:r>
      <w:r w:rsidRPr="00954404">
        <w:rPr>
          <w:szCs w:val="24"/>
          <w:lang w:val="fr-CA"/>
        </w:rPr>
        <w:t>, et ce, pour les raisons suivantes</w:t>
      </w:r>
      <w:r>
        <w:rPr>
          <w:szCs w:val="24"/>
          <w:lang w:val="fr-CA"/>
        </w:rPr>
        <w:t> :</w:t>
      </w:r>
    </w:p>
    <w:p w:rsidR="00466E7D" w:rsidRPr="00954404" w:rsidRDefault="00E9060A" w:rsidP="00E9060A">
      <w:pPr>
        <w:pStyle w:val="Citation-AltC"/>
        <w:spacing w:after="240"/>
        <w:ind w:left="1890" w:hanging="360"/>
        <w:contextualSpacing w:val="0"/>
        <w:rPr>
          <w:szCs w:val="24"/>
          <w:lang w:val="fr-CA"/>
        </w:rPr>
      </w:pPr>
      <w:r>
        <w:rPr>
          <w:szCs w:val="24"/>
          <w:lang w:val="fr-CA"/>
        </w:rPr>
        <w:t>a)</w:t>
      </w:r>
      <w:r>
        <w:rPr>
          <w:szCs w:val="24"/>
          <w:lang w:val="fr-CA"/>
        </w:rPr>
        <w:tab/>
        <w:t>L</w:t>
      </w:r>
      <w:r w:rsidR="00466E7D" w:rsidRPr="00954404">
        <w:rPr>
          <w:szCs w:val="24"/>
          <w:lang w:val="fr-CA"/>
        </w:rPr>
        <w:t xml:space="preserve">e paragraphe 19(2) de la </w:t>
      </w:r>
      <w:r w:rsidR="00466E7D" w:rsidRPr="00954404">
        <w:rPr>
          <w:i/>
          <w:szCs w:val="24"/>
          <w:lang w:val="fr-CA"/>
        </w:rPr>
        <w:t>Loi canadienne sur la santé</w:t>
      </w:r>
      <w:r w:rsidR="00466E7D" w:rsidRPr="00954404">
        <w:rPr>
          <w:szCs w:val="24"/>
          <w:lang w:val="fr-CA"/>
        </w:rPr>
        <w:t xml:space="preserve">, L.R. 1985, </w:t>
      </w:r>
      <w:r w:rsidR="00466E7D">
        <w:rPr>
          <w:szCs w:val="24"/>
          <w:lang w:val="fr-CA"/>
        </w:rPr>
        <w:t>ch. </w:t>
      </w:r>
      <w:r w:rsidR="00466E7D" w:rsidRPr="00954404">
        <w:rPr>
          <w:szCs w:val="24"/>
          <w:lang w:val="fr-CA"/>
        </w:rPr>
        <w:t>C</w:t>
      </w:r>
      <w:r w:rsidR="00466E7D">
        <w:rPr>
          <w:szCs w:val="24"/>
          <w:lang w:val="fr-CA"/>
        </w:rPr>
        <w:noBreakHyphen/>
      </w:r>
      <w:r w:rsidR="00466E7D" w:rsidRPr="00954404">
        <w:rPr>
          <w:szCs w:val="24"/>
          <w:lang w:val="fr-CA"/>
        </w:rPr>
        <w:t xml:space="preserve">6, le </w:t>
      </w:r>
      <w:r w:rsidR="00466E7D">
        <w:rPr>
          <w:szCs w:val="24"/>
          <w:lang w:val="fr-CA"/>
        </w:rPr>
        <w:t>par. </w:t>
      </w:r>
      <w:r w:rsidR="00466E7D" w:rsidRPr="00954404">
        <w:rPr>
          <w:szCs w:val="24"/>
          <w:lang w:val="fr-CA"/>
        </w:rPr>
        <w:t xml:space="preserve">3(1) du </w:t>
      </w:r>
      <w:r w:rsidR="00466E7D" w:rsidRPr="00954404">
        <w:rPr>
          <w:i/>
          <w:szCs w:val="24"/>
          <w:lang w:val="fr-CA"/>
        </w:rPr>
        <w:t>Nursing Homes Operation Regulation</w:t>
      </w:r>
      <w:r w:rsidR="00466E7D" w:rsidRPr="00954404">
        <w:rPr>
          <w:szCs w:val="24"/>
          <w:lang w:val="fr-CA"/>
        </w:rPr>
        <w:t xml:space="preserve">, le </w:t>
      </w:r>
      <w:r w:rsidR="00466E7D">
        <w:rPr>
          <w:szCs w:val="24"/>
          <w:lang w:val="fr-CA"/>
        </w:rPr>
        <w:t>par. </w:t>
      </w:r>
      <w:r w:rsidR="00466E7D" w:rsidRPr="00954404">
        <w:rPr>
          <w:szCs w:val="24"/>
          <w:lang w:val="fr-CA"/>
        </w:rPr>
        <w:t xml:space="preserve">8(2) de la </w:t>
      </w:r>
      <w:r w:rsidR="00466E7D" w:rsidRPr="00954404">
        <w:rPr>
          <w:i/>
          <w:szCs w:val="24"/>
          <w:lang w:val="fr-CA"/>
        </w:rPr>
        <w:t>Nursing Homes Act</w:t>
      </w:r>
      <w:r w:rsidR="00466E7D" w:rsidRPr="00954404">
        <w:rPr>
          <w:szCs w:val="24"/>
          <w:lang w:val="fr-CA"/>
        </w:rPr>
        <w:t>, l</w:t>
      </w:r>
      <w:r w:rsidR="00466E7D">
        <w:rPr>
          <w:szCs w:val="24"/>
          <w:lang w:val="fr-CA"/>
        </w:rPr>
        <w:t>’al. </w:t>
      </w:r>
      <w:r w:rsidR="00466E7D" w:rsidRPr="00954404">
        <w:rPr>
          <w:szCs w:val="24"/>
          <w:lang w:val="fr-CA"/>
        </w:rPr>
        <w:t>5(1)</w:t>
      </w:r>
      <w:r w:rsidR="00466E7D" w:rsidRPr="00E148A7">
        <w:rPr>
          <w:szCs w:val="24"/>
          <w:lang w:val="fr-CA"/>
        </w:rPr>
        <w:t>d</w:t>
      </w:r>
      <w:r w:rsidR="00466E7D" w:rsidRPr="00954404">
        <w:rPr>
          <w:szCs w:val="24"/>
          <w:lang w:val="fr-CA"/>
        </w:rPr>
        <w:t xml:space="preserve">) et le </w:t>
      </w:r>
      <w:r w:rsidR="00466E7D">
        <w:rPr>
          <w:szCs w:val="24"/>
          <w:lang w:val="fr-CA"/>
        </w:rPr>
        <w:t>par. </w:t>
      </w:r>
      <w:r w:rsidR="00466E7D" w:rsidRPr="00954404">
        <w:rPr>
          <w:szCs w:val="24"/>
          <w:lang w:val="fr-CA"/>
        </w:rPr>
        <w:t xml:space="preserve">5(8) du </w:t>
      </w:r>
      <w:r w:rsidR="00466E7D" w:rsidRPr="00954404">
        <w:rPr>
          <w:i/>
          <w:szCs w:val="24"/>
          <w:lang w:val="fr-CA"/>
        </w:rPr>
        <w:t>Hospitalization Benefits Regulation</w:t>
      </w:r>
      <w:r w:rsidR="00466E7D" w:rsidRPr="00954404">
        <w:rPr>
          <w:szCs w:val="24"/>
          <w:lang w:val="fr-CA"/>
        </w:rPr>
        <w:t xml:space="preserve">, et les lettres, sont inopérants </w:t>
      </w:r>
      <w:r w:rsidR="00466E7D" w:rsidRPr="00954404">
        <w:rPr>
          <w:szCs w:val="24"/>
          <w:lang w:val="fr-CA"/>
        </w:rPr>
        <w:lastRenderedPageBreak/>
        <w:t>en ce qu</w:t>
      </w:r>
      <w:r w:rsidR="00466E7D">
        <w:rPr>
          <w:szCs w:val="24"/>
          <w:lang w:val="fr-CA"/>
        </w:rPr>
        <w:t>’</w:t>
      </w:r>
      <w:r w:rsidR="00466E7D" w:rsidRPr="00954404">
        <w:rPr>
          <w:szCs w:val="24"/>
          <w:lang w:val="fr-CA"/>
        </w:rPr>
        <w:t>ils contreviennent à l</w:t>
      </w:r>
      <w:r w:rsidR="00466E7D">
        <w:rPr>
          <w:szCs w:val="24"/>
          <w:lang w:val="fr-CA"/>
        </w:rPr>
        <w:t>’art. </w:t>
      </w:r>
      <w:r w:rsidR="00466E7D" w:rsidRPr="00954404">
        <w:rPr>
          <w:szCs w:val="24"/>
          <w:lang w:val="fr-CA"/>
        </w:rPr>
        <w:t xml:space="preserve">15 de la </w:t>
      </w:r>
      <w:r w:rsidR="00466E7D" w:rsidRPr="00954404">
        <w:rPr>
          <w:i/>
          <w:szCs w:val="24"/>
          <w:lang w:val="fr-CA"/>
        </w:rPr>
        <w:t>Charte canadienne des droits et libertés</w:t>
      </w:r>
      <w:r w:rsidR="00466E7D" w:rsidRPr="00954404">
        <w:rPr>
          <w:szCs w:val="24"/>
          <w:lang w:val="fr-CA"/>
        </w:rPr>
        <w:t xml:space="preserve"> (la </w:t>
      </w:r>
      <w:r w:rsidR="00E9389A">
        <w:rPr>
          <w:szCs w:val="24"/>
          <w:lang w:val="fr-CA"/>
        </w:rPr>
        <w:t>« </w:t>
      </w:r>
      <w:r w:rsidR="00466E7D" w:rsidRPr="00954404">
        <w:rPr>
          <w:i/>
          <w:szCs w:val="24"/>
          <w:lang w:val="fr-CA"/>
        </w:rPr>
        <w:t>Charte</w:t>
      </w:r>
      <w:r w:rsidR="00E9389A">
        <w:rPr>
          <w:i/>
          <w:szCs w:val="24"/>
          <w:lang w:val="fr-CA"/>
        </w:rPr>
        <w:t> </w:t>
      </w:r>
      <w:r w:rsidR="00E9389A" w:rsidRPr="00E9389A">
        <w:rPr>
          <w:szCs w:val="24"/>
          <w:lang w:val="fr-CA"/>
        </w:rPr>
        <w:t>»</w:t>
      </w:r>
      <w:r w:rsidR="00466E7D" w:rsidRPr="00954404">
        <w:rPr>
          <w:szCs w:val="24"/>
          <w:lang w:val="fr-CA"/>
        </w:rPr>
        <w:t>), puisqu</w:t>
      </w:r>
      <w:r w:rsidR="00466E7D">
        <w:rPr>
          <w:szCs w:val="24"/>
          <w:lang w:val="fr-CA"/>
        </w:rPr>
        <w:t>’</w:t>
      </w:r>
      <w:r w:rsidR="00466E7D" w:rsidRPr="00954404">
        <w:rPr>
          <w:szCs w:val="24"/>
          <w:lang w:val="fr-CA"/>
        </w:rPr>
        <w:t>ils permettent l</w:t>
      </w:r>
      <w:r w:rsidR="00466E7D">
        <w:rPr>
          <w:szCs w:val="24"/>
          <w:lang w:val="fr-CA"/>
        </w:rPr>
        <w:t>’</w:t>
      </w:r>
      <w:r w:rsidR="00466E7D" w:rsidRPr="00954404">
        <w:rPr>
          <w:szCs w:val="24"/>
          <w:lang w:val="fr-CA"/>
        </w:rPr>
        <w:t>imposition aux membres du groupe de frais d</w:t>
      </w:r>
      <w:r w:rsidR="00466E7D">
        <w:rPr>
          <w:szCs w:val="24"/>
          <w:lang w:val="fr-CA"/>
        </w:rPr>
        <w:t>’</w:t>
      </w:r>
      <w:r w:rsidR="00466E7D" w:rsidRPr="00954404">
        <w:rPr>
          <w:szCs w:val="24"/>
          <w:lang w:val="fr-CA"/>
        </w:rPr>
        <w:t>hébergement qui ne peuvent pas être imposés à d</w:t>
      </w:r>
      <w:r w:rsidR="00466E7D">
        <w:rPr>
          <w:szCs w:val="24"/>
          <w:lang w:val="fr-CA"/>
        </w:rPr>
        <w:t>’</w:t>
      </w:r>
      <w:r w:rsidR="00466E7D" w:rsidRPr="00954404">
        <w:rPr>
          <w:szCs w:val="24"/>
          <w:lang w:val="fr-CA"/>
        </w:rPr>
        <w:t>autres patients uniquement sur le fondement de l</w:t>
      </w:r>
      <w:r w:rsidR="00466E7D">
        <w:rPr>
          <w:szCs w:val="24"/>
          <w:lang w:val="fr-CA"/>
        </w:rPr>
        <w:t>’</w:t>
      </w:r>
      <w:r w:rsidR="00466E7D" w:rsidRPr="00954404">
        <w:rPr>
          <w:szCs w:val="24"/>
          <w:lang w:val="fr-CA"/>
        </w:rPr>
        <w:t>âge ou des incapacités mentales ou physiques des membres du groupe, qui ne sont pas justifiables au regard de l</w:t>
      </w:r>
      <w:r w:rsidR="00466E7D">
        <w:rPr>
          <w:szCs w:val="24"/>
          <w:lang w:val="fr-CA"/>
        </w:rPr>
        <w:t>’</w:t>
      </w:r>
      <w:r w:rsidR="00466E7D" w:rsidRPr="00954404">
        <w:rPr>
          <w:szCs w:val="24"/>
          <w:lang w:val="fr-CA"/>
        </w:rPr>
        <w:t xml:space="preserve">article premier de la </w:t>
      </w:r>
      <w:r w:rsidR="00466E7D" w:rsidRPr="00954404">
        <w:rPr>
          <w:i/>
          <w:szCs w:val="24"/>
          <w:lang w:val="fr-CA"/>
        </w:rPr>
        <w:t>Charte</w:t>
      </w:r>
      <w:r w:rsidR="00466E7D" w:rsidRPr="00954404">
        <w:rPr>
          <w:szCs w:val="24"/>
          <w:lang w:val="fr-CA"/>
        </w:rPr>
        <w:t xml:space="preserve"> et qui sont inopérants par application de l</w:t>
      </w:r>
      <w:r w:rsidR="00466E7D">
        <w:rPr>
          <w:szCs w:val="24"/>
          <w:lang w:val="fr-CA"/>
        </w:rPr>
        <w:t>’art. </w:t>
      </w:r>
      <w:r w:rsidR="00466E7D" w:rsidRPr="00954404">
        <w:rPr>
          <w:szCs w:val="24"/>
          <w:lang w:val="fr-CA"/>
        </w:rPr>
        <w:t xml:space="preserve">52 de la </w:t>
      </w:r>
      <w:r w:rsidR="00466E7D" w:rsidRPr="00954404">
        <w:rPr>
          <w:i/>
          <w:szCs w:val="24"/>
          <w:lang w:val="fr-CA"/>
        </w:rPr>
        <w:t>Loi constitutionnelle de 1982</w:t>
      </w:r>
      <w:r w:rsidR="00466E7D" w:rsidRPr="00954404">
        <w:rPr>
          <w:szCs w:val="24"/>
          <w:lang w:val="fr-CA"/>
        </w:rPr>
        <w:t>;</w:t>
      </w:r>
    </w:p>
    <w:p w:rsidR="00466E7D" w:rsidRPr="00954404" w:rsidRDefault="00466E7D" w:rsidP="00E9060A">
      <w:pPr>
        <w:pStyle w:val="Citation-AltC"/>
        <w:spacing w:after="240"/>
        <w:ind w:left="1890" w:hanging="360"/>
        <w:contextualSpacing w:val="0"/>
        <w:rPr>
          <w:szCs w:val="24"/>
          <w:lang w:val="fr-CA"/>
        </w:rPr>
      </w:pPr>
      <w:r w:rsidRPr="00954404">
        <w:rPr>
          <w:szCs w:val="24"/>
          <w:lang w:val="fr-CA"/>
        </w:rPr>
        <w:t>b)</w:t>
      </w:r>
      <w:r w:rsidRPr="00954404">
        <w:rPr>
          <w:szCs w:val="24"/>
          <w:lang w:val="fr-CA"/>
        </w:rPr>
        <w:tab/>
        <w:t xml:space="preserve">Le paragraphe 3(1) du </w:t>
      </w:r>
      <w:r w:rsidRPr="00954404">
        <w:rPr>
          <w:i/>
          <w:szCs w:val="24"/>
          <w:lang w:val="fr-CA"/>
        </w:rPr>
        <w:t>Nursing Homes Operation Regulation</w:t>
      </w:r>
      <w:r w:rsidRPr="00954404">
        <w:rPr>
          <w:szCs w:val="24"/>
          <w:lang w:val="fr-CA"/>
        </w:rPr>
        <w:t>, l</w:t>
      </w:r>
      <w:r>
        <w:rPr>
          <w:szCs w:val="24"/>
          <w:lang w:val="fr-CA"/>
        </w:rPr>
        <w:t>’al. </w:t>
      </w:r>
      <w:r w:rsidRPr="00954404">
        <w:rPr>
          <w:szCs w:val="24"/>
          <w:lang w:val="fr-CA"/>
        </w:rPr>
        <w:t>5(1)</w:t>
      </w:r>
      <w:r w:rsidRPr="00E148A7">
        <w:rPr>
          <w:szCs w:val="24"/>
          <w:lang w:val="fr-CA"/>
        </w:rPr>
        <w:t>d</w:t>
      </w:r>
      <w:r w:rsidRPr="00954404">
        <w:rPr>
          <w:szCs w:val="24"/>
          <w:lang w:val="fr-CA"/>
        </w:rPr>
        <w:t xml:space="preserve">) et le </w:t>
      </w:r>
      <w:r>
        <w:rPr>
          <w:szCs w:val="24"/>
          <w:lang w:val="fr-CA"/>
        </w:rPr>
        <w:t>par. </w:t>
      </w:r>
      <w:r w:rsidRPr="00954404">
        <w:rPr>
          <w:szCs w:val="24"/>
          <w:lang w:val="fr-CA"/>
        </w:rPr>
        <w:t xml:space="preserve">5(8) du </w:t>
      </w:r>
      <w:r w:rsidRPr="00954404">
        <w:rPr>
          <w:i/>
          <w:szCs w:val="24"/>
          <w:lang w:val="fr-CA"/>
        </w:rPr>
        <w:t>Hospitalization Benefits Regulation</w:t>
      </w:r>
      <w:r w:rsidRPr="00954404">
        <w:rPr>
          <w:szCs w:val="24"/>
          <w:lang w:val="fr-CA"/>
        </w:rPr>
        <w:t xml:space="preserve">, et les lettres, sont </w:t>
      </w:r>
      <w:r w:rsidRPr="00954404">
        <w:rPr>
          <w:i/>
          <w:szCs w:val="24"/>
          <w:lang w:val="fr-CA"/>
        </w:rPr>
        <w:t>ultra vires</w:t>
      </w:r>
      <w:r w:rsidRPr="00954404">
        <w:rPr>
          <w:szCs w:val="24"/>
          <w:lang w:val="fr-CA"/>
        </w:rPr>
        <w:t xml:space="preserve"> et inopérants en ce qu</w:t>
      </w:r>
      <w:r>
        <w:rPr>
          <w:szCs w:val="24"/>
          <w:lang w:val="fr-CA"/>
        </w:rPr>
        <w:t>’</w:t>
      </w:r>
      <w:r w:rsidRPr="00954404">
        <w:rPr>
          <w:szCs w:val="24"/>
          <w:lang w:val="fr-CA"/>
        </w:rPr>
        <w:t xml:space="preserve">ils sont contraires à la </w:t>
      </w:r>
      <w:r w:rsidRPr="00954404">
        <w:rPr>
          <w:i/>
          <w:szCs w:val="24"/>
          <w:lang w:val="fr-CA"/>
        </w:rPr>
        <w:t>Nursing Homes Act</w:t>
      </w:r>
      <w:r w:rsidRPr="00954404">
        <w:rPr>
          <w:szCs w:val="24"/>
          <w:lang w:val="fr-CA"/>
        </w:rPr>
        <w:t xml:space="preserve"> et à la </w:t>
      </w:r>
      <w:r w:rsidRPr="00954404">
        <w:rPr>
          <w:i/>
          <w:szCs w:val="24"/>
          <w:lang w:val="fr-CA"/>
        </w:rPr>
        <w:t>Hospitals Act</w:t>
      </w:r>
      <w:r w:rsidRPr="00954404">
        <w:rPr>
          <w:szCs w:val="24"/>
          <w:lang w:val="fr-CA"/>
        </w:rPr>
        <w:t>, ils visent à autoriser l</w:t>
      </w:r>
      <w:r>
        <w:rPr>
          <w:szCs w:val="24"/>
          <w:lang w:val="fr-CA"/>
        </w:rPr>
        <w:t>’</w:t>
      </w:r>
      <w:r w:rsidRPr="00954404">
        <w:rPr>
          <w:szCs w:val="24"/>
          <w:lang w:val="fr-CA"/>
        </w:rPr>
        <w:t>imposition aux membres du groupe de frais pour des produits et services autres que l</w:t>
      </w:r>
      <w:r>
        <w:rPr>
          <w:szCs w:val="24"/>
          <w:lang w:val="fr-CA"/>
        </w:rPr>
        <w:t>’</w:t>
      </w:r>
      <w:r w:rsidRPr="00954404">
        <w:rPr>
          <w:szCs w:val="24"/>
          <w:lang w:val="fr-CA"/>
        </w:rPr>
        <w:t>hébergement et les repas, y compris notamment [liste des produits et services omise], qui relèvent tous des défendeurs;</w:t>
      </w:r>
    </w:p>
    <w:p w:rsidR="00466E7D" w:rsidRPr="00954404" w:rsidRDefault="00466E7D" w:rsidP="00E9060A">
      <w:pPr>
        <w:pStyle w:val="Citation-AltC"/>
        <w:spacing w:after="240"/>
        <w:ind w:left="1890" w:hanging="360"/>
        <w:contextualSpacing w:val="0"/>
        <w:rPr>
          <w:szCs w:val="24"/>
          <w:lang w:val="fr-CA"/>
        </w:rPr>
      </w:pPr>
      <w:r w:rsidRPr="00954404">
        <w:rPr>
          <w:szCs w:val="24"/>
          <w:lang w:val="fr-CA"/>
        </w:rPr>
        <w:t>c)</w:t>
      </w:r>
      <w:r w:rsidRPr="00954404">
        <w:rPr>
          <w:szCs w:val="24"/>
          <w:lang w:val="fr-CA"/>
        </w:rPr>
        <w:tab/>
        <w:t xml:space="preserve">Les lettres sont </w:t>
      </w:r>
      <w:r w:rsidRPr="00954404">
        <w:rPr>
          <w:i/>
          <w:szCs w:val="24"/>
          <w:lang w:val="fr-CA"/>
        </w:rPr>
        <w:t xml:space="preserve">ultra vires </w:t>
      </w:r>
      <w:r w:rsidRPr="00954404">
        <w:rPr>
          <w:szCs w:val="24"/>
          <w:lang w:val="fr-CA"/>
        </w:rPr>
        <w:t>et inopérantes en ce que les établissements de soins de longue durée n</w:t>
      </w:r>
      <w:r>
        <w:rPr>
          <w:szCs w:val="24"/>
          <w:lang w:val="fr-CA"/>
        </w:rPr>
        <w:t>’</w:t>
      </w:r>
      <w:r w:rsidRPr="00954404">
        <w:rPr>
          <w:szCs w:val="24"/>
          <w:lang w:val="fr-CA"/>
        </w:rPr>
        <w:t>avaient aucunement l</w:t>
      </w:r>
      <w:r>
        <w:rPr>
          <w:szCs w:val="24"/>
          <w:lang w:val="fr-CA"/>
        </w:rPr>
        <w:t>’</w:t>
      </w:r>
      <w:r w:rsidRPr="00954404">
        <w:rPr>
          <w:szCs w:val="24"/>
          <w:lang w:val="fr-CA"/>
        </w:rPr>
        <w:t>obligation d</w:t>
      </w:r>
      <w:r>
        <w:rPr>
          <w:szCs w:val="24"/>
          <w:lang w:val="fr-CA"/>
        </w:rPr>
        <w:t>’</w:t>
      </w:r>
      <w:r w:rsidRPr="00954404">
        <w:rPr>
          <w:szCs w:val="24"/>
          <w:lang w:val="fr-CA"/>
        </w:rPr>
        <w:t>exiger le montant maximal des frais d</w:t>
      </w:r>
      <w:r>
        <w:rPr>
          <w:szCs w:val="24"/>
          <w:lang w:val="fr-CA"/>
        </w:rPr>
        <w:t>’</w:t>
      </w:r>
      <w:r w:rsidRPr="00954404">
        <w:rPr>
          <w:szCs w:val="24"/>
          <w:lang w:val="fr-CA"/>
        </w:rPr>
        <w:t>hébergement, et les membres du groupe n</w:t>
      </w:r>
      <w:r>
        <w:rPr>
          <w:szCs w:val="24"/>
          <w:lang w:val="fr-CA"/>
        </w:rPr>
        <w:t>’</w:t>
      </w:r>
      <w:r w:rsidRPr="00954404">
        <w:rPr>
          <w:szCs w:val="24"/>
          <w:lang w:val="fr-CA"/>
        </w:rPr>
        <w:t>avait aucunement l</w:t>
      </w:r>
      <w:r>
        <w:rPr>
          <w:szCs w:val="24"/>
          <w:lang w:val="fr-CA"/>
        </w:rPr>
        <w:t>’</w:t>
      </w:r>
      <w:r w:rsidRPr="00954404">
        <w:rPr>
          <w:szCs w:val="24"/>
          <w:lang w:val="fr-CA"/>
        </w:rPr>
        <w:t>obligation de payer le montant maximal;</w:t>
      </w:r>
    </w:p>
    <w:p w:rsidR="00466E7D" w:rsidRPr="00954404" w:rsidRDefault="00466E7D" w:rsidP="00E9060A">
      <w:pPr>
        <w:pStyle w:val="Citation-AltC"/>
        <w:ind w:left="1890" w:hanging="360"/>
        <w:contextualSpacing w:val="0"/>
        <w:rPr>
          <w:szCs w:val="24"/>
          <w:lang w:val="fr-CA"/>
        </w:rPr>
      </w:pPr>
      <w:r w:rsidRPr="00954404">
        <w:rPr>
          <w:szCs w:val="24"/>
          <w:lang w:val="fr-CA"/>
        </w:rPr>
        <w:t>d)</w:t>
      </w:r>
      <w:r w:rsidRPr="00954404">
        <w:rPr>
          <w:szCs w:val="24"/>
          <w:lang w:val="fr-CA"/>
        </w:rPr>
        <w:tab/>
        <w:t>En août 2003, aucune loi n</w:t>
      </w:r>
      <w:r>
        <w:rPr>
          <w:szCs w:val="24"/>
          <w:lang w:val="fr-CA"/>
        </w:rPr>
        <w:t>’</w:t>
      </w:r>
      <w:r w:rsidRPr="00954404">
        <w:rPr>
          <w:szCs w:val="24"/>
          <w:lang w:val="fr-CA"/>
        </w:rPr>
        <w:t>accordait au ministre du Soutien aux aînés et aux collectivités un pouvoir à l</w:t>
      </w:r>
      <w:r>
        <w:rPr>
          <w:szCs w:val="24"/>
          <w:lang w:val="fr-CA"/>
        </w:rPr>
        <w:t>’</w:t>
      </w:r>
      <w:r w:rsidRPr="00954404">
        <w:rPr>
          <w:szCs w:val="24"/>
          <w:lang w:val="fr-CA"/>
        </w:rPr>
        <w:t>égard de la fixation et du contrôle des frais d</w:t>
      </w:r>
      <w:r>
        <w:rPr>
          <w:szCs w:val="24"/>
          <w:lang w:val="fr-CA"/>
        </w:rPr>
        <w:t>’</w:t>
      </w:r>
      <w:r w:rsidRPr="00954404">
        <w:rPr>
          <w:szCs w:val="24"/>
          <w:lang w:val="fr-CA"/>
        </w:rPr>
        <w:t>hébergement</w:t>
      </w:r>
      <w:r w:rsidR="00E148A7">
        <w:rPr>
          <w:szCs w:val="24"/>
          <w:lang w:val="fr-CA"/>
        </w:rPr>
        <w:t>;</w:t>
      </w:r>
      <w:r>
        <w:rPr>
          <w:szCs w:val="24"/>
          <w:lang w:val="fr-CA"/>
        </w:rPr>
        <w:t xml:space="preserve"> . . </w:t>
      </w:r>
      <w:r w:rsidRPr="00954404">
        <w:rPr>
          <w:szCs w:val="24"/>
          <w:lang w:val="fr-CA"/>
        </w:rPr>
        <w:t>.  [Je souligne.]</w:t>
      </w:r>
    </w:p>
    <w:p w:rsidR="00466E7D" w:rsidRPr="00954404" w:rsidRDefault="00466E7D" w:rsidP="00466E7D">
      <w:pPr>
        <w:pStyle w:val="ParaNoNdepar-AltN"/>
        <w:rPr>
          <w:rFonts w:cs="Times New Roman"/>
          <w:szCs w:val="24"/>
          <w:lang w:val="fr-CA"/>
        </w:rPr>
      </w:pPr>
      <w:r w:rsidRPr="00954404">
        <w:rPr>
          <w:rFonts w:cs="Times New Roman"/>
          <w:szCs w:val="24"/>
          <w:lang w:val="fr-CA"/>
        </w:rPr>
        <w:t>Ces allégations reflètent le critère applicable en matière d</w:t>
      </w:r>
      <w:r>
        <w:rPr>
          <w:rFonts w:cs="Times New Roman"/>
          <w:szCs w:val="24"/>
          <w:lang w:val="fr-CA"/>
        </w:rPr>
        <w:t>’</w:t>
      </w:r>
      <w:r w:rsidRPr="00954404">
        <w:rPr>
          <w:rFonts w:cs="Times New Roman"/>
          <w:szCs w:val="24"/>
          <w:lang w:val="fr-CA"/>
        </w:rPr>
        <w:t>enrichissement injuste énoncé au par</w:t>
      </w:r>
      <w:r w:rsidR="00E9060A">
        <w:rPr>
          <w:rFonts w:cs="Times New Roman"/>
          <w:szCs w:val="24"/>
          <w:lang w:val="fr-CA"/>
        </w:rPr>
        <w:t>.</w:t>
      </w:r>
      <w:r w:rsidRPr="00954404">
        <w:rPr>
          <w:rFonts w:cs="Times New Roman"/>
          <w:szCs w:val="24"/>
          <w:lang w:val="fr-CA"/>
        </w:rPr>
        <w:t xml:space="preserve"> 30</w:t>
      </w:r>
      <w:r w:rsidR="00E9060A">
        <w:rPr>
          <w:rFonts w:cs="Times New Roman"/>
          <w:szCs w:val="24"/>
          <w:lang w:val="fr-CA"/>
        </w:rPr>
        <w:t xml:space="preserve"> </w:t>
      </w:r>
      <w:r w:rsidRPr="00954404">
        <w:rPr>
          <w:rFonts w:cs="Times New Roman"/>
          <w:szCs w:val="24"/>
          <w:lang w:val="fr-CA"/>
        </w:rPr>
        <w:t>de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Garland</w:t>
      </w:r>
      <w:r w:rsidRPr="00954404">
        <w:rPr>
          <w:rFonts w:cs="Times New Roman"/>
          <w:szCs w:val="24"/>
          <w:lang w:val="fr-CA"/>
        </w:rPr>
        <w:t xml:space="preserve"> </w:t>
      </w:r>
      <w:r w:rsidRPr="00954404">
        <w:rPr>
          <w:rFonts w:cs="Times New Roman"/>
          <w:i/>
          <w:szCs w:val="24"/>
          <w:lang w:val="fr-CA"/>
        </w:rPr>
        <w:t>c. Consumers</w:t>
      </w:r>
      <w:r>
        <w:rPr>
          <w:rFonts w:cs="Times New Roman"/>
          <w:i/>
          <w:szCs w:val="24"/>
          <w:lang w:val="fr-CA"/>
        </w:rPr>
        <w:t>’</w:t>
      </w:r>
      <w:r w:rsidRPr="00954404">
        <w:rPr>
          <w:rFonts w:cs="Times New Roman"/>
          <w:i/>
          <w:szCs w:val="24"/>
          <w:lang w:val="fr-CA"/>
        </w:rPr>
        <w:t xml:space="preserve"> Gas Co.</w:t>
      </w:r>
      <w:r w:rsidRPr="00954404">
        <w:rPr>
          <w:rFonts w:cs="Times New Roman"/>
          <w:szCs w:val="24"/>
          <w:lang w:val="fr-CA"/>
        </w:rPr>
        <w:t>, 2004 CSC 25, [2004] 1 R.C.S. 629</w:t>
      </w:r>
      <w:r>
        <w:rPr>
          <w:rFonts w:cs="Times New Roman"/>
          <w:szCs w:val="24"/>
          <w:lang w:val="fr-CA"/>
        </w:rPr>
        <w:t> :</w:t>
      </w:r>
    </w:p>
    <w:p w:rsidR="00466E7D" w:rsidRPr="00954404" w:rsidRDefault="00466E7D" w:rsidP="00466E7D">
      <w:pPr>
        <w:pStyle w:val="Citation-AltC"/>
        <w:tabs>
          <w:tab w:val="left" w:pos="1620"/>
        </w:tabs>
        <w:ind w:hanging="1166"/>
        <w:contextualSpacing w:val="0"/>
        <w:rPr>
          <w:szCs w:val="24"/>
          <w:lang w:val="fr-CA"/>
        </w:rPr>
      </w:pPr>
      <w:r w:rsidRPr="00954404">
        <w:rPr>
          <w:szCs w:val="24"/>
          <w:lang w:val="fr-CA"/>
        </w:rPr>
        <w:tab/>
      </w:r>
      <w:r w:rsidRPr="00954404">
        <w:rPr>
          <w:szCs w:val="24"/>
          <w:lang w:val="fr-CA"/>
        </w:rPr>
        <w:tab/>
        <w:t>En général, le critère applicable en matière d</w:t>
      </w:r>
      <w:r>
        <w:rPr>
          <w:szCs w:val="24"/>
          <w:lang w:val="fr-CA"/>
        </w:rPr>
        <w:t>’</w:t>
      </w:r>
      <w:r w:rsidRPr="00954404">
        <w:rPr>
          <w:szCs w:val="24"/>
          <w:lang w:val="fr-CA"/>
        </w:rPr>
        <w:t>enrichissement sans cause est bien établi au Canada.  La cause d</w:t>
      </w:r>
      <w:r>
        <w:rPr>
          <w:szCs w:val="24"/>
          <w:lang w:val="fr-CA"/>
        </w:rPr>
        <w:t>’</w:t>
      </w:r>
      <w:r w:rsidRPr="00954404">
        <w:rPr>
          <w:szCs w:val="24"/>
          <w:lang w:val="fr-CA"/>
        </w:rPr>
        <w:t>action comporte trois éléments</w:t>
      </w:r>
      <w:r>
        <w:rPr>
          <w:szCs w:val="24"/>
          <w:lang w:val="fr-CA"/>
        </w:rPr>
        <w:t> :</w:t>
      </w:r>
      <w:r w:rsidRPr="00954404">
        <w:rPr>
          <w:szCs w:val="24"/>
          <w:lang w:val="fr-CA"/>
        </w:rPr>
        <w:t xml:space="preserve"> (1) l</w:t>
      </w:r>
      <w:r>
        <w:rPr>
          <w:szCs w:val="24"/>
          <w:lang w:val="fr-CA"/>
        </w:rPr>
        <w:t>’</w:t>
      </w:r>
      <w:r w:rsidRPr="00954404">
        <w:rPr>
          <w:szCs w:val="24"/>
          <w:lang w:val="fr-CA"/>
        </w:rPr>
        <w:t>enrichissement du défendeur, (2) l</w:t>
      </w:r>
      <w:r>
        <w:rPr>
          <w:szCs w:val="24"/>
          <w:lang w:val="fr-CA"/>
        </w:rPr>
        <w:t>’</w:t>
      </w:r>
      <w:r w:rsidRPr="00954404">
        <w:rPr>
          <w:szCs w:val="24"/>
          <w:lang w:val="fr-CA"/>
        </w:rPr>
        <w:t>appauvrissement correspondant du demandeur et (3) l</w:t>
      </w:r>
      <w:r>
        <w:rPr>
          <w:szCs w:val="24"/>
          <w:lang w:val="fr-CA"/>
        </w:rPr>
        <w:t>’</w:t>
      </w:r>
      <w:r w:rsidRPr="00954404">
        <w:rPr>
          <w:szCs w:val="24"/>
          <w:lang w:val="fr-CA"/>
        </w:rPr>
        <w:t>absence de motif juridique justifiant l</w:t>
      </w:r>
      <w:r>
        <w:rPr>
          <w:szCs w:val="24"/>
          <w:lang w:val="fr-CA"/>
        </w:rPr>
        <w:t>’</w:t>
      </w:r>
      <w:r w:rsidRPr="00954404">
        <w:rPr>
          <w:szCs w:val="24"/>
          <w:lang w:val="fr-CA"/>
        </w:rPr>
        <w:t>enrichissement .</w:t>
      </w:r>
      <w:r>
        <w:rPr>
          <w:szCs w:val="24"/>
          <w:lang w:val="fr-CA"/>
        </w:rPr>
        <w:t> </w:t>
      </w:r>
      <w:r w:rsidRPr="00954404">
        <w:rPr>
          <w:szCs w:val="24"/>
          <w:lang w:val="fr-CA"/>
        </w:rPr>
        <w:t>.</w:t>
      </w:r>
      <w:r>
        <w:rPr>
          <w:szCs w:val="24"/>
          <w:lang w:val="fr-CA"/>
        </w:rPr>
        <w:t> </w:t>
      </w:r>
      <w:r w:rsidRPr="00954404">
        <w:rPr>
          <w:szCs w:val="24"/>
          <w:lang w:val="fr-CA"/>
        </w:rPr>
        <w:t>.</w:t>
      </w:r>
    </w:p>
    <w:p w:rsidR="00466E7D" w:rsidRPr="00954404" w:rsidRDefault="00466E7D" w:rsidP="00466E7D">
      <w:pPr>
        <w:pStyle w:val="ContinueParaSuitedupar-AltP"/>
        <w:rPr>
          <w:rFonts w:cs="Times New Roman"/>
          <w:szCs w:val="24"/>
          <w:lang w:val="fr-CA"/>
        </w:rPr>
      </w:pPr>
      <w:r w:rsidRPr="00954404">
        <w:rPr>
          <w:rFonts w:cs="Times New Roman"/>
          <w:szCs w:val="24"/>
          <w:lang w:val="fr-CA"/>
        </w:rPr>
        <w:lastRenderedPageBreak/>
        <w:t>Les économies réalisées en ne payant pas une dépense inévitable peuvent constituer un enrichissement du défendeur</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Garland</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31.</w:t>
      </w:r>
    </w:p>
    <w:p w:rsidR="00466E7D" w:rsidRPr="00954404" w:rsidRDefault="00466E7D" w:rsidP="00466E7D">
      <w:pPr>
        <w:pStyle w:val="ParaNoNdepar-AltN"/>
        <w:rPr>
          <w:rFonts w:cs="Times New Roman"/>
          <w:szCs w:val="24"/>
          <w:lang w:val="fr-CA"/>
        </w:rPr>
      </w:pPr>
      <w:r w:rsidRPr="00954404">
        <w:rPr>
          <w:rFonts w:cs="Times New Roman"/>
          <w:szCs w:val="24"/>
          <w:lang w:val="fr-CA"/>
        </w:rPr>
        <w:t>À cet égard, l</w:t>
      </w:r>
      <w:r>
        <w:rPr>
          <w:rFonts w:cs="Times New Roman"/>
          <w:szCs w:val="24"/>
          <w:lang w:val="fr-CA"/>
        </w:rPr>
        <w:t>’</w:t>
      </w:r>
      <w:r w:rsidRPr="00954404">
        <w:rPr>
          <w:rFonts w:cs="Times New Roman"/>
          <w:szCs w:val="24"/>
          <w:lang w:val="fr-CA"/>
        </w:rPr>
        <w:t>Alberta affirme essentiellement que l</w:t>
      </w:r>
      <w:r>
        <w:rPr>
          <w:rFonts w:cs="Times New Roman"/>
          <w:szCs w:val="24"/>
          <w:lang w:val="fr-CA"/>
        </w:rPr>
        <w:t>’</w:t>
      </w:r>
      <w:r w:rsidRPr="00954404">
        <w:rPr>
          <w:rFonts w:cs="Times New Roman"/>
          <w:szCs w:val="24"/>
          <w:lang w:val="fr-CA"/>
        </w:rPr>
        <w:t>allégation d</w:t>
      </w:r>
      <w:r>
        <w:rPr>
          <w:rFonts w:cs="Times New Roman"/>
          <w:szCs w:val="24"/>
          <w:lang w:val="fr-CA"/>
        </w:rPr>
        <w:t>’</w:t>
      </w:r>
      <w:r w:rsidRPr="00954404">
        <w:rPr>
          <w:rFonts w:cs="Times New Roman"/>
          <w:szCs w:val="24"/>
          <w:lang w:val="fr-CA"/>
        </w:rPr>
        <w:t>enrichissement injuste est vouée à l</w:t>
      </w:r>
      <w:r>
        <w:rPr>
          <w:rFonts w:cs="Times New Roman"/>
          <w:szCs w:val="24"/>
          <w:lang w:val="fr-CA"/>
        </w:rPr>
        <w:t>’</w:t>
      </w:r>
      <w:r w:rsidRPr="00954404">
        <w:rPr>
          <w:rFonts w:cs="Times New Roman"/>
          <w:szCs w:val="24"/>
          <w:lang w:val="fr-CA"/>
        </w:rPr>
        <w:t>échec parce que la doctrine ne s</w:t>
      </w:r>
      <w:r>
        <w:rPr>
          <w:rFonts w:cs="Times New Roman"/>
          <w:szCs w:val="24"/>
          <w:lang w:val="fr-CA"/>
        </w:rPr>
        <w:t>’</w:t>
      </w:r>
      <w:r w:rsidRPr="00954404">
        <w:rPr>
          <w:rFonts w:cs="Times New Roman"/>
          <w:szCs w:val="24"/>
          <w:lang w:val="fr-CA"/>
        </w:rPr>
        <w:t>applique pas à une autorité publique dans un cas comme celui en l</w:t>
      </w:r>
      <w:r>
        <w:rPr>
          <w:rFonts w:cs="Times New Roman"/>
          <w:szCs w:val="24"/>
          <w:lang w:val="fr-CA"/>
        </w:rPr>
        <w:t>’</w:t>
      </w:r>
      <w:r w:rsidRPr="00954404">
        <w:rPr>
          <w:rFonts w:cs="Times New Roman"/>
          <w:szCs w:val="24"/>
          <w:lang w:val="fr-CA"/>
        </w:rPr>
        <w:t>espèce.  Les gouvernements édictent des lois et des règlements qui obligent les citoyens à verser de l</w:t>
      </w:r>
      <w:r>
        <w:rPr>
          <w:rFonts w:cs="Times New Roman"/>
          <w:szCs w:val="24"/>
          <w:lang w:val="fr-CA"/>
        </w:rPr>
        <w:t>’</w:t>
      </w:r>
      <w:r w:rsidRPr="00954404">
        <w:rPr>
          <w:rFonts w:cs="Times New Roman"/>
          <w:szCs w:val="24"/>
          <w:lang w:val="fr-CA"/>
        </w:rPr>
        <w:t>argent au gouvernement dans diverses situations et, en règle générale, le citoyen ne devrait pas avoir le droit de recouvrer ces versements.  L</w:t>
      </w:r>
      <w:r>
        <w:rPr>
          <w:rFonts w:cs="Times New Roman"/>
          <w:szCs w:val="24"/>
          <w:lang w:val="fr-CA"/>
        </w:rPr>
        <w:t>’</w:t>
      </w:r>
      <w:r w:rsidRPr="00954404">
        <w:rPr>
          <w:rFonts w:cs="Times New Roman"/>
          <w:szCs w:val="24"/>
          <w:lang w:val="fr-CA"/>
        </w:rPr>
        <w:t>Alberta prétend que cette position est justifiée eu égard à la politique générale de l</w:t>
      </w:r>
      <w:r>
        <w:rPr>
          <w:rFonts w:cs="Times New Roman"/>
          <w:szCs w:val="24"/>
          <w:lang w:val="fr-CA"/>
        </w:rPr>
        <w:t>’</w:t>
      </w:r>
      <w:r w:rsidRPr="00954404">
        <w:rPr>
          <w:rFonts w:cs="Times New Roman"/>
          <w:szCs w:val="24"/>
          <w:lang w:val="fr-CA"/>
        </w:rPr>
        <w:t>État; les gouvernements ne devraient pas être tenus de justifier indéfiniment la perception des frais effectuée conformément à des lois ou des règlements valides.</w:t>
      </w:r>
    </w:p>
    <w:p w:rsidR="00466E7D" w:rsidRPr="00954404" w:rsidRDefault="00466E7D" w:rsidP="00466E7D">
      <w:pPr>
        <w:pStyle w:val="ParaNoNdepar-AltN"/>
        <w:rPr>
          <w:rFonts w:cs="Times New Roman"/>
          <w:szCs w:val="24"/>
          <w:lang w:val="fr-CA"/>
        </w:rPr>
      </w:pPr>
      <w:r w:rsidRPr="00954404">
        <w:rPr>
          <w:rFonts w:cs="Times New Roman"/>
          <w:szCs w:val="24"/>
          <w:lang w:val="fr-CA"/>
        </w:rPr>
        <w:t>En réalité, la situation n</w:t>
      </w:r>
      <w:r>
        <w:rPr>
          <w:rFonts w:cs="Times New Roman"/>
          <w:szCs w:val="24"/>
          <w:lang w:val="fr-CA"/>
        </w:rPr>
        <w:t>’</w:t>
      </w:r>
      <w:r w:rsidRPr="00954404">
        <w:rPr>
          <w:rFonts w:cs="Times New Roman"/>
          <w:szCs w:val="24"/>
          <w:lang w:val="fr-CA"/>
        </w:rPr>
        <w:t>est pas si simple.  Comme l</w:t>
      </w:r>
      <w:r>
        <w:rPr>
          <w:rFonts w:cs="Times New Roman"/>
          <w:szCs w:val="24"/>
          <w:lang w:val="fr-CA"/>
        </w:rPr>
        <w:t>’</w:t>
      </w:r>
      <w:r w:rsidRPr="00954404">
        <w:rPr>
          <w:rFonts w:cs="Times New Roman"/>
          <w:szCs w:val="24"/>
          <w:lang w:val="fr-CA"/>
        </w:rPr>
        <w:t>indique habilement un auteur, au Canada, l</w:t>
      </w:r>
      <w:r>
        <w:rPr>
          <w:rFonts w:cs="Times New Roman"/>
          <w:szCs w:val="24"/>
          <w:lang w:val="fr-CA"/>
        </w:rPr>
        <w:t>’</w:t>
      </w:r>
      <w:r w:rsidRPr="00954404">
        <w:rPr>
          <w:rFonts w:cs="Times New Roman"/>
          <w:szCs w:val="24"/>
          <w:lang w:val="fr-CA"/>
        </w:rPr>
        <w:t>application aux autorités publiques des principes en matière de restitution [</w:t>
      </w:r>
      <w:r w:rsidRPr="00954404">
        <w:rPr>
          <w:rFonts w:cs="Times New Roman"/>
          <w:smallCaps/>
          <w:szCs w:val="24"/>
          <w:lang w:val="fr-CA"/>
        </w:rPr>
        <w:t>traduction</w:t>
      </w:r>
      <w:r w:rsidRPr="00954404">
        <w:rPr>
          <w:rFonts w:cs="Times New Roman"/>
          <w:szCs w:val="24"/>
          <w:lang w:val="fr-CA"/>
        </w:rPr>
        <w:t>] « est une question de subtilité »</w:t>
      </w:r>
      <w:r>
        <w:rPr>
          <w:rFonts w:cs="Times New Roman"/>
          <w:szCs w:val="24"/>
          <w:lang w:val="fr-CA"/>
        </w:rPr>
        <w:t> :</w:t>
      </w:r>
      <w:r w:rsidRPr="00954404">
        <w:rPr>
          <w:rFonts w:cs="Times New Roman"/>
          <w:szCs w:val="24"/>
          <w:lang w:val="fr-CA"/>
        </w:rPr>
        <w:t xml:space="preserve"> </w:t>
      </w:r>
      <w:r>
        <w:rPr>
          <w:rFonts w:cs="Times New Roman"/>
          <w:szCs w:val="24"/>
          <w:lang w:val="fr-CA"/>
        </w:rPr>
        <w:t>P. </w:t>
      </w:r>
      <w:r w:rsidRPr="00954404">
        <w:rPr>
          <w:rFonts w:cs="Times New Roman"/>
          <w:szCs w:val="24"/>
          <w:lang w:val="fr-CA"/>
        </w:rPr>
        <w:t xml:space="preserve">D. Maddaugh et J. D. McCamus, </w:t>
      </w:r>
      <w:r w:rsidRPr="00954404">
        <w:rPr>
          <w:rFonts w:cs="Times New Roman"/>
          <w:i/>
          <w:szCs w:val="24"/>
          <w:lang w:val="fr-CA"/>
        </w:rPr>
        <w:t>The Law of Restitution</w:t>
      </w:r>
      <w:r w:rsidRPr="00954404">
        <w:rPr>
          <w:rFonts w:cs="Times New Roman"/>
          <w:szCs w:val="24"/>
          <w:lang w:val="fr-CA"/>
        </w:rPr>
        <w:t xml:space="preserve"> (feuilles mobiles), </w:t>
      </w:r>
      <w:r>
        <w:rPr>
          <w:rFonts w:cs="Times New Roman"/>
          <w:szCs w:val="24"/>
          <w:lang w:val="fr-CA"/>
        </w:rPr>
        <w:t>p. </w:t>
      </w:r>
      <w:r w:rsidRPr="00954404">
        <w:rPr>
          <w:rFonts w:cs="Times New Roman"/>
          <w:szCs w:val="24"/>
          <w:lang w:val="fr-CA"/>
        </w:rPr>
        <w:t>22</w:t>
      </w:r>
      <w:r>
        <w:rPr>
          <w:rFonts w:cs="Times New Roman"/>
          <w:szCs w:val="24"/>
          <w:lang w:val="fr-CA"/>
        </w:rPr>
        <w:noBreakHyphen/>
      </w:r>
      <w:r w:rsidRPr="00954404">
        <w:rPr>
          <w:rFonts w:cs="Times New Roman"/>
          <w:szCs w:val="24"/>
          <w:lang w:val="fr-CA"/>
        </w:rPr>
        <w:t>1.  Selon la règle classique de la common law, le recouvrement d</w:t>
      </w:r>
      <w:r>
        <w:rPr>
          <w:rFonts w:cs="Times New Roman"/>
          <w:szCs w:val="24"/>
          <w:lang w:val="fr-CA"/>
        </w:rPr>
        <w:t>’</w:t>
      </w:r>
      <w:r w:rsidRPr="00954404">
        <w:rPr>
          <w:rFonts w:cs="Times New Roman"/>
          <w:szCs w:val="24"/>
          <w:lang w:val="fr-CA"/>
        </w:rPr>
        <w:t>une somme auprès des autorités publiques n</w:t>
      </w:r>
      <w:r>
        <w:rPr>
          <w:rFonts w:cs="Times New Roman"/>
          <w:szCs w:val="24"/>
          <w:lang w:val="fr-CA"/>
        </w:rPr>
        <w:t>’</w:t>
      </w:r>
      <w:r w:rsidRPr="00954404">
        <w:rPr>
          <w:rFonts w:cs="Times New Roman"/>
          <w:szCs w:val="24"/>
          <w:lang w:val="fr-CA"/>
        </w:rPr>
        <w:t xml:space="preserve">a été reconnu que sur le fondement du </w:t>
      </w:r>
      <w:r w:rsidRPr="00954404">
        <w:rPr>
          <w:rFonts w:cs="Times New Roman"/>
          <w:i/>
          <w:szCs w:val="24"/>
          <w:lang w:val="fr-CA"/>
        </w:rPr>
        <w:t>colore officii</w:t>
      </w:r>
      <w:r w:rsidRPr="00954404">
        <w:rPr>
          <w:rFonts w:cs="Times New Roman"/>
          <w:szCs w:val="24"/>
          <w:lang w:val="fr-CA"/>
        </w:rPr>
        <w:t xml:space="preserve"> (les représentants du gouvernement demandent illégalement aux citoyens de payer des sommes pour recevoir des avantages auxquels ils ont légalement droit) ou de la contrainte (réelle ou implicite).  Les paiements effectués conformément à des textes législatifs </w:t>
      </w:r>
      <w:r>
        <w:rPr>
          <w:rFonts w:cs="Times New Roman"/>
          <w:szCs w:val="24"/>
          <w:lang w:val="fr-CA"/>
        </w:rPr>
        <w:t>valides</w:t>
      </w:r>
      <w:r w:rsidRPr="00954404">
        <w:rPr>
          <w:rFonts w:cs="Times New Roman"/>
          <w:szCs w:val="24"/>
          <w:lang w:val="fr-CA"/>
        </w:rPr>
        <w:t xml:space="preserve"> </w:t>
      </w:r>
      <w:r w:rsidRPr="00954404">
        <w:rPr>
          <w:rFonts w:cs="Times New Roman"/>
          <w:szCs w:val="24"/>
          <w:lang w:val="fr-CA"/>
        </w:rPr>
        <w:lastRenderedPageBreak/>
        <w:t xml:space="preserve">étaient potentiellement recouvrables; ceux effectués conformément à des lois </w:t>
      </w:r>
      <w:r w:rsidRPr="00954404">
        <w:rPr>
          <w:rFonts w:cs="Times New Roman"/>
          <w:i/>
          <w:szCs w:val="24"/>
          <w:lang w:val="fr-CA"/>
        </w:rPr>
        <w:t>ultra vires</w:t>
      </w:r>
      <w:r w:rsidRPr="00954404">
        <w:rPr>
          <w:rFonts w:cs="Times New Roman"/>
          <w:szCs w:val="24"/>
          <w:lang w:val="fr-CA"/>
        </w:rPr>
        <w:t xml:space="preserve"> ne l</w:t>
      </w:r>
      <w:r>
        <w:rPr>
          <w:rFonts w:cs="Times New Roman"/>
          <w:szCs w:val="24"/>
          <w:lang w:val="fr-CA"/>
        </w:rPr>
        <w:t>’</w:t>
      </w:r>
      <w:r w:rsidRPr="00954404">
        <w:rPr>
          <w:rFonts w:cs="Times New Roman"/>
          <w:szCs w:val="24"/>
          <w:lang w:val="fr-CA"/>
        </w:rPr>
        <w:t>étaient pas nécessairement.</w:t>
      </w:r>
    </w:p>
    <w:p w:rsidR="00466E7D" w:rsidRPr="00954404" w:rsidRDefault="00466E7D" w:rsidP="00466E7D">
      <w:pPr>
        <w:pStyle w:val="ParaNoNdepar-AltN"/>
        <w:rPr>
          <w:rFonts w:cs="Times New Roman"/>
          <w:szCs w:val="24"/>
          <w:lang w:val="fr-CA"/>
        </w:rPr>
      </w:pPr>
      <w:r w:rsidRPr="00954404">
        <w:rPr>
          <w:rFonts w:cs="Times New Roman"/>
          <w:szCs w:val="24"/>
          <w:lang w:val="fr-CA"/>
        </w:rPr>
        <w:t>La doctrine traditionnelle, bien qu</w:t>
      </w:r>
      <w:r>
        <w:rPr>
          <w:rFonts w:cs="Times New Roman"/>
          <w:szCs w:val="24"/>
          <w:lang w:val="fr-CA"/>
        </w:rPr>
        <w:t>’</w:t>
      </w:r>
      <w:r w:rsidRPr="00954404">
        <w:rPr>
          <w:rFonts w:cs="Times New Roman"/>
          <w:szCs w:val="24"/>
          <w:lang w:val="fr-CA"/>
        </w:rPr>
        <w:t>elle s</w:t>
      </w:r>
      <w:r>
        <w:rPr>
          <w:rFonts w:cs="Times New Roman"/>
          <w:szCs w:val="24"/>
          <w:lang w:val="fr-CA"/>
        </w:rPr>
        <w:t>’</w:t>
      </w:r>
      <w:r w:rsidRPr="00954404">
        <w:rPr>
          <w:rFonts w:cs="Times New Roman"/>
          <w:szCs w:val="24"/>
          <w:lang w:val="fr-CA"/>
        </w:rPr>
        <w:t>applique dans certaines circonstances, a suscité des critiques parce qu</w:t>
      </w:r>
      <w:r>
        <w:rPr>
          <w:rFonts w:cs="Times New Roman"/>
          <w:szCs w:val="24"/>
          <w:lang w:val="fr-CA"/>
        </w:rPr>
        <w:t>’</w:t>
      </w:r>
      <w:r w:rsidRPr="00954404">
        <w:rPr>
          <w:rFonts w:cs="Times New Roman"/>
          <w:szCs w:val="24"/>
          <w:lang w:val="fr-CA"/>
        </w:rPr>
        <w:t>elle engendre des résultats incohérents et inéquitables.  En réponse à ces préoccupations, une série de décisions judiciaires a restreint la portée de la doctrine.</w:t>
      </w:r>
    </w:p>
    <w:p w:rsidR="00466E7D" w:rsidRPr="00954404" w:rsidRDefault="00466E7D" w:rsidP="00466E7D">
      <w:pPr>
        <w:pStyle w:val="ParaNoNdepar-AltN"/>
        <w:rPr>
          <w:rFonts w:cs="Times New Roman"/>
          <w:szCs w:val="24"/>
          <w:lang w:val="fr-CA"/>
        </w:rPr>
      </w:pPr>
      <w:r w:rsidRPr="00954404">
        <w:rPr>
          <w:rFonts w:cs="Times New Roman"/>
          <w:szCs w:val="24"/>
          <w:lang w:val="fr-CA"/>
        </w:rPr>
        <w:t>Ainsi, notre Cour a conclu que les avantages dont profite le gouvernement en raison d</w:t>
      </w:r>
      <w:r>
        <w:rPr>
          <w:rFonts w:cs="Times New Roman"/>
          <w:szCs w:val="24"/>
          <w:lang w:val="fr-CA"/>
        </w:rPr>
        <w:t>’</w:t>
      </w:r>
      <w:r w:rsidRPr="00954404">
        <w:rPr>
          <w:rFonts w:cs="Times New Roman"/>
          <w:szCs w:val="24"/>
          <w:lang w:val="fr-CA"/>
        </w:rPr>
        <w:t>une erreur de droit peuvent être recouvrés, pourvu que le paiement en question soit attribuable à l</w:t>
      </w:r>
      <w:r>
        <w:rPr>
          <w:rFonts w:cs="Times New Roman"/>
          <w:szCs w:val="24"/>
          <w:lang w:val="fr-CA"/>
        </w:rPr>
        <w:t>’</w:t>
      </w:r>
      <w:r w:rsidRPr="00954404">
        <w:rPr>
          <w:rFonts w:cs="Times New Roman"/>
          <w:szCs w:val="24"/>
          <w:lang w:val="fr-CA"/>
        </w:rPr>
        <w:t>erreur</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Air Canada c. Colombie</w:t>
      </w:r>
      <w:r>
        <w:rPr>
          <w:rFonts w:cs="Times New Roman"/>
          <w:i/>
          <w:szCs w:val="24"/>
          <w:lang w:val="fr-CA"/>
        </w:rPr>
        <w:noBreakHyphen/>
      </w:r>
      <w:r w:rsidRPr="00954404">
        <w:rPr>
          <w:rFonts w:cs="Times New Roman"/>
          <w:i/>
          <w:szCs w:val="24"/>
          <w:lang w:val="fr-CA"/>
        </w:rPr>
        <w:t>Britannique</w:t>
      </w:r>
      <w:r w:rsidRPr="00954404">
        <w:rPr>
          <w:rFonts w:cs="Times New Roman"/>
          <w:szCs w:val="24"/>
          <w:lang w:val="fr-CA"/>
        </w:rPr>
        <w:t xml:space="preserve">, [1989] 1 R.C.S. 1161, </w:t>
      </w:r>
      <w:r>
        <w:rPr>
          <w:rFonts w:cs="Times New Roman"/>
          <w:szCs w:val="24"/>
          <w:lang w:val="fr-CA"/>
        </w:rPr>
        <w:t>p. </w:t>
      </w:r>
      <w:r w:rsidRPr="00954404">
        <w:rPr>
          <w:rFonts w:cs="Times New Roman"/>
          <w:szCs w:val="24"/>
          <w:lang w:val="fr-CA"/>
        </w:rPr>
        <w:t>1200</w:t>
      </w:r>
      <w:r>
        <w:rPr>
          <w:rFonts w:cs="Times New Roman"/>
          <w:szCs w:val="24"/>
          <w:lang w:val="fr-CA"/>
        </w:rPr>
        <w:noBreakHyphen/>
      </w:r>
      <w:r w:rsidRPr="00954404">
        <w:rPr>
          <w:rFonts w:cs="Times New Roman"/>
          <w:szCs w:val="24"/>
          <w:lang w:val="fr-CA"/>
        </w:rPr>
        <w:t xml:space="preserve">1201, le juge La Forest, au nom de trois des six membres de la Cour, en </w:t>
      </w:r>
      <w:r w:rsidRPr="00954404">
        <w:rPr>
          <w:rFonts w:cs="Times New Roman"/>
          <w:i/>
          <w:szCs w:val="24"/>
          <w:lang w:val="fr-CA"/>
        </w:rPr>
        <w:t>obiter</w:t>
      </w:r>
      <w:r w:rsidRPr="00954404">
        <w:rPr>
          <w:rFonts w:cs="Times New Roman"/>
          <w:szCs w:val="24"/>
          <w:lang w:val="fr-CA"/>
        </w:rPr>
        <w:t>.  Le gouvernement peut donc être tenu de restituer les paiements qu</w:t>
      </w:r>
      <w:r>
        <w:rPr>
          <w:rFonts w:cs="Times New Roman"/>
          <w:szCs w:val="24"/>
          <w:lang w:val="fr-CA"/>
        </w:rPr>
        <w:t>’</w:t>
      </w:r>
      <w:r w:rsidRPr="00954404">
        <w:rPr>
          <w:rFonts w:cs="Times New Roman"/>
          <w:szCs w:val="24"/>
          <w:lang w:val="fr-CA"/>
        </w:rPr>
        <w:t>il a illégalement exigés en raison d</w:t>
      </w:r>
      <w:r>
        <w:rPr>
          <w:rFonts w:cs="Times New Roman"/>
          <w:szCs w:val="24"/>
          <w:lang w:val="fr-CA"/>
        </w:rPr>
        <w:t>’</w:t>
      </w:r>
      <w:r w:rsidRPr="00954404">
        <w:rPr>
          <w:rFonts w:cs="Times New Roman"/>
          <w:szCs w:val="24"/>
          <w:lang w:val="fr-CA"/>
        </w:rPr>
        <w:t>une mauvaise interprétation d</w:t>
      </w:r>
      <w:r>
        <w:rPr>
          <w:rFonts w:cs="Times New Roman"/>
          <w:szCs w:val="24"/>
          <w:lang w:val="fr-CA"/>
        </w:rPr>
        <w:t>’</w:t>
      </w:r>
      <w:r w:rsidRPr="00954404">
        <w:rPr>
          <w:rFonts w:cs="Times New Roman"/>
          <w:szCs w:val="24"/>
          <w:lang w:val="fr-CA"/>
        </w:rPr>
        <w:t xml:space="preserve">une loi </w:t>
      </w:r>
      <w:r w:rsidRPr="00E9389A">
        <w:rPr>
          <w:rFonts w:cs="Times New Roman"/>
          <w:szCs w:val="24"/>
          <w:u w:val="single"/>
          <w:lang w:val="fr-CA"/>
        </w:rPr>
        <w:t>valide</w:t>
      </w:r>
      <w:r w:rsidRPr="00954404">
        <w:rPr>
          <w:rFonts w:cs="Times New Roman"/>
          <w:szCs w:val="24"/>
          <w:lang w:val="fr-CA"/>
        </w:rPr>
        <w:t>.</w:t>
      </w:r>
    </w:p>
    <w:p w:rsidR="00466E7D" w:rsidRPr="00954404" w:rsidRDefault="00466E7D" w:rsidP="00466E7D">
      <w:pPr>
        <w:pStyle w:val="ParaNoNdepar-AltN"/>
        <w:rPr>
          <w:rFonts w:cs="Times New Roman"/>
          <w:szCs w:val="24"/>
          <w:lang w:val="fr-CA"/>
        </w:rPr>
      </w:pPr>
      <w:r w:rsidRPr="00954404">
        <w:rPr>
          <w:rFonts w:cs="Times New Roman"/>
          <w:szCs w:val="24"/>
          <w:lang w:val="fr-CA"/>
        </w:rPr>
        <w:t xml:space="preserve">Notre Cour a également statué que les avantages reçus par le gouvernement conformément à une loi </w:t>
      </w:r>
      <w:r w:rsidRPr="00E148A7">
        <w:rPr>
          <w:rFonts w:cs="Times New Roman"/>
          <w:szCs w:val="24"/>
          <w:u w:val="single"/>
          <w:lang w:val="fr-CA"/>
        </w:rPr>
        <w:t>invalide</w:t>
      </w:r>
      <w:r w:rsidRPr="00954404">
        <w:rPr>
          <w:rFonts w:cs="Times New Roman"/>
          <w:szCs w:val="24"/>
          <w:lang w:val="fr-CA"/>
        </w:rPr>
        <w:t xml:space="preserve"> peuvent être recouvrables si le paiement résulte d</w:t>
      </w:r>
      <w:r>
        <w:rPr>
          <w:rFonts w:cs="Times New Roman"/>
          <w:szCs w:val="24"/>
          <w:lang w:val="fr-CA"/>
        </w:rPr>
        <w:t>’</w:t>
      </w:r>
      <w:r w:rsidRPr="00954404">
        <w:rPr>
          <w:rFonts w:cs="Times New Roman"/>
          <w:szCs w:val="24"/>
          <w:lang w:val="fr-CA"/>
        </w:rPr>
        <w:t>une obligation pratique ou de la contrainte</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Succession Eurig (Re)</w:t>
      </w:r>
      <w:r w:rsidRPr="00954404">
        <w:rPr>
          <w:rFonts w:cs="Times New Roman"/>
          <w:szCs w:val="24"/>
          <w:lang w:val="fr-CA"/>
        </w:rPr>
        <w:t xml:space="preserve">, [1998] 2 R.C.S. 565, </w:t>
      </w:r>
      <w:r>
        <w:rPr>
          <w:rFonts w:cs="Times New Roman"/>
          <w:szCs w:val="24"/>
          <w:lang w:val="fr-CA"/>
        </w:rPr>
        <w:t>p. </w:t>
      </w:r>
      <w:r w:rsidRPr="00954404">
        <w:rPr>
          <w:rFonts w:cs="Times New Roman"/>
          <w:szCs w:val="24"/>
          <w:lang w:val="fr-CA"/>
        </w:rPr>
        <w:t>587, le juge Major, au nom des juges majoritaires.  Dans cet arrêt, la Cour ne s</w:t>
      </w:r>
      <w:r>
        <w:rPr>
          <w:rFonts w:cs="Times New Roman"/>
          <w:szCs w:val="24"/>
          <w:lang w:val="fr-CA"/>
        </w:rPr>
        <w:t>’</w:t>
      </w:r>
      <w:r w:rsidRPr="00954404">
        <w:rPr>
          <w:rFonts w:cs="Times New Roman"/>
          <w:szCs w:val="24"/>
          <w:lang w:val="fr-CA"/>
        </w:rPr>
        <w:t>est pas prononcée sur la possibilité de recouvrer des paiements effectués en vertu d</w:t>
      </w:r>
      <w:r>
        <w:rPr>
          <w:rFonts w:cs="Times New Roman"/>
          <w:szCs w:val="24"/>
          <w:lang w:val="fr-CA"/>
        </w:rPr>
        <w:t>’</w:t>
      </w:r>
      <w:r w:rsidRPr="00954404">
        <w:rPr>
          <w:rFonts w:cs="Times New Roman"/>
          <w:szCs w:val="24"/>
          <w:lang w:val="fr-CA"/>
        </w:rPr>
        <w:t xml:space="preserve">une loi </w:t>
      </w:r>
      <w:r w:rsidRPr="00954404">
        <w:rPr>
          <w:rFonts w:cs="Times New Roman"/>
          <w:i/>
          <w:szCs w:val="24"/>
          <w:lang w:val="fr-CA"/>
        </w:rPr>
        <w:t>valide</w:t>
      </w:r>
      <w:r w:rsidRPr="00954404">
        <w:rPr>
          <w:rFonts w:cs="Times New Roman"/>
          <w:szCs w:val="24"/>
          <w:lang w:val="fr-CA"/>
        </w:rPr>
        <w:t xml:space="preserve"> </w:t>
      </w:r>
      <w:r w:rsidRPr="00954404">
        <w:rPr>
          <w:rFonts w:cs="Times New Roman"/>
          <w:i/>
          <w:szCs w:val="24"/>
          <w:lang w:val="fr-CA"/>
        </w:rPr>
        <w:t>en l</w:t>
      </w:r>
      <w:r>
        <w:rPr>
          <w:rFonts w:cs="Times New Roman"/>
          <w:i/>
          <w:szCs w:val="24"/>
          <w:lang w:val="fr-CA"/>
        </w:rPr>
        <w:t>’</w:t>
      </w:r>
      <w:r w:rsidRPr="00954404">
        <w:rPr>
          <w:rFonts w:cs="Times New Roman"/>
          <w:i/>
          <w:szCs w:val="24"/>
          <w:lang w:val="fr-CA"/>
        </w:rPr>
        <w:t>absence de contrainte</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Succession Eurig</w:t>
      </w:r>
      <w:r w:rsidRPr="00954404">
        <w:rPr>
          <w:rFonts w:cs="Times New Roman"/>
          <w:szCs w:val="24"/>
          <w:lang w:val="fr-CA"/>
        </w:rPr>
        <w:t>.</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En outre, les tribunaux ont statué que les avantages conférés en vertu d</w:t>
      </w:r>
      <w:r>
        <w:rPr>
          <w:rFonts w:cs="Times New Roman"/>
          <w:szCs w:val="24"/>
          <w:lang w:val="fr-CA"/>
        </w:rPr>
        <w:t>’</w:t>
      </w:r>
      <w:r w:rsidRPr="00954404">
        <w:rPr>
          <w:rFonts w:cs="Times New Roman"/>
          <w:szCs w:val="24"/>
          <w:lang w:val="fr-CA"/>
        </w:rPr>
        <w:t xml:space="preserve">un </w:t>
      </w:r>
      <w:r w:rsidRPr="00954404">
        <w:rPr>
          <w:rFonts w:cs="Times New Roman"/>
          <w:i/>
          <w:szCs w:val="24"/>
          <w:lang w:val="fr-CA"/>
        </w:rPr>
        <w:t>accord</w:t>
      </w:r>
      <w:r w:rsidRPr="00954404">
        <w:rPr>
          <w:rFonts w:cs="Times New Roman"/>
          <w:szCs w:val="24"/>
          <w:lang w:val="fr-CA"/>
        </w:rPr>
        <w:t xml:space="preserve"> conclu avec une autorité publique sont recouvrables dans une demande de restitution si cet accord outrepasse les pouvoirs de l</w:t>
      </w:r>
      <w:r>
        <w:rPr>
          <w:rFonts w:cs="Times New Roman"/>
          <w:szCs w:val="24"/>
          <w:lang w:val="fr-CA"/>
        </w:rPr>
        <w:t>’</w:t>
      </w:r>
      <w:r w:rsidRPr="00954404">
        <w:rPr>
          <w:rFonts w:cs="Times New Roman"/>
          <w:szCs w:val="24"/>
          <w:lang w:val="fr-CA"/>
        </w:rPr>
        <w:t>institution publique</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Pacific National Investments Ltd. c. Victoria (Ville)</w:t>
      </w:r>
      <w:r w:rsidRPr="00954404">
        <w:rPr>
          <w:rFonts w:cs="Times New Roman"/>
          <w:szCs w:val="24"/>
          <w:lang w:val="fr-CA"/>
        </w:rPr>
        <w:t>, 2004 CSC 75, [2004] 3 R.C.S. 575.</w:t>
      </w:r>
    </w:p>
    <w:p w:rsidR="00466E7D" w:rsidRPr="00954404" w:rsidRDefault="00466E7D" w:rsidP="00466E7D">
      <w:pPr>
        <w:pStyle w:val="ParaNoNdepar-AltN"/>
        <w:rPr>
          <w:rFonts w:cs="Times New Roman"/>
          <w:szCs w:val="24"/>
          <w:lang w:val="fr-CA"/>
        </w:rPr>
      </w:pPr>
      <w:r w:rsidRPr="00954404">
        <w:rPr>
          <w:rFonts w:cs="Times New Roman"/>
          <w:szCs w:val="24"/>
          <w:lang w:val="fr-CA"/>
        </w:rPr>
        <w:t xml:space="preserve">Tout récemment, dans </w:t>
      </w:r>
      <w:r w:rsidRPr="00954404">
        <w:rPr>
          <w:rFonts w:cs="Times New Roman"/>
          <w:i/>
          <w:szCs w:val="24"/>
          <w:lang w:val="fr-CA"/>
        </w:rPr>
        <w:t>Kingstreet Investments Ltd. c</w:t>
      </w:r>
      <w:r w:rsidRPr="00954404">
        <w:rPr>
          <w:rFonts w:cs="Times New Roman"/>
          <w:i/>
          <w:iCs/>
          <w:szCs w:val="24"/>
          <w:lang w:val="fr-CA"/>
        </w:rPr>
        <w:t xml:space="preserve">. </w:t>
      </w:r>
      <w:r w:rsidRPr="00954404">
        <w:rPr>
          <w:rFonts w:cs="Times New Roman"/>
          <w:i/>
          <w:szCs w:val="24"/>
          <w:lang w:val="fr-CA"/>
        </w:rPr>
        <w:t>Nouveau</w:t>
      </w:r>
      <w:r>
        <w:rPr>
          <w:rFonts w:cs="Times New Roman"/>
          <w:i/>
          <w:szCs w:val="24"/>
          <w:lang w:val="fr-CA"/>
        </w:rPr>
        <w:noBreakHyphen/>
      </w:r>
      <w:r w:rsidRPr="00954404">
        <w:rPr>
          <w:rFonts w:cs="Times New Roman"/>
          <w:i/>
          <w:szCs w:val="24"/>
          <w:lang w:val="fr-CA"/>
        </w:rPr>
        <w:t>Brunswick (Finances)</w:t>
      </w:r>
      <w:r w:rsidRPr="00954404">
        <w:rPr>
          <w:rFonts w:cs="Times New Roman"/>
          <w:szCs w:val="24"/>
          <w:lang w:val="fr-CA"/>
        </w:rPr>
        <w:t>, 2007 CSC 1, [2007] 1 R.C.S. 3, le juge Bastarache a conclu au nom de notre Cour que les taxes perçues par les autorités publiques sur le fondement d</w:t>
      </w:r>
      <w:r>
        <w:rPr>
          <w:rFonts w:cs="Times New Roman"/>
          <w:szCs w:val="24"/>
          <w:lang w:val="fr-CA"/>
        </w:rPr>
        <w:t>’</w:t>
      </w:r>
      <w:r w:rsidRPr="00954404">
        <w:rPr>
          <w:rFonts w:cs="Times New Roman"/>
          <w:szCs w:val="24"/>
          <w:lang w:val="fr-CA"/>
        </w:rPr>
        <w:t xml:space="preserve">une loi </w:t>
      </w:r>
      <w:r w:rsidRPr="00954404">
        <w:rPr>
          <w:rFonts w:cs="Times New Roman"/>
          <w:i/>
          <w:szCs w:val="24"/>
          <w:lang w:val="fr-CA"/>
        </w:rPr>
        <w:t>ultra vires</w:t>
      </w:r>
      <w:r w:rsidRPr="00954404">
        <w:rPr>
          <w:rFonts w:cs="Times New Roman"/>
          <w:szCs w:val="24"/>
          <w:lang w:val="fr-CA"/>
        </w:rPr>
        <w:t xml:space="preserve"> sont recouvrables lorsque la loi est jugée inconstitutionnelle.  Il est généralement possible « d</w:t>
      </w:r>
      <w:r>
        <w:rPr>
          <w:rFonts w:cs="Times New Roman"/>
          <w:szCs w:val="24"/>
          <w:lang w:val="fr-CA"/>
        </w:rPr>
        <w:t>’</w:t>
      </w:r>
      <w:r w:rsidRPr="00954404">
        <w:rPr>
          <w:rFonts w:cs="Times New Roman"/>
          <w:szCs w:val="24"/>
          <w:lang w:val="fr-CA"/>
        </w:rPr>
        <w:t xml:space="preserve">invoquer les règles relatives à la restitution pour recouvrer des sommes perçues en vertu de dispositions législatives ultérieurement déclarées </w:t>
      </w:r>
      <w:r w:rsidRPr="00954404">
        <w:rPr>
          <w:rFonts w:cs="Times New Roman"/>
          <w:i/>
          <w:iCs/>
          <w:szCs w:val="24"/>
          <w:lang w:val="fr-CA"/>
        </w:rPr>
        <w:t>ultra vires</w:t>
      </w:r>
      <w:r w:rsidRPr="00954404">
        <w:rPr>
          <w:rFonts w:cs="Times New Roman"/>
          <w:szCs w:val="24"/>
          <w:lang w:val="fr-CA"/>
        </w:rPr>
        <w:t> »</w:t>
      </w:r>
      <w:r>
        <w:rPr>
          <w:rFonts w:cs="Times New Roman"/>
          <w:szCs w:val="24"/>
          <w:lang w:val="fr-CA"/>
        </w:rPr>
        <w:t> :</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12.  Le juge Bastarache a indiqué que si la demande vise des taxes inconstitutionnelles, elle doit être intentée sur le fondement des principes de droit public et non des règles de droit privé en matière d</w:t>
      </w:r>
      <w:r>
        <w:rPr>
          <w:rFonts w:cs="Times New Roman"/>
          <w:szCs w:val="24"/>
          <w:lang w:val="fr-CA"/>
        </w:rPr>
        <w:t>’</w:t>
      </w:r>
      <w:r w:rsidRPr="00954404">
        <w:rPr>
          <w:rFonts w:cs="Times New Roman"/>
          <w:szCs w:val="24"/>
          <w:lang w:val="fr-CA"/>
        </w:rPr>
        <w:t>enrichissement injuste.  Toutefois, il a ajouté que les « actions en enrichissement sans cause contre le gouvernement peuvent tout de même être indiquées dans certains cas »</w:t>
      </w:r>
      <w:r>
        <w:rPr>
          <w:rFonts w:cs="Times New Roman"/>
          <w:szCs w:val="24"/>
          <w:lang w:val="fr-CA"/>
        </w:rPr>
        <w:t> :</w:t>
      </w:r>
      <w:r w:rsidRPr="00954404">
        <w:rPr>
          <w:rFonts w:cs="Times New Roman"/>
          <w:szCs w:val="24"/>
          <w:lang w:val="fr-CA"/>
        </w:rPr>
        <w:t xml:space="preserve"> </w:t>
      </w:r>
      <w:r>
        <w:rPr>
          <w:rFonts w:cs="Times New Roman"/>
          <w:szCs w:val="24"/>
          <w:lang w:val="fr-CA"/>
        </w:rPr>
        <w:t>par. </w:t>
      </w:r>
      <w:r w:rsidRPr="00954404">
        <w:rPr>
          <w:rFonts w:cs="Times New Roman"/>
          <w:szCs w:val="24"/>
          <w:lang w:val="fr-CA"/>
        </w:rPr>
        <w:t>34.  Bien que la Cour ait rejeté l</w:t>
      </w:r>
      <w:r>
        <w:rPr>
          <w:rFonts w:cs="Times New Roman"/>
          <w:szCs w:val="24"/>
          <w:lang w:val="fr-CA"/>
        </w:rPr>
        <w:t>’</w:t>
      </w:r>
      <w:r w:rsidRPr="00954404">
        <w:rPr>
          <w:rFonts w:cs="Times New Roman"/>
          <w:i/>
          <w:szCs w:val="24"/>
          <w:lang w:val="fr-CA"/>
        </w:rPr>
        <w:t xml:space="preserve">obiter </w:t>
      </w:r>
      <w:r w:rsidRPr="00954404">
        <w:rPr>
          <w:rFonts w:cs="Times New Roman"/>
          <w:szCs w:val="24"/>
          <w:lang w:val="fr-CA"/>
        </w:rPr>
        <w:t xml:space="preserve">du juge La Forest dans </w:t>
      </w:r>
      <w:r w:rsidRPr="00954404">
        <w:rPr>
          <w:rFonts w:cs="Times New Roman"/>
          <w:i/>
          <w:szCs w:val="24"/>
          <w:lang w:val="fr-CA"/>
        </w:rPr>
        <w:t>Air Canada</w:t>
      </w:r>
      <w:r w:rsidRPr="00954404">
        <w:rPr>
          <w:rFonts w:cs="Times New Roman"/>
          <w:szCs w:val="24"/>
          <w:lang w:val="fr-CA"/>
        </w:rPr>
        <w:t xml:space="preserve">, </w:t>
      </w:r>
      <w:r>
        <w:rPr>
          <w:rFonts w:cs="Times New Roman"/>
          <w:szCs w:val="24"/>
          <w:lang w:val="fr-CA"/>
        </w:rPr>
        <w:t>p. </w:t>
      </w:r>
      <w:r w:rsidRPr="00954404">
        <w:rPr>
          <w:rFonts w:cs="Times New Roman"/>
          <w:szCs w:val="24"/>
          <w:lang w:val="fr-CA"/>
        </w:rPr>
        <w:t>1203</w:t>
      </w:r>
      <w:r>
        <w:rPr>
          <w:rFonts w:cs="Times New Roman"/>
          <w:szCs w:val="24"/>
          <w:lang w:val="fr-CA"/>
        </w:rPr>
        <w:noBreakHyphen/>
      </w:r>
      <w:r w:rsidRPr="00954404">
        <w:rPr>
          <w:rFonts w:cs="Times New Roman"/>
          <w:szCs w:val="24"/>
          <w:lang w:val="fr-CA"/>
        </w:rPr>
        <w:t>1204, selon lequel il ne devrait jamais être possible de recouvrer des sommes versées en vertu d</w:t>
      </w:r>
      <w:r>
        <w:rPr>
          <w:rFonts w:cs="Times New Roman"/>
          <w:szCs w:val="24"/>
          <w:lang w:val="fr-CA"/>
        </w:rPr>
        <w:t>’</w:t>
      </w:r>
      <w:r w:rsidRPr="00954404">
        <w:rPr>
          <w:rFonts w:cs="Times New Roman"/>
          <w:szCs w:val="24"/>
          <w:lang w:val="fr-CA"/>
        </w:rPr>
        <w:t xml:space="preserve">une loi </w:t>
      </w:r>
      <w:r w:rsidRPr="00954404">
        <w:rPr>
          <w:rFonts w:cs="Times New Roman"/>
          <w:i/>
          <w:szCs w:val="24"/>
          <w:lang w:val="fr-CA"/>
        </w:rPr>
        <w:t>ultra vires</w:t>
      </w:r>
      <w:r w:rsidRPr="00954404">
        <w:rPr>
          <w:rFonts w:cs="Times New Roman"/>
          <w:szCs w:val="24"/>
          <w:lang w:val="fr-CA"/>
        </w:rPr>
        <w:t>, le juge Bastarache n</w:t>
      </w:r>
      <w:r>
        <w:rPr>
          <w:rFonts w:cs="Times New Roman"/>
          <w:szCs w:val="24"/>
          <w:lang w:val="fr-CA"/>
        </w:rPr>
        <w:t>’</w:t>
      </w:r>
      <w:r w:rsidRPr="00954404">
        <w:rPr>
          <w:rFonts w:cs="Times New Roman"/>
          <w:szCs w:val="24"/>
          <w:lang w:val="fr-CA"/>
        </w:rPr>
        <w:t>est pas allé jusqu</w:t>
      </w:r>
      <w:r>
        <w:rPr>
          <w:rFonts w:cs="Times New Roman"/>
          <w:szCs w:val="24"/>
          <w:lang w:val="fr-CA"/>
        </w:rPr>
        <w:t>’</w:t>
      </w:r>
      <w:r w:rsidRPr="00954404">
        <w:rPr>
          <w:rFonts w:cs="Times New Roman"/>
          <w:szCs w:val="24"/>
          <w:lang w:val="fr-CA"/>
        </w:rPr>
        <w:t>à faire siens les motifs dissidents de la juge Wilson à cet égard (</w:t>
      </w:r>
      <w:r>
        <w:rPr>
          <w:rFonts w:cs="Times New Roman"/>
          <w:szCs w:val="24"/>
          <w:lang w:val="fr-CA"/>
        </w:rPr>
        <w:t>p. </w:t>
      </w:r>
      <w:r w:rsidRPr="00954404">
        <w:rPr>
          <w:rFonts w:cs="Times New Roman"/>
          <w:szCs w:val="24"/>
          <w:lang w:val="fr-CA"/>
        </w:rPr>
        <w:t>1214</w:t>
      </w:r>
      <w:r>
        <w:rPr>
          <w:rFonts w:cs="Times New Roman"/>
          <w:szCs w:val="24"/>
          <w:lang w:val="fr-CA"/>
        </w:rPr>
        <w:noBreakHyphen/>
      </w:r>
      <w:r w:rsidRPr="00954404">
        <w:rPr>
          <w:rFonts w:cs="Times New Roman"/>
          <w:szCs w:val="24"/>
          <w:lang w:val="fr-CA"/>
        </w:rPr>
        <w:t>1215), qui aurait permis le recouvrement dans les cas d</w:t>
      </w:r>
      <w:r>
        <w:rPr>
          <w:rFonts w:cs="Times New Roman"/>
          <w:szCs w:val="24"/>
          <w:lang w:val="fr-CA"/>
        </w:rPr>
        <w:t>’</w:t>
      </w:r>
      <w:r w:rsidRPr="00954404">
        <w:rPr>
          <w:rFonts w:cs="Times New Roman"/>
          <w:szCs w:val="24"/>
          <w:lang w:val="fr-CA"/>
        </w:rPr>
        <w:t>enrichissement injustifié.</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L</w:t>
      </w:r>
      <w:r>
        <w:rPr>
          <w:rFonts w:cs="Times New Roman"/>
          <w:szCs w:val="24"/>
          <w:lang w:val="fr-CA"/>
        </w:rPr>
        <w:t>’</w:t>
      </w:r>
      <w:r w:rsidRPr="00954404">
        <w:rPr>
          <w:rFonts w:cs="Times New Roman"/>
          <w:szCs w:val="24"/>
          <w:lang w:val="fr-CA"/>
        </w:rPr>
        <w:t>Alberta prétend que selon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Kingstreet</w:t>
      </w:r>
      <w:r w:rsidRPr="00954404">
        <w:rPr>
          <w:rFonts w:cs="Times New Roman"/>
          <w:szCs w:val="24"/>
          <w:lang w:val="fr-CA"/>
        </w:rPr>
        <w:t>, une action en enrichissement injustifié ne peut être intentée contre le gouvernement.  Selon la province, la seule voie de recours relève des principes de droit public, par exemple une demande fondée sur la faute dans l</w:t>
      </w:r>
      <w:r>
        <w:rPr>
          <w:rFonts w:cs="Times New Roman"/>
          <w:szCs w:val="24"/>
          <w:lang w:val="fr-CA"/>
        </w:rPr>
        <w:t>’</w:t>
      </w:r>
      <w:r w:rsidRPr="00954404">
        <w:rPr>
          <w:rFonts w:cs="Times New Roman"/>
          <w:szCs w:val="24"/>
          <w:lang w:val="fr-CA"/>
        </w:rPr>
        <w:t>exercice d</w:t>
      </w:r>
      <w:r>
        <w:rPr>
          <w:rFonts w:cs="Times New Roman"/>
          <w:szCs w:val="24"/>
          <w:lang w:val="fr-CA"/>
        </w:rPr>
        <w:t>’</w:t>
      </w:r>
      <w:r w:rsidRPr="00954404">
        <w:rPr>
          <w:rFonts w:cs="Times New Roman"/>
          <w:szCs w:val="24"/>
          <w:lang w:val="fr-CA"/>
        </w:rPr>
        <w:t>une charge publique.  Le groupe de demandeurs rétorque que l</w:t>
      </w:r>
      <w:r>
        <w:rPr>
          <w:rFonts w:cs="Times New Roman"/>
          <w:szCs w:val="24"/>
          <w:lang w:val="fr-CA"/>
        </w:rPr>
        <w:t>’</w:t>
      </w:r>
      <w:r w:rsidRPr="00954404">
        <w:rPr>
          <w:rFonts w:cs="Times New Roman"/>
          <w:szCs w:val="24"/>
          <w:lang w:val="fr-CA"/>
        </w:rPr>
        <w:t>Alberta interprète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Kingstreet</w:t>
      </w:r>
      <w:r w:rsidRPr="00954404">
        <w:rPr>
          <w:rFonts w:cs="Times New Roman"/>
          <w:szCs w:val="24"/>
          <w:lang w:val="fr-CA"/>
        </w:rPr>
        <w:t xml:space="preserve"> de manière trop restrictive.  Il se fonde sur la déclaration du juge Bastarache selon laquelle les « actions en enrichissement sans cause contre le gouvernement peuvent tout de même être indiquées dans certains cas ».</w:t>
      </w:r>
    </w:p>
    <w:p w:rsidR="00466E7D" w:rsidRPr="00954404" w:rsidRDefault="00466E7D" w:rsidP="00466E7D">
      <w:pPr>
        <w:pStyle w:val="ParaNoNdepar-AltN"/>
        <w:rPr>
          <w:rFonts w:cs="Times New Roman"/>
          <w:szCs w:val="24"/>
          <w:lang w:val="fr-CA"/>
        </w:rPr>
      </w:pPr>
      <w:r w:rsidRPr="00954404">
        <w:rPr>
          <w:rFonts w:cs="Times New Roman"/>
          <w:szCs w:val="24"/>
          <w:lang w:val="fr-CA"/>
        </w:rPr>
        <w:t>À mon sens, la Cour a indiqué dans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Kingstreet</w:t>
      </w:r>
      <w:r w:rsidRPr="00954404">
        <w:rPr>
          <w:rFonts w:cs="Times New Roman"/>
          <w:szCs w:val="24"/>
          <w:lang w:val="fr-CA"/>
        </w:rPr>
        <w:t xml:space="preserve"> que les recours de droit public, plutôt que l</w:t>
      </w:r>
      <w:r>
        <w:rPr>
          <w:rFonts w:cs="Times New Roman"/>
          <w:szCs w:val="24"/>
          <w:lang w:val="fr-CA"/>
        </w:rPr>
        <w:t>’</w:t>
      </w:r>
      <w:r w:rsidRPr="00954404">
        <w:rPr>
          <w:rFonts w:cs="Times New Roman"/>
          <w:szCs w:val="24"/>
          <w:lang w:val="fr-CA"/>
        </w:rPr>
        <w:t>action en enrichissement injustifié, constituent la démarche à suivre pour présenter une demande de restitution de taxes perçues en vertu d</w:t>
      </w:r>
      <w:r>
        <w:rPr>
          <w:rFonts w:cs="Times New Roman"/>
          <w:szCs w:val="24"/>
          <w:lang w:val="fr-CA"/>
        </w:rPr>
        <w:t>’</w:t>
      </w:r>
      <w:r w:rsidRPr="00954404">
        <w:rPr>
          <w:rFonts w:cs="Times New Roman"/>
          <w:szCs w:val="24"/>
          <w:lang w:val="fr-CA"/>
        </w:rPr>
        <w:t xml:space="preserve">une loi </w:t>
      </w:r>
      <w:r w:rsidRPr="00954404">
        <w:rPr>
          <w:rFonts w:cs="Times New Roman"/>
          <w:i/>
          <w:szCs w:val="24"/>
          <w:lang w:val="fr-CA"/>
        </w:rPr>
        <w:t>ultra vires</w:t>
      </w:r>
      <w:r w:rsidRPr="00954404">
        <w:rPr>
          <w:rFonts w:cs="Times New Roman"/>
          <w:szCs w:val="24"/>
          <w:lang w:val="fr-CA"/>
        </w:rPr>
        <w:t xml:space="preserve"> parce que le cadre de l</w:t>
      </w:r>
      <w:r>
        <w:rPr>
          <w:rFonts w:cs="Times New Roman"/>
          <w:szCs w:val="24"/>
          <w:lang w:val="fr-CA"/>
        </w:rPr>
        <w:t>’</w:t>
      </w:r>
      <w:r w:rsidRPr="00954404">
        <w:rPr>
          <w:rFonts w:cs="Times New Roman"/>
          <w:szCs w:val="24"/>
          <w:lang w:val="fr-CA"/>
        </w:rPr>
        <w:t>enrichissement injustifié n</w:t>
      </w:r>
      <w:r>
        <w:rPr>
          <w:rFonts w:cs="Times New Roman"/>
          <w:szCs w:val="24"/>
          <w:lang w:val="fr-CA"/>
        </w:rPr>
        <w:t>’</w:t>
      </w:r>
      <w:r w:rsidRPr="00954404">
        <w:rPr>
          <w:rFonts w:cs="Times New Roman"/>
          <w:szCs w:val="24"/>
          <w:lang w:val="fr-CA"/>
        </w:rPr>
        <w:t>est pas approprié s</w:t>
      </w:r>
      <w:r>
        <w:rPr>
          <w:rFonts w:cs="Times New Roman"/>
          <w:szCs w:val="24"/>
          <w:lang w:val="fr-CA"/>
        </w:rPr>
        <w:t>’</w:t>
      </w:r>
      <w:r w:rsidRPr="00954404">
        <w:rPr>
          <w:rFonts w:cs="Times New Roman"/>
          <w:szCs w:val="24"/>
          <w:lang w:val="fr-CA"/>
        </w:rPr>
        <w:t xml:space="preserve">il faut traiter les questions que soulève le caractère </w:t>
      </w:r>
      <w:r w:rsidRPr="00954404">
        <w:rPr>
          <w:rFonts w:cs="Times New Roman"/>
          <w:i/>
          <w:szCs w:val="24"/>
          <w:lang w:val="fr-CA"/>
        </w:rPr>
        <w:t>ultra vires</w:t>
      </w:r>
      <w:r w:rsidRPr="00954404">
        <w:rPr>
          <w:rFonts w:cs="Times New Roman"/>
          <w:szCs w:val="24"/>
          <w:lang w:val="fr-CA"/>
        </w:rPr>
        <w:t xml:space="preserve"> d</w:t>
      </w:r>
      <w:r>
        <w:rPr>
          <w:rFonts w:cs="Times New Roman"/>
          <w:szCs w:val="24"/>
          <w:lang w:val="fr-CA"/>
        </w:rPr>
        <w:t>’</w:t>
      </w:r>
      <w:r w:rsidRPr="00954404">
        <w:rPr>
          <w:rFonts w:cs="Times New Roman"/>
          <w:szCs w:val="24"/>
          <w:lang w:val="fr-CA"/>
        </w:rPr>
        <w:t>une mesure.  Toutefois,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 xml:space="preserve">Kingstreet </w:t>
      </w:r>
      <w:r w:rsidRPr="00954404">
        <w:rPr>
          <w:rFonts w:cs="Times New Roman"/>
          <w:szCs w:val="24"/>
          <w:lang w:val="fr-CA"/>
        </w:rPr>
        <w:t>n</w:t>
      </w:r>
      <w:r>
        <w:rPr>
          <w:rFonts w:cs="Times New Roman"/>
          <w:szCs w:val="24"/>
          <w:lang w:val="fr-CA"/>
        </w:rPr>
        <w:t>’</w:t>
      </w:r>
      <w:r w:rsidRPr="00954404">
        <w:rPr>
          <w:rFonts w:cs="Times New Roman"/>
          <w:szCs w:val="24"/>
          <w:lang w:val="fr-CA"/>
        </w:rPr>
        <w:t>écarte pas la possibilité d</w:t>
      </w:r>
      <w:r>
        <w:rPr>
          <w:rFonts w:cs="Times New Roman"/>
          <w:szCs w:val="24"/>
          <w:lang w:val="fr-CA"/>
        </w:rPr>
        <w:t>’</w:t>
      </w:r>
      <w:r w:rsidRPr="00954404">
        <w:rPr>
          <w:rFonts w:cs="Times New Roman"/>
          <w:szCs w:val="24"/>
          <w:lang w:val="fr-CA"/>
        </w:rPr>
        <w:t>une action en enrichissement injustifié dans d</w:t>
      </w:r>
      <w:r>
        <w:rPr>
          <w:rFonts w:cs="Times New Roman"/>
          <w:szCs w:val="24"/>
          <w:lang w:val="fr-CA"/>
        </w:rPr>
        <w:t>’</w:t>
      </w:r>
      <w:r w:rsidRPr="00954404">
        <w:rPr>
          <w:rFonts w:cs="Times New Roman"/>
          <w:szCs w:val="24"/>
          <w:lang w:val="fr-CA"/>
        </w:rPr>
        <w:t>autres circonstances.  En l</w:t>
      </w:r>
      <w:r>
        <w:rPr>
          <w:rFonts w:cs="Times New Roman"/>
          <w:szCs w:val="24"/>
          <w:lang w:val="fr-CA"/>
        </w:rPr>
        <w:t>’</w:t>
      </w:r>
      <w:r w:rsidRPr="00954404">
        <w:rPr>
          <w:rFonts w:cs="Times New Roman"/>
          <w:szCs w:val="24"/>
          <w:lang w:val="fr-CA"/>
        </w:rPr>
        <w:t>espèce, on ne réclame pas des taxes payées en vertu d</w:t>
      </w:r>
      <w:r>
        <w:rPr>
          <w:rFonts w:cs="Times New Roman"/>
          <w:szCs w:val="24"/>
          <w:lang w:val="fr-CA"/>
        </w:rPr>
        <w:t>’</w:t>
      </w:r>
      <w:r w:rsidRPr="00954404">
        <w:rPr>
          <w:rFonts w:cs="Times New Roman"/>
          <w:szCs w:val="24"/>
          <w:lang w:val="fr-CA"/>
        </w:rPr>
        <w:t xml:space="preserve">une loi </w:t>
      </w:r>
      <w:r w:rsidRPr="00954404">
        <w:rPr>
          <w:rFonts w:cs="Times New Roman"/>
          <w:i/>
          <w:szCs w:val="24"/>
          <w:lang w:val="fr-CA"/>
        </w:rPr>
        <w:t>ultra vires</w:t>
      </w:r>
      <w:r w:rsidRPr="00954404">
        <w:rPr>
          <w:rFonts w:cs="Times New Roman"/>
          <w:szCs w:val="24"/>
          <w:lang w:val="fr-CA"/>
        </w:rPr>
        <w:t>.  La décision de notre Cour dans l</w:t>
      </w:r>
      <w:r>
        <w:rPr>
          <w:rFonts w:cs="Times New Roman"/>
          <w:szCs w:val="24"/>
          <w:lang w:val="fr-CA"/>
        </w:rPr>
        <w:t>’</w:t>
      </w:r>
      <w:r w:rsidRPr="00954404">
        <w:rPr>
          <w:rFonts w:cs="Times New Roman"/>
          <w:szCs w:val="24"/>
          <w:lang w:val="fr-CA"/>
        </w:rPr>
        <w:t xml:space="preserve">arrêt </w:t>
      </w:r>
      <w:r w:rsidRPr="00954404">
        <w:rPr>
          <w:rFonts w:cs="Times New Roman"/>
          <w:i/>
          <w:szCs w:val="24"/>
          <w:lang w:val="fr-CA"/>
        </w:rPr>
        <w:t xml:space="preserve">Kingstreet </w:t>
      </w:r>
      <w:r w:rsidRPr="00954404">
        <w:rPr>
          <w:rFonts w:cs="Times New Roman"/>
          <w:szCs w:val="24"/>
          <w:lang w:val="fr-CA"/>
        </w:rPr>
        <w:t>ne fait donc pas obstacle à la demande.  Il y a lieu de permettre que la demande fasse l</w:t>
      </w:r>
      <w:r>
        <w:rPr>
          <w:rFonts w:cs="Times New Roman"/>
          <w:szCs w:val="24"/>
          <w:lang w:val="fr-CA"/>
        </w:rPr>
        <w:t>’</w:t>
      </w:r>
      <w:r w:rsidRPr="00954404">
        <w:rPr>
          <w:rFonts w:cs="Times New Roman"/>
          <w:szCs w:val="24"/>
          <w:lang w:val="fr-CA"/>
        </w:rPr>
        <w:t>objet d</w:t>
      </w:r>
      <w:r>
        <w:rPr>
          <w:rFonts w:cs="Times New Roman"/>
          <w:szCs w:val="24"/>
          <w:lang w:val="fr-CA"/>
        </w:rPr>
        <w:t>’</w:t>
      </w:r>
      <w:r w:rsidRPr="00954404">
        <w:rPr>
          <w:rFonts w:cs="Times New Roman"/>
          <w:szCs w:val="24"/>
          <w:lang w:val="fr-CA"/>
        </w:rPr>
        <w:t>un procès, et le bien</w:t>
      </w:r>
      <w:r>
        <w:rPr>
          <w:rFonts w:cs="Times New Roman"/>
          <w:szCs w:val="24"/>
          <w:lang w:val="fr-CA"/>
        </w:rPr>
        <w:noBreakHyphen/>
      </w:r>
      <w:r w:rsidRPr="00954404">
        <w:rPr>
          <w:rFonts w:cs="Times New Roman"/>
          <w:szCs w:val="24"/>
          <w:lang w:val="fr-CA"/>
        </w:rPr>
        <w:t>fondé de l</w:t>
      </w:r>
      <w:r>
        <w:rPr>
          <w:rFonts w:cs="Times New Roman"/>
          <w:szCs w:val="24"/>
          <w:lang w:val="fr-CA"/>
        </w:rPr>
        <w:t>’</w:t>
      </w:r>
      <w:r w:rsidRPr="00954404">
        <w:rPr>
          <w:rFonts w:cs="Times New Roman"/>
          <w:szCs w:val="24"/>
          <w:lang w:val="fr-CA"/>
        </w:rPr>
        <w:t>allégation d</w:t>
      </w:r>
      <w:r>
        <w:rPr>
          <w:rFonts w:cs="Times New Roman"/>
          <w:szCs w:val="24"/>
          <w:lang w:val="fr-CA"/>
        </w:rPr>
        <w:t>’</w:t>
      </w:r>
      <w:r w:rsidRPr="00954404">
        <w:rPr>
          <w:rFonts w:cs="Times New Roman"/>
          <w:szCs w:val="24"/>
          <w:lang w:val="fr-CA"/>
        </w:rPr>
        <w:t>enrichissement injustifié pourra y être examiné de façon plus approfondie en fonction de la preuve présentée.</w:t>
      </w:r>
    </w:p>
    <w:p w:rsidR="00466E7D" w:rsidRPr="00954404" w:rsidRDefault="00466E7D" w:rsidP="00466E7D">
      <w:pPr>
        <w:pStyle w:val="ParaNoNdepar-AltN"/>
        <w:rPr>
          <w:rFonts w:cs="Times New Roman"/>
          <w:szCs w:val="24"/>
          <w:lang w:val="fr-CA"/>
        </w:rPr>
      </w:pPr>
      <w:r w:rsidRPr="00954404">
        <w:rPr>
          <w:rFonts w:cs="Times New Roman"/>
          <w:szCs w:val="24"/>
          <w:lang w:val="fr-CA"/>
        </w:rPr>
        <w:t>Pour la question de savoir s</w:t>
      </w:r>
      <w:r>
        <w:rPr>
          <w:rFonts w:cs="Times New Roman"/>
          <w:szCs w:val="24"/>
          <w:lang w:val="fr-CA"/>
        </w:rPr>
        <w:t>’</w:t>
      </w:r>
      <w:r w:rsidRPr="00954404">
        <w:rPr>
          <w:rFonts w:cs="Times New Roman"/>
          <w:szCs w:val="24"/>
          <w:lang w:val="fr-CA"/>
        </w:rPr>
        <w:t>il existe un motif juridique, l</w:t>
      </w:r>
      <w:r>
        <w:rPr>
          <w:rFonts w:cs="Times New Roman"/>
          <w:szCs w:val="24"/>
          <w:lang w:val="fr-CA"/>
        </w:rPr>
        <w:t>’</w:t>
      </w:r>
      <w:r w:rsidRPr="00954404">
        <w:rPr>
          <w:rFonts w:cs="Times New Roman"/>
          <w:szCs w:val="24"/>
          <w:lang w:val="fr-CA"/>
        </w:rPr>
        <w:t>Alberta prétend que le règlement fixant le montant maximum des frais d</w:t>
      </w:r>
      <w:r>
        <w:rPr>
          <w:rFonts w:cs="Times New Roman"/>
          <w:szCs w:val="24"/>
          <w:lang w:val="fr-CA"/>
        </w:rPr>
        <w:t>’</w:t>
      </w:r>
      <w:r w:rsidRPr="00954404">
        <w:rPr>
          <w:rFonts w:cs="Times New Roman"/>
          <w:szCs w:val="24"/>
          <w:lang w:val="fr-CA"/>
        </w:rPr>
        <w:t xml:space="preserve">hébergement permis répond </w:t>
      </w:r>
      <w:r w:rsidRPr="00954404">
        <w:rPr>
          <w:rFonts w:cs="Times New Roman"/>
          <w:szCs w:val="24"/>
          <w:lang w:val="fr-CA"/>
        </w:rPr>
        <w:lastRenderedPageBreak/>
        <w:t>entièrement à toute demande de restitution.  Toutefois, la prétention selon laquelle le règlement est lui</w:t>
      </w:r>
      <w:r>
        <w:rPr>
          <w:rFonts w:cs="Times New Roman"/>
          <w:szCs w:val="24"/>
          <w:lang w:val="fr-CA"/>
        </w:rPr>
        <w:noBreakHyphen/>
      </w:r>
      <w:r w:rsidRPr="00954404">
        <w:rPr>
          <w:rFonts w:cs="Times New Roman"/>
          <w:szCs w:val="24"/>
          <w:lang w:val="fr-CA"/>
        </w:rPr>
        <w:t xml:space="preserve">même invalide est fondée sur la </w:t>
      </w:r>
      <w:r w:rsidRPr="00954404">
        <w:rPr>
          <w:rFonts w:cs="Times New Roman"/>
          <w:i/>
          <w:szCs w:val="24"/>
          <w:lang w:val="fr-CA"/>
        </w:rPr>
        <w:t>Charte</w:t>
      </w:r>
      <w:r w:rsidRPr="00954404">
        <w:rPr>
          <w:rFonts w:cs="Times New Roman"/>
          <w:szCs w:val="24"/>
          <w:lang w:val="fr-CA"/>
        </w:rPr>
        <w:t xml:space="preserve"> et assujettie aux réparations que prévoit la </w:t>
      </w:r>
      <w:r w:rsidRPr="00954404">
        <w:rPr>
          <w:rFonts w:cs="Times New Roman"/>
          <w:i/>
          <w:szCs w:val="24"/>
          <w:lang w:val="fr-CA"/>
        </w:rPr>
        <w:t>Charte</w:t>
      </w:r>
      <w:r w:rsidRPr="00954404">
        <w:rPr>
          <w:rFonts w:cs="Times New Roman"/>
          <w:szCs w:val="24"/>
          <w:lang w:val="fr-CA"/>
        </w:rPr>
        <w:t>.</w:t>
      </w:r>
    </w:p>
    <w:p w:rsidR="00466E7D" w:rsidRPr="00954404" w:rsidRDefault="00466E7D" w:rsidP="00466E7D">
      <w:pPr>
        <w:pStyle w:val="ParaNoNdepar-AltN"/>
        <w:rPr>
          <w:rFonts w:cs="Times New Roman"/>
          <w:szCs w:val="24"/>
          <w:lang w:val="fr-CA"/>
        </w:rPr>
      </w:pPr>
      <w:r w:rsidRPr="00954404">
        <w:rPr>
          <w:rFonts w:cs="Times New Roman"/>
          <w:szCs w:val="24"/>
          <w:lang w:val="fr-CA"/>
        </w:rPr>
        <w:t>L</w:t>
      </w:r>
      <w:r>
        <w:rPr>
          <w:rFonts w:cs="Times New Roman"/>
          <w:szCs w:val="24"/>
          <w:lang w:val="fr-CA"/>
        </w:rPr>
        <w:t>’</w:t>
      </w:r>
      <w:r w:rsidRPr="00954404">
        <w:rPr>
          <w:rFonts w:cs="Times New Roman"/>
          <w:szCs w:val="24"/>
          <w:lang w:val="fr-CA"/>
        </w:rPr>
        <w:t>Alberta prétend que la cause d</w:t>
      </w:r>
      <w:r>
        <w:rPr>
          <w:rFonts w:cs="Times New Roman"/>
          <w:szCs w:val="24"/>
          <w:lang w:val="fr-CA"/>
        </w:rPr>
        <w:t>’</w:t>
      </w:r>
      <w:r w:rsidRPr="00954404">
        <w:rPr>
          <w:rFonts w:cs="Times New Roman"/>
          <w:szCs w:val="24"/>
          <w:lang w:val="fr-CA"/>
        </w:rPr>
        <w:t>action pour enrichissement injustifié doit être rejetée parce qu</w:t>
      </w:r>
      <w:r>
        <w:rPr>
          <w:rFonts w:cs="Times New Roman"/>
          <w:szCs w:val="24"/>
          <w:lang w:val="fr-CA"/>
        </w:rPr>
        <w:t>’</w:t>
      </w:r>
      <w:r w:rsidRPr="00954404">
        <w:rPr>
          <w:rFonts w:cs="Times New Roman"/>
          <w:szCs w:val="24"/>
          <w:lang w:val="fr-CA"/>
        </w:rPr>
        <w:t>il existe un lien entre la perception et ce qu</w:t>
      </w:r>
      <w:r>
        <w:rPr>
          <w:rFonts w:cs="Times New Roman"/>
          <w:szCs w:val="24"/>
          <w:lang w:val="fr-CA"/>
        </w:rPr>
        <w:t>’</w:t>
      </w:r>
      <w:r w:rsidRPr="00954404">
        <w:rPr>
          <w:rFonts w:cs="Times New Roman"/>
          <w:szCs w:val="24"/>
          <w:lang w:val="fr-CA"/>
        </w:rPr>
        <w:t xml:space="preserve">il en coûte pour fournir les services ou les avantages.  La province prétend que les règlements applicables ne sont donc pas </w:t>
      </w:r>
      <w:r w:rsidRPr="00954404">
        <w:rPr>
          <w:rFonts w:cs="Times New Roman"/>
          <w:i/>
          <w:szCs w:val="24"/>
          <w:lang w:val="fr-CA"/>
        </w:rPr>
        <w:t>ultra vires</w:t>
      </w:r>
      <w:r w:rsidRPr="00954404">
        <w:rPr>
          <w:rFonts w:cs="Times New Roman"/>
          <w:szCs w:val="24"/>
          <w:lang w:val="fr-CA"/>
        </w:rPr>
        <w:t>.  Toutefois, le caractère suffisant du lien est une question de raisonnabilité</w:t>
      </w:r>
      <w:r>
        <w:rPr>
          <w:rFonts w:cs="Times New Roman"/>
          <w:szCs w:val="24"/>
          <w:lang w:val="fr-CA"/>
        </w:rPr>
        <w:t> :</w:t>
      </w:r>
      <w:r w:rsidRPr="00954404">
        <w:rPr>
          <w:rFonts w:cs="Times New Roman"/>
          <w:szCs w:val="24"/>
          <w:lang w:val="fr-CA"/>
        </w:rPr>
        <w:t xml:space="preserve"> voir </w:t>
      </w:r>
      <w:r w:rsidRPr="00954404">
        <w:rPr>
          <w:rFonts w:cs="Times New Roman"/>
          <w:i/>
          <w:szCs w:val="24"/>
          <w:lang w:val="fr-CA"/>
        </w:rPr>
        <w:t>620 Connaught Ltd. c. Canada (Procureur général)</w:t>
      </w:r>
      <w:r w:rsidRPr="00954404">
        <w:rPr>
          <w:rFonts w:cs="Times New Roman"/>
          <w:szCs w:val="24"/>
          <w:lang w:val="fr-CA"/>
        </w:rPr>
        <w:t xml:space="preserve">, 2008 CSC 7, [2008] 1 R.C.S. 131, </w:t>
      </w:r>
      <w:r>
        <w:rPr>
          <w:rFonts w:cs="Times New Roman"/>
          <w:szCs w:val="24"/>
          <w:lang w:val="fr-CA"/>
        </w:rPr>
        <w:t>par. </w:t>
      </w:r>
      <w:r w:rsidRPr="00954404">
        <w:rPr>
          <w:rFonts w:cs="Times New Roman"/>
          <w:szCs w:val="24"/>
          <w:lang w:val="fr-CA"/>
        </w:rPr>
        <w:t>19, le juge Rothstein au nom de la Cour.  Il convient mieux d</w:t>
      </w:r>
      <w:r>
        <w:rPr>
          <w:rFonts w:cs="Times New Roman"/>
          <w:szCs w:val="24"/>
          <w:lang w:val="fr-CA"/>
        </w:rPr>
        <w:t>’</w:t>
      </w:r>
      <w:r w:rsidRPr="00954404">
        <w:rPr>
          <w:rFonts w:cs="Times New Roman"/>
          <w:szCs w:val="24"/>
          <w:lang w:val="fr-CA"/>
        </w:rPr>
        <w:t>examiner cette question au procès plutôt que dans le cadre d</w:t>
      </w:r>
      <w:r>
        <w:rPr>
          <w:rFonts w:cs="Times New Roman"/>
          <w:szCs w:val="24"/>
          <w:lang w:val="fr-CA"/>
        </w:rPr>
        <w:t>’</w:t>
      </w:r>
      <w:r w:rsidRPr="00954404">
        <w:rPr>
          <w:rFonts w:cs="Times New Roman"/>
          <w:szCs w:val="24"/>
          <w:lang w:val="fr-CA"/>
        </w:rPr>
        <w:t>une requête en radiation.</w:t>
      </w:r>
    </w:p>
    <w:p w:rsidR="00466E7D" w:rsidRPr="00954404" w:rsidRDefault="00466E7D" w:rsidP="00466E7D">
      <w:pPr>
        <w:pStyle w:val="ParaNoNdepar-AltN"/>
        <w:rPr>
          <w:rFonts w:cs="Times New Roman"/>
          <w:szCs w:val="24"/>
          <w:lang w:val="fr-CA"/>
        </w:rPr>
      </w:pPr>
      <w:r w:rsidRPr="00954404">
        <w:rPr>
          <w:rFonts w:cs="Times New Roman"/>
          <w:szCs w:val="24"/>
          <w:lang w:val="fr-CA"/>
        </w:rPr>
        <w:t>Enfin, l</w:t>
      </w:r>
      <w:r>
        <w:rPr>
          <w:rFonts w:cs="Times New Roman"/>
          <w:szCs w:val="24"/>
          <w:lang w:val="fr-CA"/>
        </w:rPr>
        <w:t>’</w:t>
      </w:r>
      <w:r w:rsidRPr="00954404">
        <w:rPr>
          <w:rFonts w:cs="Times New Roman"/>
          <w:szCs w:val="24"/>
          <w:lang w:val="fr-CA"/>
        </w:rPr>
        <w:t>Alberta plaide que la réclamation pour enrichissement injustifié constitue simplement une autre façon d</w:t>
      </w:r>
      <w:r>
        <w:rPr>
          <w:rFonts w:cs="Times New Roman"/>
          <w:szCs w:val="24"/>
          <w:lang w:val="fr-CA"/>
        </w:rPr>
        <w:t>’</w:t>
      </w:r>
      <w:r w:rsidRPr="00954404">
        <w:rPr>
          <w:rFonts w:cs="Times New Roman"/>
          <w:szCs w:val="24"/>
          <w:lang w:val="fr-CA"/>
        </w:rPr>
        <w:t>invoquer le manquement à l</w:t>
      </w:r>
      <w:r>
        <w:rPr>
          <w:rFonts w:cs="Times New Roman"/>
          <w:szCs w:val="24"/>
          <w:lang w:val="fr-CA"/>
        </w:rPr>
        <w:t>’</w:t>
      </w:r>
      <w:r w:rsidRPr="00954404">
        <w:rPr>
          <w:rFonts w:cs="Times New Roman"/>
          <w:szCs w:val="24"/>
          <w:lang w:val="fr-CA"/>
        </w:rPr>
        <w:t>obligation fiduciaire et la négligence, et devrait donc être radiée.  Je ne puis accepter cet argument.  L</w:t>
      </w:r>
      <w:r>
        <w:rPr>
          <w:rFonts w:cs="Times New Roman"/>
          <w:szCs w:val="24"/>
          <w:lang w:val="fr-CA"/>
        </w:rPr>
        <w:t>’</w:t>
      </w:r>
      <w:r w:rsidRPr="00954404">
        <w:rPr>
          <w:rFonts w:cs="Times New Roman"/>
          <w:szCs w:val="24"/>
          <w:lang w:val="fr-CA"/>
        </w:rPr>
        <w:t>allégation d</w:t>
      </w:r>
      <w:r>
        <w:rPr>
          <w:rFonts w:cs="Times New Roman"/>
          <w:szCs w:val="24"/>
          <w:lang w:val="fr-CA"/>
        </w:rPr>
        <w:t>’</w:t>
      </w:r>
      <w:r w:rsidRPr="00954404">
        <w:rPr>
          <w:rFonts w:cs="Times New Roman"/>
          <w:szCs w:val="24"/>
          <w:lang w:val="fr-CA"/>
        </w:rPr>
        <w:t>enrichissement injustifié repose sur un fondement juridique différent des allégations de manquement à l</w:t>
      </w:r>
      <w:r>
        <w:rPr>
          <w:rFonts w:cs="Times New Roman"/>
          <w:szCs w:val="24"/>
          <w:lang w:val="fr-CA"/>
        </w:rPr>
        <w:t>’</w:t>
      </w:r>
      <w:r w:rsidRPr="00954404">
        <w:rPr>
          <w:rFonts w:cs="Times New Roman"/>
          <w:szCs w:val="24"/>
          <w:lang w:val="fr-CA"/>
        </w:rPr>
        <w:t>obligation fiduciaire ou de négligence et selon les principes de droit que nous venons d</w:t>
      </w:r>
      <w:r>
        <w:rPr>
          <w:rFonts w:cs="Times New Roman"/>
          <w:szCs w:val="24"/>
          <w:lang w:val="fr-CA"/>
        </w:rPr>
        <w:t>’</w:t>
      </w:r>
      <w:r w:rsidRPr="00954404">
        <w:rPr>
          <w:rFonts w:cs="Times New Roman"/>
          <w:szCs w:val="24"/>
          <w:lang w:val="fr-CA"/>
        </w:rPr>
        <w:t xml:space="preserve">examiner, elle devrait être conservée.  Je signale en outre que les restrictions énoncées dans </w:t>
      </w:r>
      <w:r w:rsidRPr="00954404">
        <w:rPr>
          <w:rFonts w:cs="Times New Roman"/>
          <w:i/>
          <w:szCs w:val="24"/>
          <w:lang w:val="fr-CA"/>
        </w:rPr>
        <w:t>Welbridge</w:t>
      </w:r>
      <w:r w:rsidRPr="00954404">
        <w:rPr>
          <w:rFonts w:cs="Times New Roman"/>
          <w:szCs w:val="24"/>
          <w:lang w:val="fr-CA"/>
        </w:rPr>
        <w:t xml:space="preserve"> en ce qui concerne les poursuites en responsabilité délictuelle contre les gouvernements (par opposition aux acteurs gouvernementaux) ne s</w:t>
      </w:r>
      <w:r>
        <w:rPr>
          <w:rFonts w:cs="Times New Roman"/>
          <w:szCs w:val="24"/>
          <w:lang w:val="fr-CA"/>
        </w:rPr>
        <w:t>’</w:t>
      </w:r>
      <w:r w:rsidRPr="00954404">
        <w:rPr>
          <w:rFonts w:cs="Times New Roman"/>
          <w:szCs w:val="24"/>
          <w:lang w:val="fr-CA"/>
        </w:rPr>
        <w:t>appliquent pas aux actions en restitution</w:t>
      </w:r>
      <w:r>
        <w:rPr>
          <w:rFonts w:cs="Times New Roman"/>
          <w:szCs w:val="24"/>
          <w:lang w:val="fr-CA"/>
        </w:rPr>
        <w:t> :</w:t>
      </w:r>
      <w:r w:rsidRPr="00954404">
        <w:rPr>
          <w:rFonts w:cs="Times New Roman"/>
          <w:szCs w:val="24"/>
          <w:lang w:val="fr-CA"/>
        </w:rPr>
        <w:t xml:space="preserve"> </w:t>
      </w:r>
      <w:r w:rsidRPr="00954404">
        <w:rPr>
          <w:rFonts w:cs="Times New Roman"/>
          <w:i/>
          <w:szCs w:val="24"/>
          <w:lang w:val="fr-CA"/>
        </w:rPr>
        <w:t>Peel (Municipalité régionale) c. Canada</w:t>
      </w:r>
      <w:r w:rsidRPr="00954404">
        <w:rPr>
          <w:rFonts w:cs="Times New Roman"/>
          <w:szCs w:val="24"/>
          <w:lang w:val="fr-CA"/>
        </w:rPr>
        <w:t>, [1992] 3 R.C.S. 762.</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En résumé, les demandeurs plaident les trois éléments de l</w:t>
      </w:r>
      <w:r>
        <w:rPr>
          <w:rFonts w:cs="Times New Roman"/>
          <w:szCs w:val="24"/>
          <w:lang w:val="fr-CA"/>
        </w:rPr>
        <w:t>’</w:t>
      </w:r>
      <w:r w:rsidRPr="00954404">
        <w:rPr>
          <w:rFonts w:cs="Times New Roman"/>
          <w:szCs w:val="24"/>
          <w:lang w:val="fr-CA"/>
        </w:rPr>
        <w:t>enrichissement injustifié — l</w:t>
      </w:r>
      <w:r>
        <w:rPr>
          <w:rFonts w:cs="Times New Roman"/>
          <w:szCs w:val="24"/>
          <w:lang w:val="fr-CA"/>
        </w:rPr>
        <w:t>’</w:t>
      </w:r>
      <w:r w:rsidRPr="00954404">
        <w:rPr>
          <w:rFonts w:cs="Times New Roman"/>
          <w:szCs w:val="24"/>
          <w:lang w:val="fr-CA"/>
        </w:rPr>
        <w:t>avantage, l</w:t>
      </w:r>
      <w:r>
        <w:rPr>
          <w:rFonts w:cs="Times New Roman"/>
          <w:szCs w:val="24"/>
          <w:lang w:val="fr-CA"/>
        </w:rPr>
        <w:t>’</w:t>
      </w:r>
      <w:r w:rsidRPr="00954404">
        <w:rPr>
          <w:rFonts w:cs="Times New Roman"/>
          <w:szCs w:val="24"/>
          <w:lang w:val="fr-CA"/>
        </w:rPr>
        <w:t>appauvrissement et l</w:t>
      </w:r>
      <w:r>
        <w:rPr>
          <w:rFonts w:cs="Times New Roman"/>
          <w:szCs w:val="24"/>
          <w:lang w:val="fr-CA"/>
        </w:rPr>
        <w:t>’</w:t>
      </w:r>
      <w:r w:rsidRPr="00954404">
        <w:rPr>
          <w:rFonts w:cs="Times New Roman"/>
          <w:szCs w:val="24"/>
          <w:lang w:val="fr-CA"/>
        </w:rPr>
        <w:t>absence de motifs juridiques justifiant l</w:t>
      </w:r>
      <w:r>
        <w:rPr>
          <w:rFonts w:cs="Times New Roman"/>
          <w:szCs w:val="24"/>
          <w:lang w:val="fr-CA"/>
        </w:rPr>
        <w:t>’</w:t>
      </w:r>
      <w:r w:rsidRPr="00954404">
        <w:rPr>
          <w:rFonts w:cs="Times New Roman"/>
          <w:szCs w:val="24"/>
          <w:lang w:val="fr-CA"/>
        </w:rPr>
        <w:t>appauvrissement.  Peu importe si la demande a des chances d</w:t>
      </w:r>
      <w:r>
        <w:rPr>
          <w:rFonts w:cs="Times New Roman"/>
          <w:szCs w:val="24"/>
          <w:lang w:val="fr-CA"/>
        </w:rPr>
        <w:t>’</w:t>
      </w:r>
      <w:r w:rsidRPr="00954404">
        <w:rPr>
          <w:rFonts w:cs="Times New Roman"/>
          <w:szCs w:val="24"/>
          <w:lang w:val="fr-CA"/>
        </w:rPr>
        <w:t>être accueillie ou non, il n</w:t>
      </w:r>
      <w:r>
        <w:rPr>
          <w:rFonts w:cs="Times New Roman"/>
          <w:szCs w:val="24"/>
          <w:lang w:val="fr-CA"/>
        </w:rPr>
        <w:t>’</w:t>
      </w:r>
      <w:r w:rsidRPr="00954404">
        <w:rPr>
          <w:rFonts w:cs="Times New Roman"/>
          <w:szCs w:val="24"/>
          <w:lang w:val="fr-CA"/>
        </w:rPr>
        <w:t>est pas clair et évident qu</w:t>
      </w:r>
      <w:r>
        <w:rPr>
          <w:rFonts w:cs="Times New Roman"/>
          <w:szCs w:val="24"/>
          <w:lang w:val="fr-CA"/>
        </w:rPr>
        <w:t>’</w:t>
      </w:r>
      <w:r w:rsidRPr="00954404">
        <w:rPr>
          <w:rFonts w:cs="Times New Roman"/>
          <w:szCs w:val="24"/>
          <w:lang w:val="fr-CA"/>
        </w:rPr>
        <w:t>elle ne révèle aucune cause d</w:t>
      </w:r>
      <w:r>
        <w:rPr>
          <w:rFonts w:cs="Times New Roman"/>
          <w:szCs w:val="24"/>
          <w:lang w:val="fr-CA"/>
        </w:rPr>
        <w:t>’</w:t>
      </w:r>
      <w:r w:rsidRPr="00954404">
        <w:rPr>
          <w:rFonts w:cs="Times New Roman"/>
          <w:szCs w:val="24"/>
          <w:lang w:val="fr-CA"/>
        </w:rPr>
        <w:t>action et il faudrait permettre qu</w:t>
      </w:r>
      <w:r>
        <w:rPr>
          <w:rFonts w:cs="Times New Roman"/>
          <w:szCs w:val="24"/>
          <w:lang w:val="fr-CA"/>
        </w:rPr>
        <w:t>’</w:t>
      </w:r>
      <w:r w:rsidRPr="00954404">
        <w:rPr>
          <w:rFonts w:cs="Times New Roman"/>
          <w:szCs w:val="24"/>
          <w:lang w:val="fr-CA"/>
        </w:rPr>
        <w:t>elle soit instruite.  Comme la juge de première instance l</w:t>
      </w:r>
      <w:r>
        <w:rPr>
          <w:rFonts w:cs="Times New Roman"/>
          <w:szCs w:val="24"/>
          <w:lang w:val="fr-CA"/>
        </w:rPr>
        <w:t>’</w:t>
      </w:r>
      <w:r w:rsidRPr="00954404">
        <w:rPr>
          <w:rFonts w:cs="Times New Roman"/>
          <w:szCs w:val="24"/>
          <w:lang w:val="fr-CA"/>
        </w:rPr>
        <w:t xml:space="preserve">a fait observer à juste titre au </w:t>
      </w:r>
      <w:r>
        <w:rPr>
          <w:rFonts w:cs="Times New Roman"/>
          <w:szCs w:val="24"/>
          <w:lang w:val="fr-CA"/>
        </w:rPr>
        <w:t>par. </w:t>
      </w:r>
      <w:r w:rsidRPr="00954404">
        <w:rPr>
          <w:rFonts w:cs="Times New Roman"/>
          <w:szCs w:val="24"/>
          <w:lang w:val="fr-CA"/>
        </w:rPr>
        <w:t>443</w:t>
      </w:r>
      <w:r>
        <w:rPr>
          <w:rFonts w:cs="Times New Roman"/>
          <w:szCs w:val="24"/>
          <w:lang w:val="fr-CA"/>
        </w:rPr>
        <w:t> :</w:t>
      </w:r>
    </w:p>
    <w:p w:rsidR="00466E7D" w:rsidRPr="00954404" w:rsidRDefault="00466E7D" w:rsidP="00466E7D">
      <w:pPr>
        <w:pStyle w:val="Citation-AltC"/>
        <w:ind w:hanging="1166"/>
        <w:contextualSpacing w:val="0"/>
        <w:rPr>
          <w:szCs w:val="24"/>
          <w:lang w:val="fr-CA"/>
        </w:rPr>
      </w:pPr>
      <w:r w:rsidRPr="00954404">
        <w:rPr>
          <w:szCs w:val="24"/>
          <w:lang w:val="fr-CA"/>
        </w:rPr>
        <w:tab/>
      </w:r>
      <w:r w:rsidRPr="00954404">
        <w:rPr>
          <w:szCs w:val="24"/>
          <w:lang w:val="fr-CA"/>
        </w:rPr>
        <w:tab/>
        <w:t>[</w:t>
      </w:r>
      <w:r w:rsidRPr="00954404">
        <w:rPr>
          <w:smallCaps/>
          <w:szCs w:val="24"/>
          <w:lang w:val="fr-CA"/>
        </w:rPr>
        <w:t>traduction</w:t>
      </w:r>
      <w:r w:rsidRPr="00954404">
        <w:rPr>
          <w:szCs w:val="24"/>
          <w:lang w:val="fr-CA"/>
        </w:rPr>
        <w:t>]  Je suis convaincue que la cause d</w:t>
      </w:r>
      <w:r>
        <w:rPr>
          <w:szCs w:val="24"/>
          <w:lang w:val="fr-CA"/>
        </w:rPr>
        <w:t>’</w:t>
      </w:r>
      <w:r w:rsidRPr="00954404">
        <w:rPr>
          <w:szCs w:val="24"/>
          <w:lang w:val="fr-CA"/>
        </w:rPr>
        <w:t>action fondée sur l</w:t>
      </w:r>
      <w:r>
        <w:rPr>
          <w:szCs w:val="24"/>
          <w:lang w:val="fr-CA"/>
        </w:rPr>
        <w:t>’</w:t>
      </w:r>
      <w:r w:rsidRPr="00954404">
        <w:rPr>
          <w:szCs w:val="24"/>
          <w:lang w:val="fr-CA"/>
        </w:rPr>
        <w:t>enrichissement injustifié ainsi que la demande de restitution ne sont pas vouées à l</w:t>
      </w:r>
      <w:r>
        <w:rPr>
          <w:szCs w:val="24"/>
          <w:lang w:val="fr-CA"/>
        </w:rPr>
        <w:t>’</w:t>
      </w:r>
      <w:r w:rsidRPr="00954404">
        <w:rPr>
          <w:szCs w:val="24"/>
          <w:lang w:val="fr-CA"/>
        </w:rPr>
        <w:t xml:space="preserve">échec; elles sont plutôt analytiquement défendables, </w:t>
      </w:r>
      <w:r w:rsidRPr="00954404">
        <w:rPr>
          <w:i/>
          <w:iCs/>
          <w:szCs w:val="24"/>
          <w:lang w:val="fr-CA"/>
        </w:rPr>
        <w:t>bien que</w:t>
      </w:r>
      <w:r w:rsidRPr="00954404">
        <w:rPr>
          <w:szCs w:val="24"/>
          <w:lang w:val="fr-CA"/>
        </w:rPr>
        <w:t xml:space="preserve"> novatrices, voire discutables.  Je ne saurais affirmer qu</w:t>
      </w:r>
      <w:r>
        <w:rPr>
          <w:szCs w:val="24"/>
          <w:lang w:val="fr-CA"/>
        </w:rPr>
        <w:t>’</w:t>
      </w:r>
      <w:r w:rsidRPr="00954404">
        <w:rPr>
          <w:szCs w:val="24"/>
          <w:lang w:val="fr-CA"/>
        </w:rPr>
        <w:t>il est « évident et manifeste » qu</w:t>
      </w:r>
      <w:r>
        <w:rPr>
          <w:szCs w:val="24"/>
          <w:lang w:val="fr-CA"/>
        </w:rPr>
        <w:t>’</w:t>
      </w:r>
      <w:r w:rsidRPr="00954404">
        <w:rPr>
          <w:szCs w:val="24"/>
          <w:lang w:val="fr-CA"/>
        </w:rPr>
        <w:t>il n</w:t>
      </w:r>
      <w:r>
        <w:rPr>
          <w:szCs w:val="24"/>
          <w:lang w:val="fr-CA"/>
        </w:rPr>
        <w:t>’</w:t>
      </w:r>
      <w:r w:rsidRPr="00954404">
        <w:rPr>
          <w:szCs w:val="24"/>
          <w:lang w:val="fr-CA"/>
        </w:rPr>
        <w:t>y a lieu à aucune réclamation, ni que les allégations ne révèlent aucune cause d</w:t>
      </w:r>
      <w:r>
        <w:rPr>
          <w:szCs w:val="24"/>
          <w:lang w:val="fr-CA"/>
        </w:rPr>
        <w:t>’</w:t>
      </w:r>
      <w:r w:rsidRPr="00954404">
        <w:rPr>
          <w:szCs w:val="24"/>
          <w:lang w:val="fr-CA"/>
        </w:rPr>
        <w:t>action fondée sur l</w:t>
      </w:r>
      <w:r>
        <w:rPr>
          <w:szCs w:val="24"/>
          <w:lang w:val="fr-CA"/>
        </w:rPr>
        <w:t>’</w:t>
      </w:r>
      <w:r w:rsidRPr="00954404">
        <w:rPr>
          <w:szCs w:val="24"/>
          <w:lang w:val="fr-CA"/>
        </w:rPr>
        <w:t>enrichissement injustifié qui pourrait être accueillie.</w:t>
      </w:r>
      <w:r w:rsidR="00E148A7">
        <w:rPr>
          <w:szCs w:val="24"/>
          <w:lang w:val="fr-CA"/>
        </w:rPr>
        <w:t xml:space="preserve"> [En italique dans l’original.]</w:t>
      </w:r>
    </w:p>
    <w:p w:rsidR="00466E7D" w:rsidRPr="00954404" w:rsidRDefault="00466E7D" w:rsidP="00466E7D">
      <w:pPr>
        <w:pStyle w:val="ParaNoNdepar-AltN"/>
        <w:rPr>
          <w:rFonts w:cs="Times New Roman"/>
          <w:szCs w:val="24"/>
          <w:lang w:val="fr-CA"/>
        </w:rPr>
      </w:pPr>
      <w:r w:rsidRPr="00954404">
        <w:rPr>
          <w:rFonts w:cs="Times New Roman"/>
          <w:szCs w:val="24"/>
          <w:lang w:val="fr-CA"/>
        </w:rPr>
        <w:t>Je suis d</w:t>
      </w:r>
      <w:r>
        <w:rPr>
          <w:rFonts w:cs="Times New Roman"/>
          <w:szCs w:val="24"/>
          <w:lang w:val="fr-CA"/>
        </w:rPr>
        <w:t>’</w:t>
      </w:r>
      <w:r w:rsidRPr="00954404">
        <w:rPr>
          <w:rFonts w:cs="Times New Roman"/>
          <w:szCs w:val="24"/>
          <w:lang w:val="fr-CA"/>
        </w:rPr>
        <w:t>avis que l</w:t>
      </w:r>
      <w:r>
        <w:rPr>
          <w:rFonts w:cs="Times New Roman"/>
          <w:szCs w:val="24"/>
          <w:lang w:val="fr-CA"/>
        </w:rPr>
        <w:t>’</w:t>
      </w:r>
      <w:r w:rsidRPr="00954404">
        <w:rPr>
          <w:rFonts w:cs="Times New Roman"/>
          <w:szCs w:val="24"/>
          <w:lang w:val="fr-CA"/>
        </w:rPr>
        <w:t>allégation d</w:t>
      </w:r>
      <w:r>
        <w:rPr>
          <w:rFonts w:cs="Times New Roman"/>
          <w:szCs w:val="24"/>
          <w:lang w:val="fr-CA"/>
        </w:rPr>
        <w:t>’</w:t>
      </w:r>
      <w:r w:rsidRPr="00954404">
        <w:rPr>
          <w:rFonts w:cs="Times New Roman"/>
          <w:szCs w:val="24"/>
          <w:lang w:val="fr-CA"/>
        </w:rPr>
        <w:t>enrichissement injustifié peut être instruite.</w:t>
      </w:r>
    </w:p>
    <w:p w:rsidR="00466E7D" w:rsidRPr="00954404" w:rsidRDefault="00466E7D" w:rsidP="00466E7D">
      <w:pPr>
        <w:pStyle w:val="TitleTitre-AltT"/>
        <w:keepNext/>
        <w:spacing w:after="720"/>
        <w:rPr>
          <w:rFonts w:cs="Times New Roman"/>
          <w:szCs w:val="24"/>
          <w:lang w:val="fr-CA"/>
        </w:rPr>
      </w:pPr>
      <w:r w:rsidRPr="00954404">
        <w:rPr>
          <w:rFonts w:cs="Times New Roman"/>
          <w:szCs w:val="24"/>
          <w:lang w:val="fr-CA"/>
        </w:rPr>
        <w:t>E.</w:t>
      </w:r>
      <w:r w:rsidRPr="00954404">
        <w:rPr>
          <w:rFonts w:cs="Times New Roman"/>
          <w:szCs w:val="24"/>
          <w:lang w:val="fr-CA"/>
        </w:rPr>
        <w:tab/>
      </w:r>
      <w:r w:rsidRPr="00954404">
        <w:rPr>
          <w:rFonts w:cs="Times New Roman"/>
          <w:i/>
          <w:szCs w:val="24"/>
          <w:lang w:val="fr-CA"/>
        </w:rPr>
        <w:t>L</w:t>
      </w:r>
      <w:r>
        <w:rPr>
          <w:rFonts w:cs="Times New Roman"/>
          <w:i/>
          <w:szCs w:val="24"/>
          <w:lang w:val="fr-CA"/>
        </w:rPr>
        <w:t>’</w:t>
      </w:r>
      <w:r w:rsidRPr="00954404">
        <w:rPr>
          <w:rFonts w:cs="Times New Roman"/>
          <w:i/>
          <w:szCs w:val="24"/>
          <w:lang w:val="fr-CA"/>
        </w:rPr>
        <w:t xml:space="preserve">allégation de discrimination fondée sur le </w:t>
      </w:r>
      <w:r>
        <w:rPr>
          <w:rFonts w:cs="Times New Roman"/>
          <w:i/>
          <w:szCs w:val="24"/>
          <w:lang w:val="fr-CA"/>
        </w:rPr>
        <w:t>par. </w:t>
      </w:r>
      <w:r w:rsidRPr="00954404">
        <w:rPr>
          <w:rFonts w:cs="Times New Roman"/>
          <w:i/>
          <w:szCs w:val="24"/>
          <w:lang w:val="fr-CA"/>
        </w:rPr>
        <w:t>15(1)</w:t>
      </w:r>
    </w:p>
    <w:p w:rsidR="00466E7D" w:rsidRPr="00954404" w:rsidRDefault="00466E7D" w:rsidP="00466E7D">
      <w:pPr>
        <w:pStyle w:val="ParaNoNdepar-AltN"/>
        <w:rPr>
          <w:rFonts w:cs="Times New Roman"/>
          <w:szCs w:val="24"/>
          <w:lang w:val="fr-CA"/>
        </w:rPr>
      </w:pPr>
      <w:r w:rsidRPr="00954404">
        <w:rPr>
          <w:rFonts w:cs="Times New Roman"/>
          <w:szCs w:val="24"/>
          <w:lang w:val="fr-CA"/>
        </w:rPr>
        <w:t>Les demandeurs font valoir que l</w:t>
      </w:r>
      <w:r>
        <w:rPr>
          <w:rFonts w:cs="Times New Roman"/>
          <w:szCs w:val="24"/>
          <w:lang w:val="fr-CA"/>
        </w:rPr>
        <w:t>’</w:t>
      </w:r>
      <w:r w:rsidRPr="00954404">
        <w:rPr>
          <w:rFonts w:cs="Times New Roman"/>
          <w:szCs w:val="24"/>
          <w:lang w:val="fr-CA"/>
        </w:rPr>
        <w:t xml:space="preserve">obligation faite aux membres du groupe de payer les frais de soins de santé contrevient au </w:t>
      </w:r>
      <w:r>
        <w:rPr>
          <w:rFonts w:cs="Times New Roman"/>
          <w:szCs w:val="24"/>
          <w:lang w:val="fr-CA"/>
        </w:rPr>
        <w:t>par. </w:t>
      </w:r>
      <w:r w:rsidRPr="00954404">
        <w:rPr>
          <w:rFonts w:cs="Times New Roman"/>
          <w:szCs w:val="24"/>
          <w:lang w:val="fr-CA"/>
        </w:rPr>
        <w:t xml:space="preserve">15(1) de la </w:t>
      </w:r>
      <w:r w:rsidRPr="00954404">
        <w:rPr>
          <w:rFonts w:cs="Times New Roman"/>
          <w:i/>
          <w:szCs w:val="24"/>
          <w:lang w:val="fr-CA"/>
        </w:rPr>
        <w:t>Charte</w:t>
      </w:r>
      <w:r w:rsidRPr="00954404">
        <w:rPr>
          <w:rFonts w:cs="Times New Roman"/>
          <w:szCs w:val="24"/>
          <w:lang w:val="fr-CA"/>
        </w:rPr>
        <w:t>.  Ils affirment que les frais ont été imposés uniquement sur le fondement de l</w:t>
      </w:r>
      <w:r>
        <w:rPr>
          <w:rFonts w:cs="Times New Roman"/>
          <w:szCs w:val="24"/>
          <w:lang w:val="fr-CA"/>
        </w:rPr>
        <w:t>’</w:t>
      </w:r>
      <w:r w:rsidRPr="00954404">
        <w:rPr>
          <w:rFonts w:cs="Times New Roman"/>
          <w:szCs w:val="24"/>
          <w:lang w:val="fr-CA"/>
        </w:rPr>
        <w:t>âge, de l</w:t>
      </w:r>
      <w:r>
        <w:rPr>
          <w:rFonts w:cs="Times New Roman"/>
          <w:szCs w:val="24"/>
          <w:lang w:val="fr-CA"/>
        </w:rPr>
        <w:t>’</w:t>
      </w:r>
      <w:r w:rsidRPr="00954404">
        <w:rPr>
          <w:rFonts w:cs="Times New Roman"/>
          <w:szCs w:val="24"/>
          <w:lang w:val="fr-CA"/>
        </w:rPr>
        <w:t>incapacité mentale et de la déficience physique des membres du groupe, ou d</w:t>
      </w:r>
      <w:r>
        <w:rPr>
          <w:rFonts w:cs="Times New Roman"/>
          <w:szCs w:val="24"/>
          <w:lang w:val="fr-CA"/>
        </w:rPr>
        <w:t>’</w:t>
      </w:r>
      <w:r w:rsidRPr="00954404">
        <w:rPr>
          <w:rFonts w:cs="Times New Roman"/>
          <w:szCs w:val="24"/>
          <w:lang w:val="fr-CA"/>
        </w:rPr>
        <w:t>une combinaison de ces facteurs, et que la violation de leur droit à l</w:t>
      </w:r>
      <w:r>
        <w:rPr>
          <w:rFonts w:cs="Times New Roman"/>
          <w:szCs w:val="24"/>
          <w:lang w:val="fr-CA"/>
        </w:rPr>
        <w:t>’</w:t>
      </w:r>
      <w:r w:rsidRPr="00954404">
        <w:rPr>
          <w:rFonts w:cs="Times New Roman"/>
          <w:szCs w:val="24"/>
          <w:lang w:val="fr-CA"/>
        </w:rPr>
        <w:t>égalité ne peut se justifier au regard de l</w:t>
      </w:r>
      <w:r>
        <w:rPr>
          <w:rFonts w:cs="Times New Roman"/>
          <w:szCs w:val="24"/>
          <w:lang w:val="fr-CA"/>
        </w:rPr>
        <w:t>’</w:t>
      </w:r>
      <w:r w:rsidRPr="00954404">
        <w:rPr>
          <w:rFonts w:cs="Times New Roman"/>
          <w:szCs w:val="24"/>
          <w:lang w:val="fr-CA"/>
        </w:rPr>
        <w:t xml:space="preserve">article premier de la </w:t>
      </w:r>
      <w:r w:rsidRPr="00954404">
        <w:rPr>
          <w:rFonts w:cs="Times New Roman"/>
          <w:i/>
          <w:szCs w:val="24"/>
          <w:lang w:val="fr-CA"/>
        </w:rPr>
        <w:t>Charte</w:t>
      </w:r>
      <w:r w:rsidRPr="00954404">
        <w:rPr>
          <w:rFonts w:cs="Times New Roman"/>
          <w:szCs w:val="24"/>
          <w:lang w:val="fr-CA"/>
        </w:rPr>
        <w:t xml:space="preserve">.  Ils cherchent à obtenir le </w:t>
      </w:r>
      <w:r w:rsidRPr="00954404">
        <w:rPr>
          <w:rFonts w:cs="Times New Roman"/>
          <w:szCs w:val="24"/>
          <w:lang w:val="fr-CA"/>
        </w:rPr>
        <w:lastRenderedPageBreak/>
        <w:t>remboursement des frais d</w:t>
      </w:r>
      <w:r>
        <w:rPr>
          <w:rFonts w:cs="Times New Roman"/>
          <w:szCs w:val="24"/>
          <w:lang w:val="fr-CA"/>
        </w:rPr>
        <w:t>’</w:t>
      </w:r>
      <w:r w:rsidRPr="00954404">
        <w:rPr>
          <w:rFonts w:cs="Times New Roman"/>
          <w:szCs w:val="24"/>
          <w:lang w:val="fr-CA"/>
        </w:rPr>
        <w:t>hébergement ainsi que des dommages</w:t>
      </w:r>
      <w:r>
        <w:rPr>
          <w:rFonts w:cs="Times New Roman"/>
          <w:szCs w:val="24"/>
          <w:lang w:val="fr-CA"/>
        </w:rPr>
        <w:noBreakHyphen/>
      </w:r>
      <w:r w:rsidRPr="00954404">
        <w:rPr>
          <w:rFonts w:cs="Times New Roman"/>
          <w:szCs w:val="24"/>
          <w:lang w:val="fr-CA"/>
        </w:rPr>
        <w:t xml:space="preserve">intérêts sur le fondement du </w:t>
      </w:r>
      <w:r>
        <w:rPr>
          <w:rFonts w:cs="Times New Roman"/>
          <w:szCs w:val="24"/>
          <w:lang w:val="fr-CA"/>
        </w:rPr>
        <w:t>par. </w:t>
      </w:r>
      <w:r w:rsidRPr="00954404">
        <w:rPr>
          <w:rFonts w:cs="Times New Roman"/>
          <w:szCs w:val="24"/>
          <w:lang w:val="fr-CA"/>
        </w:rPr>
        <w:t xml:space="preserve">24(1) de la </w:t>
      </w:r>
      <w:r w:rsidRPr="00954404">
        <w:rPr>
          <w:rFonts w:cs="Times New Roman"/>
          <w:i/>
          <w:szCs w:val="24"/>
          <w:lang w:val="fr-CA"/>
        </w:rPr>
        <w:t>Charte</w:t>
      </w:r>
      <w:r w:rsidRPr="00954404">
        <w:rPr>
          <w:rFonts w:cs="Times New Roman"/>
          <w:szCs w:val="24"/>
          <w:lang w:val="fr-CA"/>
        </w:rPr>
        <w:t xml:space="preserve"> et sollicitent un jugement déclarant que les dispositions susmentionnées sont inopérantes dans la mesure où elles sont incompatibles avec le </w:t>
      </w:r>
      <w:r>
        <w:rPr>
          <w:rFonts w:cs="Times New Roman"/>
          <w:szCs w:val="24"/>
          <w:lang w:val="fr-CA"/>
        </w:rPr>
        <w:t>par. </w:t>
      </w:r>
      <w:r w:rsidRPr="00954404">
        <w:rPr>
          <w:rFonts w:cs="Times New Roman"/>
          <w:szCs w:val="24"/>
          <w:lang w:val="fr-CA"/>
        </w:rPr>
        <w:t>15(1).</w:t>
      </w:r>
    </w:p>
    <w:p w:rsidR="00466E7D" w:rsidRPr="00954404" w:rsidRDefault="00466E7D" w:rsidP="00466E7D">
      <w:pPr>
        <w:pStyle w:val="ParaNoNdepar-AltN"/>
        <w:rPr>
          <w:rFonts w:cs="Times New Roman"/>
          <w:szCs w:val="24"/>
          <w:lang w:val="fr-CA"/>
        </w:rPr>
      </w:pPr>
      <w:r w:rsidRPr="00954404">
        <w:rPr>
          <w:rFonts w:cs="Times New Roman"/>
          <w:szCs w:val="24"/>
          <w:lang w:val="fr-CA"/>
        </w:rPr>
        <w:t xml:space="preserve">Je crois comprendre que la province ne conteste pas directement la réparation sollicitée sur le fondement du </w:t>
      </w:r>
      <w:r>
        <w:rPr>
          <w:rFonts w:cs="Times New Roman"/>
          <w:szCs w:val="24"/>
          <w:lang w:val="fr-CA"/>
        </w:rPr>
        <w:t>par. </w:t>
      </w:r>
      <w:r w:rsidRPr="00954404">
        <w:rPr>
          <w:rFonts w:cs="Times New Roman"/>
          <w:szCs w:val="24"/>
          <w:lang w:val="fr-CA"/>
        </w:rPr>
        <w:t>15(1).  Bien que la province prétende qu</w:t>
      </w:r>
      <w:r>
        <w:rPr>
          <w:rFonts w:cs="Times New Roman"/>
          <w:szCs w:val="24"/>
          <w:lang w:val="fr-CA"/>
        </w:rPr>
        <w:t>’</w:t>
      </w:r>
      <w:r w:rsidRPr="00954404">
        <w:rPr>
          <w:rFonts w:cs="Times New Roman"/>
          <w:szCs w:val="24"/>
          <w:lang w:val="fr-CA"/>
        </w:rPr>
        <w:t>un recours collectif n</w:t>
      </w:r>
      <w:r>
        <w:rPr>
          <w:rFonts w:cs="Times New Roman"/>
          <w:szCs w:val="24"/>
          <w:lang w:val="fr-CA"/>
        </w:rPr>
        <w:t>’</w:t>
      </w:r>
      <w:r w:rsidRPr="00954404">
        <w:rPr>
          <w:rFonts w:cs="Times New Roman"/>
          <w:szCs w:val="24"/>
          <w:lang w:val="fr-CA"/>
        </w:rPr>
        <w:t xml:space="preserve">est pas la meilleure façon de procéder pour invoquer la </w:t>
      </w:r>
      <w:r w:rsidRPr="00954404">
        <w:rPr>
          <w:rFonts w:cs="Times New Roman"/>
          <w:i/>
          <w:szCs w:val="24"/>
          <w:lang w:val="fr-CA"/>
        </w:rPr>
        <w:t>Charte</w:t>
      </w:r>
      <w:r w:rsidRPr="00954404">
        <w:rPr>
          <w:rFonts w:cs="Times New Roman"/>
          <w:szCs w:val="24"/>
          <w:lang w:val="fr-CA"/>
        </w:rPr>
        <w:t xml:space="preserve"> ou demander une réparation fondée sur la </w:t>
      </w:r>
      <w:r w:rsidRPr="00954404">
        <w:rPr>
          <w:rFonts w:cs="Times New Roman"/>
          <w:i/>
          <w:szCs w:val="24"/>
          <w:lang w:val="fr-CA"/>
        </w:rPr>
        <w:t>Charte</w:t>
      </w:r>
      <w:r w:rsidRPr="00954404">
        <w:rPr>
          <w:rFonts w:cs="Times New Roman"/>
          <w:szCs w:val="24"/>
          <w:lang w:val="fr-CA"/>
        </w:rPr>
        <w:t>, la province ne demande pas la radiation de l</w:t>
      </w:r>
      <w:r>
        <w:rPr>
          <w:rFonts w:cs="Times New Roman"/>
          <w:szCs w:val="24"/>
          <w:lang w:val="fr-CA"/>
        </w:rPr>
        <w:t>’</w:t>
      </w:r>
      <w:r w:rsidRPr="00954404">
        <w:rPr>
          <w:rFonts w:cs="Times New Roman"/>
          <w:szCs w:val="24"/>
          <w:lang w:val="fr-CA"/>
        </w:rPr>
        <w:t>allégation de discrimination elle</w:t>
      </w:r>
      <w:r>
        <w:rPr>
          <w:rFonts w:cs="Times New Roman"/>
          <w:szCs w:val="24"/>
          <w:lang w:val="fr-CA"/>
        </w:rPr>
        <w:noBreakHyphen/>
      </w:r>
      <w:r w:rsidRPr="00954404">
        <w:rPr>
          <w:rFonts w:cs="Times New Roman"/>
          <w:szCs w:val="24"/>
          <w:lang w:val="fr-CA"/>
        </w:rPr>
        <w:t>même; elle nous demande plutôt d</w:t>
      </w:r>
      <w:r>
        <w:rPr>
          <w:rFonts w:cs="Times New Roman"/>
          <w:szCs w:val="24"/>
          <w:lang w:val="fr-CA"/>
        </w:rPr>
        <w:t>’</w:t>
      </w:r>
      <w:r w:rsidRPr="00954404">
        <w:rPr>
          <w:rFonts w:cs="Times New Roman"/>
          <w:szCs w:val="24"/>
          <w:lang w:val="fr-CA"/>
        </w:rPr>
        <w:t>ordonner aux demandeurs de présenter leur demande sous une autre forme.  Compte tenu de mes autres conclusions, en particulier le maintien de l</w:t>
      </w:r>
      <w:r>
        <w:rPr>
          <w:rFonts w:cs="Times New Roman"/>
          <w:szCs w:val="24"/>
          <w:lang w:val="fr-CA"/>
        </w:rPr>
        <w:t>’</w:t>
      </w:r>
      <w:r w:rsidRPr="00954404">
        <w:rPr>
          <w:rFonts w:cs="Times New Roman"/>
          <w:szCs w:val="24"/>
          <w:lang w:val="fr-CA"/>
        </w:rPr>
        <w:t>allégation d</w:t>
      </w:r>
      <w:r>
        <w:rPr>
          <w:rFonts w:cs="Times New Roman"/>
          <w:szCs w:val="24"/>
          <w:lang w:val="fr-CA"/>
        </w:rPr>
        <w:t>’</w:t>
      </w:r>
      <w:r w:rsidRPr="00954404">
        <w:rPr>
          <w:rFonts w:cs="Times New Roman"/>
          <w:szCs w:val="24"/>
          <w:lang w:val="fr-CA"/>
        </w:rPr>
        <w:t>enrichissement injustifié, et sans commenter sur le bien</w:t>
      </w:r>
      <w:r>
        <w:rPr>
          <w:rFonts w:cs="Times New Roman"/>
          <w:szCs w:val="24"/>
          <w:lang w:val="fr-CA"/>
        </w:rPr>
        <w:noBreakHyphen/>
      </w:r>
      <w:r w:rsidRPr="00954404">
        <w:rPr>
          <w:rFonts w:cs="Times New Roman"/>
          <w:szCs w:val="24"/>
          <w:lang w:val="fr-CA"/>
        </w:rPr>
        <w:t>fondé de l</w:t>
      </w:r>
      <w:r>
        <w:rPr>
          <w:rFonts w:cs="Times New Roman"/>
          <w:szCs w:val="24"/>
          <w:lang w:val="fr-CA"/>
        </w:rPr>
        <w:t>’</w:t>
      </w:r>
      <w:r w:rsidRPr="00954404">
        <w:rPr>
          <w:rFonts w:cs="Times New Roman"/>
          <w:szCs w:val="24"/>
          <w:lang w:val="fr-CA"/>
        </w:rPr>
        <w:t>allégation fondée sur l</w:t>
      </w:r>
      <w:r>
        <w:rPr>
          <w:rFonts w:cs="Times New Roman"/>
          <w:szCs w:val="24"/>
          <w:lang w:val="fr-CA"/>
        </w:rPr>
        <w:t>’art. </w:t>
      </w:r>
      <w:r w:rsidRPr="00954404">
        <w:rPr>
          <w:rFonts w:cs="Times New Roman"/>
          <w:szCs w:val="24"/>
          <w:lang w:val="fr-CA"/>
        </w:rPr>
        <w:t>15, je suis d</w:t>
      </w:r>
      <w:r>
        <w:rPr>
          <w:rFonts w:cs="Times New Roman"/>
          <w:szCs w:val="24"/>
          <w:lang w:val="fr-CA"/>
        </w:rPr>
        <w:t>’</w:t>
      </w:r>
      <w:r w:rsidRPr="00954404">
        <w:rPr>
          <w:rFonts w:cs="Times New Roman"/>
          <w:szCs w:val="24"/>
          <w:lang w:val="fr-CA"/>
        </w:rPr>
        <w:t>avis de permettre que cette allégation soit examinée dans le cadre du recours collectif.</w:t>
      </w:r>
    </w:p>
    <w:p w:rsidR="00466E7D" w:rsidRPr="00954404" w:rsidRDefault="00466E7D" w:rsidP="00466E7D">
      <w:pPr>
        <w:pStyle w:val="TitleTitre-AltT"/>
        <w:keepNext/>
        <w:spacing w:after="720"/>
        <w:rPr>
          <w:rFonts w:cs="Times New Roman"/>
          <w:szCs w:val="24"/>
          <w:lang w:val="fr-CA"/>
        </w:rPr>
      </w:pPr>
      <w:r w:rsidRPr="00954404">
        <w:rPr>
          <w:rFonts w:cs="Times New Roman"/>
          <w:szCs w:val="24"/>
          <w:lang w:val="fr-CA"/>
        </w:rPr>
        <w:t>F.</w:t>
      </w:r>
      <w:r w:rsidRPr="00954404">
        <w:rPr>
          <w:rFonts w:cs="Times New Roman"/>
          <w:szCs w:val="24"/>
          <w:lang w:val="fr-CA"/>
        </w:rPr>
        <w:tab/>
      </w:r>
      <w:r w:rsidRPr="00954404">
        <w:rPr>
          <w:rFonts w:cs="Times New Roman"/>
          <w:i/>
          <w:szCs w:val="24"/>
          <w:lang w:val="fr-CA"/>
        </w:rPr>
        <w:t>Le recours doit</w:t>
      </w:r>
      <w:r>
        <w:rPr>
          <w:rFonts w:cs="Times New Roman"/>
          <w:i/>
          <w:szCs w:val="24"/>
          <w:lang w:val="fr-CA"/>
        </w:rPr>
        <w:noBreakHyphen/>
      </w:r>
      <w:r w:rsidRPr="00954404">
        <w:rPr>
          <w:rFonts w:cs="Times New Roman"/>
          <w:i/>
          <w:szCs w:val="24"/>
          <w:lang w:val="fr-CA"/>
        </w:rPr>
        <w:t>il être annulé?</w:t>
      </w:r>
    </w:p>
    <w:p w:rsidR="00466E7D" w:rsidRPr="00954404" w:rsidRDefault="00466E7D" w:rsidP="00466E7D">
      <w:pPr>
        <w:pStyle w:val="ParaNoNdepar-AltN"/>
        <w:rPr>
          <w:rFonts w:cs="Times New Roman"/>
          <w:szCs w:val="24"/>
          <w:lang w:val="fr-CA"/>
        </w:rPr>
      </w:pPr>
      <w:r w:rsidRPr="00954404">
        <w:rPr>
          <w:rFonts w:cs="Times New Roman"/>
          <w:szCs w:val="24"/>
          <w:lang w:val="fr-CA"/>
        </w:rPr>
        <w:t>Bien que les allégations d</w:t>
      </w:r>
      <w:r>
        <w:rPr>
          <w:rFonts w:cs="Times New Roman"/>
          <w:szCs w:val="24"/>
          <w:lang w:val="fr-CA"/>
        </w:rPr>
        <w:t>’</w:t>
      </w:r>
      <w:r w:rsidRPr="00954404">
        <w:rPr>
          <w:rFonts w:cs="Times New Roman"/>
          <w:szCs w:val="24"/>
          <w:lang w:val="fr-CA"/>
        </w:rPr>
        <w:t>enrichissement injustifié et de violation du par</w:t>
      </w:r>
      <w:r w:rsidR="00FA285D">
        <w:rPr>
          <w:rFonts w:cs="Times New Roman"/>
          <w:szCs w:val="24"/>
          <w:lang w:val="fr-CA"/>
        </w:rPr>
        <w:t>.</w:t>
      </w:r>
      <w:r w:rsidRPr="00954404">
        <w:rPr>
          <w:rFonts w:cs="Times New Roman"/>
          <w:szCs w:val="24"/>
          <w:lang w:val="fr-CA"/>
        </w:rPr>
        <w:t xml:space="preserve"> 15(1) de la </w:t>
      </w:r>
      <w:r w:rsidRPr="00954404">
        <w:rPr>
          <w:rFonts w:cs="Times New Roman"/>
          <w:i/>
          <w:szCs w:val="24"/>
          <w:lang w:val="fr-CA"/>
        </w:rPr>
        <w:t>Charte</w:t>
      </w:r>
      <w:r w:rsidRPr="00954404">
        <w:rPr>
          <w:rFonts w:cs="Times New Roman"/>
          <w:szCs w:val="24"/>
          <w:lang w:val="fr-CA"/>
        </w:rPr>
        <w:t xml:space="preserve"> subsistent, l</w:t>
      </w:r>
      <w:r>
        <w:rPr>
          <w:rFonts w:cs="Times New Roman"/>
          <w:szCs w:val="24"/>
          <w:lang w:val="fr-CA"/>
        </w:rPr>
        <w:t>’</w:t>
      </w:r>
      <w:r w:rsidRPr="00954404">
        <w:rPr>
          <w:rFonts w:cs="Times New Roman"/>
          <w:szCs w:val="24"/>
          <w:lang w:val="fr-CA"/>
        </w:rPr>
        <w:t>Alberta prétend que le recours doit être annulé parce qu</w:t>
      </w:r>
      <w:r>
        <w:rPr>
          <w:rFonts w:cs="Times New Roman"/>
          <w:szCs w:val="24"/>
          <w:lang w:val="fr-CA"/>
        </w:rPr>
        <w:t>’</w:t>
      </w:r>
      <w:r w:rsidRPr="00954404">
        <w:rPr>
          <w:rFonts w:cs="Times New Roman"/>
          <w:szCs w:val="24"/>
          <w:lang w:val="fr-CA"/>
        </w:rPr>
        <w:t>un recours collectif n</w:t>
      </w:r>
      <w:r>
        <w:rPr>
          <w:rFonts w:cs="Times New Roman"/>
          <w:szCs w:val="24"/>
          <w:lang w:val="fr-CA"/>
        </w:rPr>
        <w:t>’</w:t>
      </w:r>
      <w:r w:rsidRPr="00954404">
        <w:rPr>
          <w:rFonts w:cs="Times New Roman"/>
          <w:szCs w:val="24"/>
          <w:lang w:val="fr-CA"/>
        </w:rPr>
        <w:t>est pas la procédure qui convient le mieux.  L</w:t>
      </w:r>
      <w:r>
        <w:rPr>
          <w:rFonts w:cs="Times New Roman"/>
          <w:szCs w:val="24"/>
          <w:lang w:val="fr-CA"/>
        </w:rPr>
        <w:t>’</w:t>
      </w:r>
      <w:r w:rsidRPr="00954404">
        <w:rPr>
          <w:rFonts w:cs="Times New Roman"/>
          <w:szCs w:val="24"/>
          <w:lang w:val="fr-CA"/>
        </w:rPr>
        <w:t>Alberta prétend qu</w:t>
      </w:r>
      <w:r>
        <w:rPr>
          <w:rFonts w:cs="Times New Roman"/>
          <w:szCs w:val="24"/>
          <w:lang w:val="fr-CA"/>
        </w:rPr>
        <w:t>’</w:t>
      </w:r>
      <w:r w:rsidRPr="00954404">
        <w:rPr>
          <w:rFonts w:cs="Times New Roman"/>
          <w:szCs w:val="24"/>
          <w:lang w:val="fr-CA"/>
        </w:rPr>
        <w:t xml:space="preserve">un examen des coûts devrait être effectué pour chacun des membres du groupe afin de déterminer si des frais particuliers réclamés à des résidents de certains </w:t>
      </w:r>
      <w:r w:rsidRPr="00954404">
        <w:rPr>
          <w:rFonts w:cs="Times New Roman"/>
          <w:szCs w:val="24"/>
          <w:lang w:val="fr-CA"/>
        </w:rPr>
        <w:lastRenderedPageBreak/>
        <w:t xml:space="preserve">ESLD ne </w:t>
      </w:r>
      <w:r w:rsidRPr="00954404">
        <w:rPr>
          <w:rStyle w:val="ssl2"/>
          <w:rFonts w:cs="Times New Roman"/>
          <w:szCs w:val="24"/>
          <w:lang w:val="fr-CA"/>
        </w:rPr>
        <w:t>reflétaient pas les coûts réels de l</w:t>
      </w:r>
      <w:r>
        <w:rPr>
          <w:rStyle w:val="ssl2"/>
          <w:rFonts w:cs="Times New Roman"/>
          <w:szCs w:val="24"/>
          <w:lang w:val="fr-CA"/>
        </w:rPr>
        <w:t>’</w:t>
      </w:r>
      <w:r w:rsidRPr="00954404">
        <w:rPr>
          <w:rStyle w:val="ssl2"/>
          <w:rFonts w:cs="Times New Roman"/>
          <w:szCs w:val="24"/>
          <w:lang w:val="fr-CA"/>
        </w:rPr>
        <w:t>hébergement et des repas</w:t>
      </w:r>
      <w:r w:rsidRPr="00954404">
        <w:rPr>
          <w:rFonts w:cs="Times New Roman"/>
          <w:szCs w:val="24"/>
          <w:lang w:val="fr-CA"/>
        </w:rPr>
        <w:t>.  L</w:t>
      </w:r>
      <w:r>
        <w:rPr>
          <w:rFonts w:cs="Times New Roman"/>
          <w:szCs w:val="24"/>
          <w:lang w:val="fr-CA"/>
        </w:rPr>
        <w:t>’</w:t>
      </w:r>
      <w:r w:rsidRPr="00954404">
        <w:rPr>
          <w:rFonts w:cs="Times New Roman"/>
          <w:szCs w:val="24"/>
          <w:lang w:val="fr-CA"/>
        </w:rPr>
        <w:t>Alberta prétend que les frais varient selon l</w:t>
      </w:r>
      <w:r>
        <w:rPr>
          <w:rFonts w:cs="Times New Roman"/>
          <w:szCs w:val="24"/>
          <w:lang w:val="fr-CA"/>
        </w:rPr>
        <w:t>’</w:t>
      </w:r>
      <w:r w:rsidRPr="00954404">
        <w:rPr>
          <w:rFonts w:cs="Times New Roman"/>
          <w:szCs w:val="24"/>
          <w:lang w:val="fr-CA"/>
        </w:rPr>
        <w:t>époque, les régions, l</w:t>
      </w:r>
      <w:r>
        <w:rPr>
          <w:rFonts w:cs="Times New Roman"/>
          <w:szCs w:val="24"/>
          <w:lang w:val="fr-CA"/>
        </w:rPr>
        <w:t>’</w:t>
      </w:r>
      <w:r w:rsidRPr="00954404">
        <w:rPr>
          <w:rFonts w:cs="Times New Roman"/>
          <w:szCs w:val="24"/>
          <w:lang w:val="fr-CA"/>
        </w:rPr>
        <w:t>exploitant et le résident et, selon la thèse des demandeurs, aucun tort n</w:t>
      </w:r>
      <w:r>
        <w:rPr>
          <w:rFonts w:cs="Times New Roman"/>
          <w:szCs w:val="24"/>
          <w:lang w:val="fr-CA"/>
        </w:rPr>
        <w:t>’</w:t>
      </w:r>
      <w:r w:rsidRPr="00954404">
        <w:rPr>
          <w:rFonts w:cs="Times New Roman"/>
          <w:szCs w:val="24"/>
          <w:lang w:val="fr-CA"/>
        </w:rPr>
        <w:t>a été causé sauf s</w:t>
      </w:r>
      <w:r>
        <w:rPr>
          <w:rFonts w:cs="Times New Roman"/>
          <w:szCs w:val="24"/>
          <w:lang w:val="fr-CA"/>
        </w:rPr>
        <w:t>’</w:t>
      </w:r>
      <w:r w:rsidRPr="00954404">
        <w:rPr>
          <w:rFonts w:cs="Times New Roman"/>
          <w:szCs w:val="24"/>
          <w:lang w:val="fr-CA"/>
        </w:rPr>
        <w:t>il peut être démontré que les coûts de l</w:t>
      </w:r>
      <w:r>
        <w:rPr>
          <w:rFonts w:cs="Times New Roman"/>
          <w:szCs w:val="24"/>
          <w:lang w:val="fr-CA"/>
        </w:rPr>
        <w:t>’</w:t>
      </w:r>
      <w:r w:rsidRPr="00954404">
        <w:rPr>
          <w:rFonts w:cs="Times New Roman"/>
          <w:szCs w:val="24"/>
          <w:lang w:val="fr-CA"/>
        </w:rPr>
        <w:t>hébergement et des repas pour un pensionnaire donné ne reflétaient pas les coûts réels de la prestation de ces services.</w:t>
      </w:r>
    </w:p>
    <w:p w:rsidR="00466E7D" w:rsidRPr="00954404" w:rsidRDefault="00466E7D" w:rsidP="00466E7D">
      <w:pPr>
        <w:pStyle w:val="ParaNoNdepar-AltN"/>
        <w:rPr>
          <w:rFonts w:cs="Times New Roman"/>
          <w:szCs w:val="24"/>
          <w:lang w:val="fr-CA"/>
        </w:rPr>
      </w:pPr>
      <w:r w:rsidRPr="00954404">
        <w:rPr>
          <w:rFonts w:cs="Times New Roman"/>
          <w:szCs w:val="24"/>
          <w:lang w:val="fr-CA"/>
        </w:rPr>
        <w:t>Je suis d</w:t>
      </w:r>
      <w:r>
        <w:rPr>
          <w:rFonts w:cs="Times New Roman"/>
          <w:szCs w:val="24"/>
          <w:lang w:val="fr-CA"/>
        </w:rPr>
        <w:t>’</w:t>
      </w:r>
      <w:r w:rsidRPr="00954404">
        <w:rPr>
          <w:rFonts w:cs="Times New Roman"/>
          <w:szCs w:val="24"/>
          <w:lang w:val="fr-CA"/>
        </w:rPr>
        <w:t>avis de rejeter l</w:t>
      </w:r>
      <w:r>
        <w:rPr>
          <w:rFonts w:cs="Times New Roman"/>
          <w:szCs w:val="24"/>
          <w:lang w:val="fr-CA"/>
        </w:rPr>
        <w:t>’</w:t>
      </w:r>
      <w:r w:rsidRPr="00954404">
        <w:rPr>
          <w:rFonts w:cs="Times New Roman"/>
          <w:szCs w:val="24"/>
          <w:lang w:val="fr-CA"/>
        </w:rPr>
        <w:t>argument de l</w:t>
      </w:r>
      <w:r>
        <w:rPr>
          <w:rFonts w:cs="Times New Roman"/>
          <w:szCs w:val="24"/>
          <w:lang w:val="fr-CA"/>
        </w:rPr>
        <w:t>’</w:t>
      </w:r>
      <w:r w:rsidRPr="00954404">
        <w:rPr>
          <w:rFonts w:cs="Times New Roman"/>
          <w:szCs w:val="24"/>
          <w:lang w:val="fr-CA"/>
        </w:rPr>
        <w:t>Alberta.  Les questions communes autorisées par la juge en première instance portaient sur la question de savoir si les frais d</w:t>
      </w:r>
      <w:r>
        <w:rPr>
          <w:rFonts w:cs="Times New Roman"/>
          <w:szCs w:val="24"/>
          <w:lang w:val="fr-CA"/>
        </w:rPr>
        <w:t>’</w:t>
      </w:r>
      <w:r w:rsidRPr="00954404">
        <w:rPr>
          <w:rFonts w:cs="Times New Roman"/>
          <w:szCs w:val="24"/>
          <w:lang w:val="fr-CA"/>
        </w:rPr>
        <w:t xml:space="preserve">hébergement, </w:t>
      </w:r>
      <w:r w:rsidRPr="00FA285D">
        <w:rPr>
          <w:rFonts w:cs="Times New Roman"/>
          <w:i/>
          <w:szCs w:val="24"/>
          <w:lang w:val="fr-CA"/>
        </w:rPr>
        <w:t>à titre de pratique appliquée dans l’ensemble du groupe</w:t>
      </w:r>
      <w:r w:rsidRPr="00954404">
        <w:rPr>
          <w:rFonts w:cs="Times New Roman"/>
          <w:szCs w:val="24"/>
          <w:lang w:val="fr-CA"/>
        </w:rPr>
        <w:t>, ont occasionné un enrichissement injustifié.  L</w:t>
      </w:r>
      <w:r>
        <w:rPr>
          <w:rFonts w:cs="Times New Roman"/>
          <w:szCs w:val="24"/>
          <w:lang w:val="fr-CA"/>
        </w:rPr>
        <w:t>’</w:t>
      </w:r>
      <w:r w:rsidRPr="00954404">
        <w:rPr>
          <w:rFonts w:cs="Times New Roman"/>
          <w:szCs w:val="24"/>
          <w:lang w:val="fr-CA"/>
        </w:rPr>
        <w:t>allégation, telle que formulée, n</w:t>
      </w:r>
      <w:r>
        <w:rPr>
          <w:rFonts w:cs="Times New Roman"/>
          <w:szCs w:val="24"/>
          <w:lang w:val="fr-CA"/>
        </w:rPr>
        <w:t>’</w:t>
      </w:r>
      <w:r w:rsidRPr="00954404">
        <w:rPr>
          <w:rFonts w:cs="Times New Roman"/>
          <w:szCs w:val="24"/>
          <w:lang w:val="fr-CA"/>
        </w:rPr>
        <w:t>exige pas que l</w:t>
      </w:r>
      <w:r>
        <w:rPr>
          <w:rFonts w:cs="Times New Roman"/>
          <w:szCs w:val="24"/>
          <w:lang w:val="fr-CA"/>
        </w:rPr>
        <w:t>’</w:t>
      </w:r>
      <w:r w:rsidRPr="00954404">
        <w:rPr>
          <w:rFonts w:cs="Times New Roman"/>
          <w:szCs w:val="24"/>
          <w:lang w:val="fr-CA"/>
        </w:rPr>
        <w:t>on apprécie individuellement le lien entre des frais d</w:t>
      </w:r>
      <w:r>
        <w:rPr>
          <w:rFonts w:cs="Times New Roman"/>
          <w:szCs w:val="24"/>
          <w:lang w:val="fr-CA"/>
        </w:rPr>
        <w:t>’</w:t>
      </w:r>
      <w:r w:rsidRPr="00954404">
        <w:rPr>
          <w:rFonts w:cs="Times New Roman"/>
          <w:szCs w:val="24"/>
          <w:lang w:val="fr-CA"/>
        </w:rPr>
        <w:t xml:space="preserve">hébergement et de repas </w:t>
      </w:r>
      <w:r w:rsidRPr="00FA285D">
        <w:rPr>
          <w:rFonts w:cs="Times New Roman"/>
          <w:i/>
          <w:szCs w:val="24"/>
          <w:lang w:val="fr-CA"/>
        </w:rPr>
        <w:t>précis</w:t>
      </w:r>
      <w:r w:rsidRPr="00954404">
        <w:rPr>
          <w:rFonts w:cs="Times New Roman"/>
          <w:szCs w:val="24"/>
          <w:lang w:val="fr-CA"/>
        </w:rPr>
        <w:t xml:space="preserve"> pour qu</w:t>
      </w:r>
      <w:r>
        <w:rPr>
          <w:rFonts w:cs="Times New Roman"/>
          <w:szCs w:val="24"/>
          <w:lang w:val="fr-CA"/>
        </w:rPr>
        <w:t>’</w:t>
      </w:r>
      <w:r w:rsidRPr="00954404">
        <w:rPr>
          <w:rFonts w:cs="Times New Roman"/>
          <w:szCs w:val="24"/>
          <w:lang w:val="fr-CA"/>
        </w:rPr>
        <w:t xml:space="preserve">il soit possible de conclure à une quelconque responsabilité envers le groupe.  La </w:t>
      </w:r>
      <w:r w:rsidRPr="00954404">
        <w:rPr>
          <w:rFonts w:cs="Times New Roman"/>
          <w:i/>
          <w:szCs w:val="24"/>
          <w:lang w:val="fr-CA"/>
        </w:rPr>
        <w:t>Class Proceedings Act</w:t>
      </w:r>
      <w:r w:rsidRPr="00954404">
        <w:rPr>
          <w:rFonts w:cs="Times New Roman"/>
          <w:szCs w:val="24"/>
          <w:lang w:val="fr-CA"/>
        </w:rPr>
        <w:t xml:space="preserve"> prévoit, en matière de réparation, suffisamment de souplesse — grâce à l</w:t>
      </w:r>
      <w:r>
        <w:rPr>
          <w:rFonts w:cs="Times New Roman"/>
          <w:szCs w:val="24"/>
          <w:lang w:val="fr-CA"/>
        </w:rPr>
        <w:t>’</w:t>
      </w:r>
      <w:r w:rsidRPr="00954404">
        <w:rPr>
          <w:rFonts w:cs="Times New Roman"/>
          <w:szCs w:val="24"/>
          <w:lang w:val="fr-CA"/>
        </w:rPr>
        <w:t>évaluation globale des dommages (</w:t>
      </w:r>
      <w:r>
        <w:rPr>
          <w:rFonts w:cs="Times New Roman"/>
          <w:szCs w:val="24"/>
          <w:lang w:val="fr-CA"/>
        </w:rPr>
        <w:t>art. </w:t>
      </w:r>
      <w:r w:rsidRPr="00954404">
        <w:rPr>
          <w:rFonts w:cs="Times New Roman"/>
          <w:szCs w:val="24"/>
          <w:lang w:val="fr-CA"/>
        </w:rPr>
        <w:t>30</w:t>
      </w:r>
      <w:r>
        <w:rPr>
          <w:rFonts w:cs="Times New Roman"/>
          <w:szCs w:val="24"/>
          <w:lang w:val="fr-CA"/>
        </w:rPr>
        <w:noBreakHyphen/>
      </w:r>
      <w:r w:rsidRPr="00954404">
        <w:rPr>
          <w:rFonts w:cs="Times New Roman"/>
          <w:szCs w:val="24"/>
          <w:lang w:val="fr-CA"/>
        </w:rPr>
        <w:t>33) — pour régler tout problème éventuel dans l</w:t>
      </w:r>
      <w:r>
        <w:rPr>
          <w:rFonts w:cs="Times New Roman"/>
          <w:szCs w:val="24"/>
          <w:lang w:val="fr-CA"/>
        </w:rPr>
        <w:t>’</w:t>
      </w:r>
      <w:r w:rsidRPr="00954404">
        <w:rPr>
          <w:rFonts w:cs="Times New Roman"/>
          <w:szCs w:val="24"/>
          <w:lang w:val="fr-CA"/>
        </w:rPr>
        <w:t>appréciation, l</w:t>
      </w:r>
      <w:r>
        <w:rPr>
          <w:rFonts w:cs="Times New Roman"/>
          <w:szCs w:val="24"/>
          <w:lang w:val="fr-CA"/>
        </w:rPr>
        <w:t>’</w:t>
      </w:r>
      <w:r w:rsidRPr="00954404">
        <w:rPr>
          <w:rFonts w:cs="Times New Roman"/>
          <w:szCs w:val="24"/>
          <w:lang w:val="fr-CA"/>
        </w:rPr>
        <w:t>octroi et la répartition des dommages</w:t>
      </w:r>
      <w:r>
        <w:rPr>
          <w:rFonts w:cs="Times New Roman"/>
          <w:szCs w:val="24"/>
          <w:lang w:val="fr-CA"/>
        </w:rPr>
        <w:noBreakHyphen/>
      </w:r>
      <w:r w:rsidRPr="00954404">
        <w:rPr>
          <w:rFonts w:cs="Times New Roman"/>
          <w:szCs w:val="24"/>
          <w:lang w:val="fr-CA"/>
        </w:rPr>
        <w:t xml:space="preserve">intérêts. </w:t>
      </w:r>
    </w:p>
    <w:p w:rsidR="00466E7D" w:rsidRPr="00954404" w:rsidRDefault="00466E7D" w:rsidP="00466E7D">
      <w:pPr>
        <w:pStyle w:val="ParaNoNdepar-AltN"/>
        <w:rPr>
          <w:rFonts w:cs="Times New Roman"/>
          <w:szCs w:val="24"/>
          <w:lang w:val="fr-CA"/>
        </w:rPr>
      </w:pPr>
      <w:r w:rsidRPr="00954404">
        <w:rPr>
          <w:rFonts w:cs="Times New Roman"/>
          <w:szCs w:val="24"/>
          <w:lang w:val="fr-CA"/>
        </w:rPr>
        <w:t>Pour ces motifs, je conclus qu</w:t>
      </w:r>
      <w:r>
        <w:rPr>
          <w:rFonts w:cs="Times New Roman"/>
          <w:szCs w:val="24"/>
          <w:lang w:val="fr-CA"/>
        </w:rPr>
        <w:t>’</w:t>
      </w:r>
      <w:r w:rsidRPr="00954404">
        <w:rPr>
          <w:rFonts w:cs="Times New Roman"/>
          <w:szCs w:val="24"/>
          <w:lang w:val="fr-CA"/>
        </w:rPr>
        <w:t>un recours collectif demeure la meilleure procédure et je refuse d</w:t>
      </w:r>
      <w:r>
        <w:rPr>
          <w:rFonts w:cs="Times New Roman"/>
          <w:szCs w:val="24"/>
          <w:lang w:val="fr-CA"/>
        </w:rPr>
        <w:t>’</w:t>
      </w:r>
      <w:r w:rsidRPr="00954404">
        <w:rPr>
          <w:rFonts w:cs="Times New Roman"/>
          <w:szCs w:val="24"/>
          <w:lang w:val="fr-CA"/>
        </w:rPr>
        <w:t>annuler le recours.</w:t>
      </w:r>
    </w:p>
    <w:p w:rsidR="00466E7D" w:rsidRPr="00FA285D" w:rsidRDefault="00FA285D" w:rsidP="00FA285D">
      <w:pPr>
        <w:pStyle w:val="TitleTitre-AltT"/>
        <w:tabs>
          <w:tab w:val="clear" w:pos="360"/>
        </w:tabs>
        <w:spacing w:after="720"/>
        <w:ind w:left="0" w:firstLine="0"/>
        <w:rPr>
          <w:rFonts w:cs="Times New Roman"/>
          <w:szCs w:val="24"/>
          <w:lang w:val="fr-CA"/>
        </w:rPr>
      </w:pPr>
      <w:r>
        <w:rPr>
          <w:rFonts w:cs="Times New Roman"/>
          <w:szCs w:val="24"/>
          <w:lang w:val="fr-CA"/>
        </w:rPr>
        <w:t>IV.</w:t>
      </w:r>
      <w:r>
        <w:rPr>
          <w:rFonts w:cs="Times New Roman"/>
          <w:szCs w:val="24"/>
          <w:lang w:val="fr-CA"/>
        </w:rPr>
        <w:tab/>
      </w:r>
      <w:r w:rsidR="00466E7D" w:rsidRPr="00FA285D">
        <w:rPr>
          <w:rFonts w:cs="Times New Roman"/>
          <w:szCs w:val="24"/>
          <w:u w:val="single"/>
          <w:lang w:val="fr-CA"/>
        </w:rPr>
        <w:t>Conclusion</w:t>
      </w:r>
    </w:p>
    <w:p w:rsidR="00466E7D" w:rsidRPr="00954404" w:rsidRDefault="00466E7D" w:rsidP="00466E7D">
      <w:pPr>
        <w:pStyle w:val="ParaNoNdepar-AltN"/>
        <w:rPr>
          <w:rFonts w:cs="Times New Roman"/>
          <w:szCs w:val="24"/>
          <w:lang w:val="fr-CA"/>
        </w:rPr>
      </w:pPr>
      <w:r w:rsidRPr="00954404">
        <w:rPr>
          <w:rFonts w:cs="Times New Roman"/>
          <w:szCs w:val="24"/>
          <w:lang w:val="fr-CA"/>
        </w:rPr>
        <w:lastRenderedPageBreak/>
        <w:t>Compte tenu de ce qui précède, je suis d</w:t>
      </w:r>
      <w:r>
        <w:rPr>
          <w:rFonts w:cs="Times New Roman"/>
          <w:szCs w:val="24"/>
          <w:lang w:val="fr-CA"/>
        </w:rPr>
        <w:t>’</w:t>
      </w:r>
      <w:r w:rsidRPr="00954404">
        <w:rPr>
          <w:rFonts w:cs="Times New Roman"/>
          <w:szCs w:val="24"/>
          <w:lang w:val="fr-CA"/>
        </w:rPr>
        <w:t>avis d</w:t>
      </w:r>
      <w:r>
        <w:rPr>
          <w:rFonts w:cs="Times New Roman"/>
          <w:szCs w:val="24"/>
          <w:lang w:val="fr-CA"/>
        </w:rPr>
        <w:t>’</w:t>
      </w:r>
      <w:r w:rsidRPr="00954404">
        <w:rPr>
          <w:rFonts w:cs="Times New Roman"/>
          <w:szCs w:val="24"/>
          <w:lang w:val="fr-CA"/>
        </w:rPr>
        <w:t>accueillir le pourvoi en partie et de radier les allégations relatives au manquement à l</w:t>
      </w:r>
      <w:r>
        <w:rPr>
          <w:rFonts w:cs="Times New Roman"/>
          <w:szCs w:val="24"/>
          <w:lang w:val="fr-CA"/>
        </w:rPr>
        <w:t>’</w:t>
      </w:r>
      <w:r w:rsidRPr="00954404">
        <w:rPr>
          <w:rFonts w:cs="Times New Roman"/>
          <w:szCs w:val="24"/>
          <w:lang w:val="fr-CA"/>
        </w:rPr>
        <w:t>obligation fiduciaire, à la négligence et à la mauvaise foi.  Sans les approuver, je laisserais telles quelles l</w:t>
      </w:r>
      <w:r>
        <w:rPr>
          <w:rFonts w:cs="Times New Roman"/>
          <w:szCs w:val="24"/>
          <w:lang w:val="fr-CA"/>
        </w:rPr>
        <w:t>’</w:t>
      </w:r>
      <w:r w:rsidRPr="00954404">
        <w:rPr>
          <w:rFonts w:cs="Times New Roman"/>
          <w:szCs w:val="24"/>
          <w:lang w:val="fr-CA"/>
        </w:rPr>
        <w:t xml:space="preserve">allégation relative à la discrimination fondée sur le </w:t>
      </w:r>
      <w:r>
        <w:rPr>
          <w:rFonts w:cs="Times New Roman"/>
          <w:szCs w:val="24"/>
          <w:lang w:val="fr-CA"/>
        </w:rPr>
        <w:t>par. </w:t>
      </w:r>
      <w:r w:rsidRPr="00954404">
        <w:rPr>
          <w:rFonts w:cs="Times New Roman"/>
          <w:szCs w:val="24"/>
          <w:lang w:val="fr-CA"/>
        </w:rPr>
        <w:t xml:space="preserve">15(1) de la </w:t>
      </w:r>
      <w:r w:rsidRPr="00954404">
        <w:rPr>
          <w:rFonts w:cs="Times New Roman"/>
          <w:i/>
          <w:szCs w:val="24"/>
          <w:lang w:val="fr-CA"/>
        </w:rPr>
        <w:t>Charte</w:t>
      </w:r>
      <w:r w:rsidRPr="00954404">
        <w:rPr>
          <w:rFonts w:cs="Times New Roman"/>
          <w:szCs w:val="24"/>
          <w:lang w:val="fr-CA"/>
        </w:rPr>
        <w:t xml:space="preserve"> et l</w:t>
      </w:r>
      <w:r>
        <w:rPr>
          <w:rFonts w:cs="Times New Roman"/>
          <w:szCs w:val="24"/>
          <w:lang w:val="fr-CA"/>
        </w:rPr>
        <w:t>’</w:t>
      </w:r>
      <w:r w:rsidRPr="00954404">
        <w:rPr>
          <w:rFonts w:cs="Times New Roman"/>
          <w:szCs w:val="24"/>
          <w:lang w:val="fr-CA"/>
        </w:rPr>
        <w:t>allégation relative à l</w:t>
      </w:r>
      <w:r>
        <w:rPr>
          <w:rFonts w:cs="Times New Roman"/>
          <w:szCs w:val="24"/>
          <w:lang w:val="fr-CA"/>
        </w:rPr>
        <w:t>’</w:t>
      </w:r>
      <w:r w:rsidRPr="00954404">
        <w:rPr>
          <w:rFonts w:cs="Times New Roman"/>
          <w:szCs w:val="24"/>
          <w:lang w:val="fr-CA"/>
        </w:rPr>
        <w:t>enrichissement injustifié, ainsi que toute autre allégation qui n</w:t>
      </w:r>
      <w:r>
        <w:rPr>
          <w:rFonts w:cs="Times New Roman"/>
          <w:szCs w:val="24"/>
          <w:lang w:val="fr-CA"/>
        </w:rPr>
        <w:t>’</w:t>
      </w:r>
      <w:r w:rsidRPr="00954404">
        <w:rPr>
          <w:rFonts w:cs="Times New Roman"/>
          <w:szCs w:val="24"/>
          <w:lang w:val="fr-CA"/>
        </w:rPr>
        <w:t>a pas été radiée par les tribunaux inférieurs et n</w:t>
      </w:r>
      <w:r>
        <w:rPr>
          <w:rFonts w:cs="Times New Roman"/>
          <w:szCs w:val="24"/>
          <w:lang w:val="fr-CA"/>
        </w:rPr>
        <w:t>’</w:t>
      </w:r>
      <w:r w:rsidRPr="00954404">
        <w:rPr>
          <w:rFonts w:cs="Times New Roman"/>
          <w:szCs w:val="24"/>
          <w:lang w:val="fr-CA"/>
        </w:rPr>
        <w:t>a pas été portée en appel devant notre Cour.  La détermination de la composition du groupe et les questions communes qui n</w:t>
      </w:r>
      <w:r>
        <w:rPr>
          <w:rFonts w:cs="Times New Roman"/>
          <w:szCs w:val="24"/>
          <w:lang w:val="fr-CA"/>
        </w:rPr>
        <w:t>’</w:t>
      </w:r>
      <w:r w:rsidRPr="00954404">
        <w:rPr>
          <w:rFonts w:cs="Times New Roman"/>
          <w:szCs w:val="24"/>
          <w:lang w:val="fr-CA"/>
        </w:rPr>
        <w:t>ont pas été touchées subsisteront, puisque l</w:t>
      </w:r>
      <w:r>
        <w:rPr>
          <w:rFonts w:cs="Times New Roman"/>
          <w:szCs w:val="24"/>
          <w:lang w:val="fr-CA"/>
        </w:rPr>
        <w:t>’</w:t>
      </w:r>
      <w:r w:rsidRPr="00954404">
        <w:rPr>
          <w:rFonts w:cs="Times New Roman"/>
          <w:szCs w:val="24"/>
          <w:lang w:val="fr-CA"/>
        </w:rPr>
        <w:t>action, bien que tronquée, subsiste.</w:t>
      </w:r>
    </w:p>
    <w:p w:rsidR="00466E7D" w:rsidRPr="00954404" w:rsidRDefault="00466E7D" w:rsidP="00466E7D">
      <w:pPr>
        <w:pStyle w:val="ParaNoNdepar-AltN"/>
        <w:rPr>
          <w:rFonts w:cs="Times New Roman"/>
          <w:szCs w:val="24"/>
          <w:lang w:val="fr-CA"/>
        </w:rPr>
      </w:pPr>
      <w:r w:rsidRPr="00954404">
        <w:rPr>
          <w:rFonts w:cs="Times New Roman"/>
          <w:szCs w:val="24"/>
          <w:lang w:val="fr-CA"/>
        </w:rPr>
        <w:t>Les dépens suivront l</w:t>
      </w:r>
      <w:r>
        <w:rPr>
          <w:rFonts w:cs="Times New Roman"/>
          <w:szCs w:val="24"/>
          <w:lang w:val="fr-CA"/>
        </w:rPr>
        <w:t>’</w:t>
      </w:r>
      <w:r w:rsidRPr="00954404">
        <w:rPr>
          <w:rFonts w:cs="Times New Roman"/>
          <w:szCs w:val="24"/>
          <w:lang w:val="fr-CA"/>
        </w:rPr>
        <w:t>issue de la cause.</w:t>
      </w:r>
    </w:p>
    <w:p w:rsidR="0033393C" w:rsidRPr="00235E23" w:rsidRDefault="0033393C" w:rsidP="00001A74">
      <w:pPr>
        <w:pStyle w:val="SCCNormalDoubleSpacing"/>
        <w:spacing w:after="480"/>
        <w:rPr>
          <w:i/>
          <w:szCs w:val="24"/>
        </w:rPr>
      </w:pPr>
      <w:r w:rsidRPr="00235E23">
        <w:rPr>
          <w:i/>
          <w:szCs w:val="24"/>
        </w:rPr>
        <w:tab/>
      </w:r>
      <w:r w:rsidR="003B57D4" w:rsidRPr="00235E23">
        <w:rPr>
          <w:i/>
          <w:szCs w:val="24"/>
        </w:rPr>
        <w:t>Pourvoi accueilli en partie.</w:t>
      </w:r>
    </w:p>
    <w:p w:rsidR="007A598C" w:rsidRPr="00235E23" w:rsidRDefault="007A598C" w:rsidP="00001A74">
      <w:pPr>
        <w:pStyle w:val="SCCNormalDoubleSpacing"/>
        <w:spacing w:after="480"/>
        <w:rPr>
          <w:rStyle w:val="SCCCounselNameChar"/>
          <w:szCs w:val="24"/>
        </w:rPr>
      </w:pPr>
      <w:r w:rsidRPr="00235E23">
        <w:rPr>
          <w:szCs w:val="24"/>
        </w:rPr>
        <w:tab/>
      </w:r>
      <w:r w:rsidRPr="00235E23">
        <w:rPr>
          <w:rStyle w:val="SCCCounselNameChar"/>
          <w:szCs w:val="24"/>
        </w:rPr>
        <w:t>Procureur de l’appelante</w:t>
      </w:r>
      <w:r w:rsidR="00235E23" w:rsidRPr="00235E23">
        <w:rPr>
          <w:rStyle w:val="SCCCounselNameChar"/>
          <w:szCs w:val="24"/>
        </w:rPr>
        <w:t> :</w:t>
      </w:r>
      <w:r w:rsidR="00001A74" w:rsidRPr="00235E23">
        <w:rPr>
          <w:rStyle w:val="SCCCounselNameChar"/>
          <w:szCs w:val="24"/>
        </w:rPr>
        <w:t> </w:t>
      </w:r>
      <w:r w:rsidRPr="00235E23">
        <w:rPr>
          <w:rStyle w:val="SCCCounselNameChar"/>
          <w:szCs w:val="24"/>
        </w:rPr>
        <w:t>Procureur général de l’Alberta, Edmonton.</w:t>
      </w:r>
    </w:p>
    <w:p w:rsidR="007A598C" w:rsidRPr="00235E23" w:rsidRDefault="007A598C" w:rsidP="00001A74">
      <w:pPr>
        <w:pStyle w:val="SCCNormalDoubleSpacing"/>
        <w:spacing w:after="480"/>
        <w:rPr>
          <w:rStyle w:val="SCCCounselNameChar"/>
          <w:szCs w:val="24"/>
        </w:rPr>
      </w:pPr>
      <w:r w:rsidRPr="00235E23">
        <w:rPr>
          <w:rStyle w:val="SCCCounselNameChar"/>
          <w:szCs w:val="24"/>
        </w:rPr>
        <w:tab/>
        <w:t>Procureurs des intimés</w:t>
      </w:r>
      <w:r w:rsidR="00235E23" w:rsidRPr="00235E23">
        <w:rPr>
          <w:rStyle w:val="SCCCounselNameChar"/>
          <w:szCs w:val="24"/>
        </w:rPr>
        <w:t> :</w:t>
      </w:r>
      <w:r w:rsidR="00001A74" w:rsidRPr="00235E23">
        <w:rPr>
          <w:rStyle w:val="SCCCounselNameChar"/>
          <w:szCs w:val="24"/>
        </w:rPr>
        <w:t> </w:t>
      </w:r>
      <w:r w:rsidRPr="00235E23">
        <w:rPr>
          <w:rStyle w:val="SCCCounselNameChar"/>
          <w:szCs w:val="24"/>
        </w:rPr>
        <w:t>Parlee McLaws, Edmonton.</w:t>
      </w:r>
    </w:p>
    <w:p w:rsidR="007A598C" w:rsidRPr="00235E23" w:rsidRDefault="007A598C" w:rsidP="00001A74">
      <w:pPr>
        <w:pStyle w:val="SCCNormalDoubleSpacing"/>
        <w:spacing w:after="480"/>
        <w:rPr>
          <w:rStyle w:val="SCCCounselNameChar"/>
          <w:szCs w:val="24"/>
        </w:rPr>
      </w:pPr>
      <w:r w:rsidRPr="00235E23">
        <w:rPr>
          <w:rStyle w:val="SCCCounselNameChar"/>
          <w:szCs w:val="24"/>
        </w:rPr>
        <w:tab/>
        <w:t>Procureur de l’intervenant le procureur général du Canada</w:t>
      </w:r>
      <w:r w:rsidR="00235E23" w:rsidRPr="00235E23">
        <w:rPr>
          <w:rStyle w:val="SCCCounselNameChar"/>
          <w:szCs w:val="24"/>
        </w:rPr>
        <w:t> :</w:t>
      </w:r>
      <w:r w:rsidR="00001A74" w:rsidRPr="00235E23">
        <w:rPr>
          <w:rStyle w:val="SCCCounselNameChar"/>
          <w:szCs w:val="24"/>
        </w:rPr>
        <w:t> </w:t>
      </w:r>
      <w:r w:rsidRPr="00235E23">
        <w:rPr>
          <w:rStyle w:val="SCCCounselNameChar"/>
          <w:szCs w:val="24"/>
        </w:rPr>
        <w:t>Procureur général du Canada, Toronto.</w:t>
      </w:r>
    </w:p>
    <w:p w:rsidR="0043088E" w:rsidRPr="00466E7D" w:rsidRDefault="007A598C" w:rsidP="00466E7D">
      <w:pPr>
        <w:pStyle w:val="SCCNormalDoubleSpacing"/>
        <w:rPr>
          <w:szCs w:val="24"/>
        </w:rPr>
      </w:pPr>
      <w:r w:rsidRPr="00235E23">
        <w:rPr>
          <w:rStyle w:val="SCCCounselNameChar"/>
          <w:szCs w:val="24"/>
        </w:rPr>
        <w:tab/>
        <w:t>Procureur de l’intervenant le procureur général de la Colombie</w:t>
      </w:r>
      <w:r w:rsidR="00235E23" w:rsidRPr="00235E23">
        <w:rPr>
          <w:rStyle w:val="SCCCounselNameChar"/>
          <w:szCs w:val="24"/>
        </w:rPr>
        <w:noBreakHyphen/>
      </w:r>
      <w:r w:rsidRPr="00235E23">
        <w:rPr>
          <w:rStyle w:val="SCCCounselNameChar"/>
          <w:szCs w:val="24"/>
        </w:rPr>
        <w:t>Britannique</w:t>
      </w:r>
      <w:r w:rsidR="00235E23" w:rsidRPr="00235E23">
        <w:rPr>
          <w:rStyle w:val="SCCCounselNameChar"/>
          <w:szCs w:val="24"/>
        </w:rPr>
        <w:t> :</w:t>
      </w:r>
      <w:r w:rsidR="00001A74" w:rsidRPr="00235E23">
        <w:rPr>
          <w:rStyle w:val="SCCCounselNameChar"/>
          <w:szCs w:val="24"/>
        </w:rPr>
        <w:t> </w:t>
      </w:r>
      <w:r w:rsidRPr="00235E23">
        <w:rPr>
          <w:rStyle w:val="SCCCounselNameChar"/>
          <w:szCs w:val="24"/>
        </w:rPr>
        <w:t>Procureur général de la Colombie</w:t>
      </w:r>
      <w:r w:rsidR="00235E23" w:rsidRPr="00235E23">
        <w:rPr>
          <w:rStyle w:val="SCCCounselNameChar"/>
          <w:szCs w:val="24"/>
        </w:rPr>
        <w:noBreakHyphen/>
      </w:r>
      <w:r w:rsidRPr="00235E23">
        <w:rPr>
          <w:rStyle w:val="SCCCounselNameChar"/>
          <w:szCs w:val="24"/>
        </w:rPr>
        <w:t>Britannique, Vancouver.</w:t>
      </w:r>
      <w:r w:rsidR="00466E7D" w:rsidRPr="00466E7D">
        <w:rPr>
          <w:szCs w:val="24"/>
        </w:rPr>
        <w:t xml:space="preserve"> </w:t>
      </w:r>
    </w:p>
    <w:sectPr w:rsidR="0043088E" w:rsidRPr="00466E7D" w:rsidSect="00794B24">
      <w:headerReference w:type="even" r:id="rId9"/>
      <w:headerReference w:type="default" r:id="rId10"/>
      <w:footerReference w:type="even" r:id="rId11"/>
      <w:footerReference w:type="default" r:id="rId12"/>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89A" w:rsidRDefault="00E9389A">
      <w:r>
        <w:separator/>
      </w:r>
    </w:p>
  </w:endnote>
  <w:endnote w:type="continuationSeparator" w:id="0">
    <w:p w:rsidR="00E9389A" w:rsidRDefault="00E93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9A" w:rsidRDefault="00E9389A">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9A" w:rsidRDefault="00E9389A">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89A" w:rsidRDefault="00E9389A">
      <w:r>
        <w:separator/>
      </w:r>
    </w:p>
  </w:footnote>
  <w:footnote w:type="continuationSeparator" w:id="0">
    <w:p w:rsidR="00E9389A" w:rsidRDefault="00E93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9A" w:rsidRDefault="00E9389A">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7549"/>
      <w:docPartObj>
        <w:docPartGallery w:val="Page Numbers (Top of Page)"/>
        <w:docPartUnique/>
      </w:docPartObj>
    </w:sdtPr>
    <w:sdtContent>
      <w:p w:rsidR="00E9389A" w:rsidRDefault="00CC7023">
        <w:pPr>
          <w:pStyle w:val="Header"/>
          <w:jc w:val="center"/>
        </w:pPr>
        <w:fldSimple w:instr=" PAGE   \* MERGEFORMAT ">
          <w:r w:rsidR="00A57328">
            <w:rPr>
              <w:noProof/>
            </w:rPr>
            <w:t>- 62 -</w:t>
          </w:r>
        </w:fldSimple>
      </w:p>
    </w:sdtContent>
  </w:sdt>
  <w:p w:rsidR="00E9389A" w:rsidRDefault="00E9389A"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FA673E9"/>
    <w:multiLevelType w:val="hybridMultilevel"/>
    <w:tmpl w:val="7626EC60"/>
    <w:lvl w:ilvl="0" w:tplc="649AD5F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65B66"/>
    <w:multiLevelType w:val="hybridMultilevel"/>
    <w:tmpl w:val="BD060EE4"/>
    <w:lvl w:ilvl="0" w:tplc="E2FA4C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830039DC"/>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CF4486A"/>
    <w:multiLevelType w:val="hybridMultilevel"/>
    <w:tmpl w:val="BC76853C"/>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D617231"/>
    <w:multiLevelType w:val="hybridMultilevel"/>
    <w:tmpl w:val="D72EA5F6"/>
    <w:lvl w:ilvl="0" w:tplc="1024A4E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509DC"/>
    <w:multiLevelType w:val="hybridMultilevel"/>
    <w:tmpl w:val="1FB61234"/>
    <w:lvl w:ilvl="0" w:tplc="E918EBAE">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2">
    <w:nsid w:val="71CA34F8"/>
    <w:multiLevelType w:val="hybridMultilevel"/>
    <w:tmpl w:val="AB927748"/>
    <w:lvl w:ilvl="0" w:tplc="8C286538">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3">
    <w:nsid w:val="7C9232A3"/>
    <w:multiLevelType w:val="hybridMultilevel"/>
    <w:tmpl w:val="73805DCC"/>
    <w:lvl w:ilvl="0" w:tplc="DA4E83CA">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18"/>
  </w:num>
  <w:num w:numId="2">
    <w:abstractNumId w:val="23"/>
  </w:num>
  <w:num w:numId="3">
    <w:abstractNumId w:val="22"/>
  </w:num>
  <w:num w:numId="4">
    <w:abstractNumId w:val="13"/>
  </w:num>
  <w:num w:numId="5">
    <w:abstractNumId w:val="21"/>
  </w:num>
  <w:num w:numId="6">
    <w:abstractNumId w:val="17"/>
  </w:num>
  <w:num w:numId="7">
    <w:abstractNumId w:val="19"/>
  </w:num>
  <w:num w:numId="8">
    <w:abstractNumId w:val="11"/>
  </w:num>
  <w:num w:numId="9">
    <w:abstractNumId w:val="10"/>
  </w:num>
  <w:num w:numId="10">
    <w:abstractNumId w:val="15"/>
  </w:num>
  <w:num w:numId="11">
    <w:abstractNumId w:val="16"/>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rsids>
    <w:rsidRoot w:val="0031414C"/>
    <w:rsid w:val="00001A74"/>
    <w:rsid w:val="000052E7"/>
    <w:rsid w:val="00011336"/>
    <w:rsid w:val="00012602"/>
    <w:rsid w:val="00025198"/>
    <w:rsid w:val="00043AA8"/>
    <w:rsid w:val="00054F3F"/>
    <w:rsid w:val="00055A36"/>
    <w:rsid w:val="000578A3"/>
    <w:rsid w:val="00057960"/>
    <w:rsid w:val="00064563"/>
    <w:rsid w:val="000648CC"/>
    <w:rsid w:val="00094DE0"/>
    <w:rsid w:val="000A22E0"/>
    <w:rsid w:val="000A5321"/>
    <w:rsid w:val="000C59B8"/>
    <w:rsid w:val="00111DE2"/>
    <w:rsid w:val="00116B38"/>
    <w:rsid w:val="0013109F"/>
    <w:rsid w:val="001335B1"/>
    <w:rsid w:val="00135406"/>
    <w:rsid w:val="00135972"/>
    <w:rsid w:val="00137AB9"/>
    <w:rsid w:val="00140667"/>
    <w:rsid w:val="001426A9"/>
    <w:rsid w:val="00154D7C"/>
    <w:rsid w:val="001570B0"/>
    <w:rsid w:val="00161609"/>
    <w:rsid w:val="00172A04"/>
    <w:rsid w:val="00173DE6"/>
    <w:rsid w:val="00175A97"/>
    <w:rsid w:val="00180909"/>
    <w:rsid w:val="00185394"/>
    <w:rsid w:val="001A451D"/>
    <w:rsid w:val="001A6AF3"/>
    <w:rsid w:val="001B33E0"/>
    <w:rsid w:val="001B4573"/>
    <w:rsid w:val="001B6F13"/>
    <w:rsid w:val="001C763A"/>
    <w:rsid w:val="001C779F"/>
    <w:rsid w:val="001D2AC1"/>
    <w:rsid w:val="001F468A"/>
    <w:rsid w:val="001F4EC6"/>
    <w:rsid w:val="001F7673"/>
    <w:rsid w:val="00205C0F"/>
    <w:rsid w:val="00220FC2"/>
    <w:rsid w:val="00224FC0"/>
    <w:rsid w:val="00225EA4"/>
    <w:rsid w:val="00226EAF"/>
    <w:rsid w:val="00231F3A"/>
    <w:rsid w:val="00235E23"/>
    <w:rsid w:val="002406EE"/>
    <w:rsid w:val="002720C2"/>
    <w:rsid w:val="002745CC"/>
    <w:rsid w:val="00274CAB"/>
    <w:rsid w:val="00276C6F"/>
    <w:rsid w:val="002A2B65"/>
    <w:rsid w:val="002B12B4"/>
    <w:rsid w:val="002B40B5"/>
    <w:rsid w:val="002C11D4"/>
    <w:rsid w:val="002C7011"/>
    <w:rsid w:val="002D37AB"/>
    <w:rsid w:val="002D39A4"/>
    <w:rsid w:val="002D42AB"/>
    <w:rsid w:val="002D6EA0"/>
    <w:rsid w:val="002E6705"/>
    <w:rsid w:val="002F0286"/>
    <w:rsid w:val="002F696C"/>
    <w:rsid w:val="0030329A"/>
    <w:rsid w:val="00307AFD"/>
    <w:rsid w:val="0031086F"/>
    <w:rsid w:val="00310E05"/>
    <w:rsid w:val="0031414C"/>
    <w:rsid w:val="00314E01"/>
    <w:rsid w:val="0032089D"/>
    <w:rsid w:val="0033393C"/>
    <w:rsid w:val="0034770C"/>
    <w:rsid w:val="0035259D"/>
    <w:rsid w:val="003866EC"/>
    <w:rsid w:val="00394476"/>
    <w:rsid w:val="003A4C70"/>
    <w:rsid w:val="003A4E15"/>
    <w:rsid w:val="003B57D4"/>
    <w:rsid w:val="003B6AD0"/>
    <w:rsid w:val="003C52B1"/>
    <w:rsid w:val="003C799C"/>
    <w:rsid w:val="003C79EB"/>
    <w:rsid w:val="003D1DDE"/>
    <w:rsid w:val="003E1C71"/>
    <w:rsid w:val="003F327B"/>
    <w:rsid w:val="004059A7"/>
    <w:rsid w:val="00406166"/>
    <w:rsid w:val="00411300"/>
    <w:rsid w:val="00423B31"/>
    <w:rsid w:val="00426659"/>
    <w:rsid w:val="0043088E"/>
    <w:rsid w:val="004439D8"/>
    <w:rsid w:val="00461082"/>
    <w:rsid w:val="00465132"/>
    <w:rsid w:val="004661B8"/>
    <w:rsid w:val="00466E7D"/>
    <w:rsid w:val="00480C90"/>
    <w:rsid w:val="0048396F"/>
    <w:rsid w:val="004878B1"/>
    <w:rsid w:val="00493C18"/>
    <w:rsid w:val="00494CDC"/>
    <w:rsid w:val="004959FC"/>
    <w:rsid w:val="00495FBB"/>
    <w:rsid w:val="004A600C"/>
    <w:rsid w:val="004B395A"/>
    <w:rsid w:val="004C478D"/>
    <w:rsid w:val="004D20E6"/>
    <w:rsid w:val="004E6A2C"/>
    <w:rsid w:val="004F4315"/>
    <w:rsid w:val="00512897"/>
    <w:rsid w:val="00521AE8"/>
    <w:rsid w:val="00527180"/>
    <w:rsid w:val="00536719"/>
    <w:rsid w:val="0054157B"/>
    <w:rsid w:val="005564A7"/>
    <w:rsid w:val="005653E4"/>
    <w:rsid w:val="00571A90"/>
    <w:rsid w:val="00586BD6"/>
    <w:rsid w:val="005A3FB1"/>
    <w:rsid w:val="005A5A55"/>
    <w:rsid w:val="005B5167"/>
    <w:rsid w:val="005D0984"/>
    <w:rsid w:val="005E4698"/>
    <w:rsid w:val="005E7EF7"/>
    <w:rsid w:val="005F682B"/>
    <w:rsid w:val="00602AB9"/>
    <w:rsid w:val="006045A7"/>
    <w:rsid w:val="00625C35"/>
    <w:rsid w:val="00634E1B"/>
    <w:rsid w:val="00645057"/>
    <w:rsid w:val="00654858"/>
    <w:rsid w:val="006565F4"/>
    <w:rsid w:val="00681AD1"/>
    <w:rsid w:val="00697F86"/>
    <w:rsid w:val="006A56F1"/>
    <w:rsid w:val="006B5FF5"/>
    <w:rsid w:val="006B6440"/>
    <w:rsid w:val="006C5661"/>
    <w:rsid w:val="006D4790"/>
    <w:rsid w:val="006D5F80"/>
    <w:rsid w:val="006F0C48"/>
    <w:rsid w:val="006F6F9C"/>
    <w:rsid w:val="00701759"/>
    <w:rsid w:val="00702C6F"/>
    <w:rsid w:val="007271BD"/>
    <w:rsid w:val="00733081"/>
    <w:rsid w:val="00747288"/>
    <w:rsid w:val="00747DD3"/>
    <w:rsid w:val="00752F4E"/>
    <w:rsid w:val="007549C8"/>
    <w:rsid w:val="00761432"/>
    <w:rsid w:val="00762D30"/>
    <w:rsid w:val="00763377"/>
    <w:rsid w:val="00766D14"/>
    <w:rsid w:val="00767A0F"/>
    <w:rsid w:val="0078038E"/>
    <w:rsid w:val="007834A8"/>
    <w:rsid w:val="00794B24"/>
    <w:rsid w:val="007A05F6"/>
    <w:rsid w:val="007A598C"/>
    <w:rsid w:val="007B6F4A"/>
    <w:rsid w:val="007E1C47"/>
    <w:rsid w:val="007E337A"/>
    <w:rsid w:val="007E5C70"/>
    <w:rsid w:val="007F2FF5"/>
    <w:rsid w:val="007F72D9"/>
    <w:rsid w:val="00801892"/>
    <w:rsid w:val="00814979"/>
    <w:rsid w:val="00817190"/>
    <w:rsid w:val="008322BD"/>
    <w:rsid w:val="008353EB"/>
    <w:rsid w:val="00835CB1"/>
    <w:rsid w:val="00855307"/>
    <w:rsid w:val="00862CF3"/>
    <w:rsid w:val="00864CF8"/>
    <w:rsid w:val="00871721"/>
    <w:rsid w:val="00872676"/>
    <w:rsid w:val="00874914"/>
    <w:rsid w:val="00892E1A"/>
    <w:rsid w:val="008958F5"/>
    <w:rsid w:val="008A6558"/>
    <w:rsid w:val="008A727C"/>
    <w:rsid w:val="008C01DA"/>
    <w:rsid w:val="008C2902"/>
    <w:rsid w:val="008C6492"/>
    <w:rsid w:val="008C6E12"/>
    <w:rsid w:val="008F16D9"/>
    <w:rsid w:val="008F78E9"/>
    <w:rsid w:val="00902462"/>
    <w:rsid w:val="00905E6B"/>
    <w:rsid w:val="00934756"/>
    <w:rsid w:val="009368A5"/>
    <w:rsid w:val="00937D6B"/>
    <w:rsid w:val="009403F3"/>
    <w:rsid w:val="00941311"/>
    <w:rsid w:val="009462B8"/>
    <w:rsid w:val="00957FA2"/>
    <w:rsid w:val="0096429F"/>
    <w:rsid w:val="00966913"/>
    <w:rsid w:val="00967374"/>
    <w:rsid w:val="00967C4A"/>
    <w:rsid w:val="0097543E"/>
    <w:rsid w:val="00983F3F"/>
    <w:rsid w:val="00985C69"/>
    <w:rsid w:val="0099079B"/>
    <w:rsid w:val="00996E63"/>
    <w:rsid w:val="009B2F23"/>
    <w:rsid w:val="009B53E2"/>
    <w:rsid w:val="009B57B3"/>
    <w:rsid w:val="009D2F2C"/>
    <w:rsid w:val="009D5AEB"/>
    <w:rsid w:val="009E0B3B"/>
    <w:rsid w:val="009E760F"/>
    <w:rsid w:val="009F383F"/>
    <w:rsid w:val="00A0347D"/>
    <w:rsid w:val="00A05F0E"/>
    <w:rsid w:val="00A21107"/>
    <w:rsid w:val="00A21B90"/>
    <w:rsid w:val="00A24E15"/>
    <w:rsid w:val="00A42845"/>
    <w:rsid w:val="00A44272"/>
    <w:rsid w:val="00A45CF0"/>
    <w:rsid w:val="00A548CB"/>
    <w:rsid w:val="00A56DEF"/>
    <w:rsid w:val="00A57328"/>
    <w:rsid w:val="00A6242E"/>
    <w:rsid w:val="00A643E7"/>
    <w:rsid w:val="00A70902"/>
    <w:rsid w:val="00A73C38"/>
    <w:rsid w:val="00A747DB"/>
    <w:rsid w:val="00A80615"/>
    <w:rsid w:val="00AA1687"/>
    <w:rsid w:val="00AC6322"/>
    <w:rsid w:val="00AC6E90"/>
    <w:rsid w:val="00AC7437"/>
    <w:rsid w:val="00AC7A44"/>
    <w:rsid w:val="00AF03C5"/>
    <w:rsid w:val="00AF206C"/>
    <w:rsid w:val="00B000D8"/>
    <w:rsid w:val="00B00F75"/>
    <w:rsid w:val="00B079ED"/>
    <w:rsid w:val="00B145B6"/>
    <w:rsid w:val="00B271FB"/>
    <w:rsid w:val="00B50C81"/>
    <w:rsid w:val="00B557F8"/>
    <w:rsid w:val="00B56205"/>
    <w:rsid w:val="00B64972"/>
    <w:rsid w:val="00B66DD8"/>
    <w:rsid w:val="00B8145D"/>
    <w:rsid w:val="00B815FC"/>
    <w:rsid w:val="00B81D6C"/>
    <w:rsid w:val="00B82503"/>
    <w:rsid w:val="00B86FE8"/>
    <w:rsid w:val="00B93FBC"/>
    <w:rsid w:val="00C02092"/>
    <w:rsid w:val="00C057F7"/>
    <w:rsid w:val="00C0663B"/>
    <w:rsid w:val="00C17A07"/>
    <w:rsid w:val="00C24C8C"/>
    <w:rsid w:val="00C24D91"/>
    <w:rsid w:val="00C26C2C"/>
    <w:rsid w:val="00C276FC"/>
    <w:rsid w:val="00C52532"/>
    <w:rsid w:val="00C53F14"/>
    <w:rsid w:val="00C55C2E"/>
    <w:rsid w:val="00C56AF3"/>
    <w:rsid w:val="00C600CF"/>
    <w:rsid w:val="00C6084F"/>
    <w:rsid w:val="00C62A66"/>
    <w:rsid w:val="00C62A6F"/>
    <w:rsid w:val="00C67CA5"/>
    <w:rsid w:val="00C71458"/>
    <w:rsid w:val="00C71F58"/>
    <w:rsid w:val="00C7399C"/>
    <w:rsid w:val="00C74381"/>
    <w:rsid w:val="00C74A4E"/>
    <w:rsid w:val="00C77613"/>
    <w:rsid w:val="00C828E7"/>
    <w:rsid w:val="00C921DD"/>
    <w:rsid w:val="00CA4D82"/>
    <w:rsid w:val="00CA6391"/>
    <w:rsid w:val="00CA7989"/>
    <w:rsid w:val="00CC7023"/>
    <w:rsid w:val="00CD1D2E"/>
    <w:rsid w:val="00CD7F74"/>
    <w:rsid w:val="00CE3171"/>
    <w:rsid w:val="00CF1601"/>
    <w:rsid w:val="00D06380"/>
    <w:rsid w:val="00D24095"/>
    <w:rsid w:val="00D32086"/>
    <w:rsid w:val="00D37A3F"/>
    <w:rsid w:val="00D436EC"/>
    <w:rsid w:val="00D45FCF"/>
    <w:rsid w:val="00D4667A"/>
    <w:rsid w:val="00D510BB"/>
    <w:rsid w:val="00D5435D"/>
    <w:rsid w:val="00D745B3"/>
    <w:rsid w:val="00D74F2E"/>
    <w:rsid w:val="00DA0239"/>
    <w:rsid w:val="00DA0590"/>
    <w:rsid w:val="00DA5790"/>
    <w:rsid w:val="00DC1788"/>
    <w:rsid w:val="00DF0CA8"/>
    <w:rsid w:val="00DF183C"/>
    <w:rsid w:val="00DF49A7"/>
    <w:rsid w:val="00E01106"/>
    <w:rsid w:val="00E07EE2"/>
    <w:rsid w:val="00E148A7"/>
    <w:rsid w:val="00E16B8D"/>
    <w:rsid w:val="00E24573"/>
    <w:rsid w:val="00E377A1"/>
    <w:rsid w:val="00E4433D"/>
    <w:rsid w:val="00E45109"/>
    <w:rsid w:val="00E4743A"/>
    <w:rsid w:val="00E54B02"/>
    <w:rsid w:val="00E73F61"/>
    <w:rsid w:val="00E9060A"/>
    <w:rsid w:val="00E9389A"/>
    <w:rsid w:val="00E97830"/>
    <w:rsid w:val="00EA03E5"/>
    <w:rsid w:val="00ED4A87"/>
    <w:rsid w:val="00EE0FAF"/>
    <w:rsid w:val="00F00EB7"/>
    <w:rsid w:val="00F2258E"/>
    <w:rsid w:val="00F247AA"/>
    <w:rsid w:val="00F33658"/>
    <w:rsid w:val="00F36AB6"/>
    <w:rsid w:val="00F409CE"/>
    <w:rsid w:val="00F448BF"/>
    <w:rsid w:val="00F51844"/>
    <w:rsid w:val="00F84DF4"/>
    <w:rsid w:val="00F853FB"/>
    <w:rsid w:val="00F85C97"/>
    <w:rsid w:val="00FA285D"/>
    <w:rsid w:val="00FA2FE1"/>
    <w:rsid w:val="00FC606D"/>
    <w:rsid w:val="00FD068D"/>
    <w:rsid w:val="00FD345A"/>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customStyle="1" w:styleId="reference">
    <w:name w:val="reference"/>
    <w:basedOn w:val="DefaultParagraphFont"/>
    <w:rsid w:val="00274CAB"/>
  </w:style>
  <w:style w:type="character" w:customStyle="1" w:styleId="ssl2">
    <w:name w:val="ss_l2"/>
    <w:basedOn w:val="DefaultParagraphFont"/>
    <w:rsid w:val="00274CAB"/>
  </w:style>
  <w:style w:type="paragraph" w:styleId="ListParagraph">
    <w:name w:val="List Paragraph"/>
    <w:basedOn w:val="Normal"/>
    <w:uiPriority w:val="34"/>
    <w:qFormat/>
    <w:rsid w:val="00466E7D"/>
    <w:pPr>
      <w:spacing w:after="200" w:line="276" w:lineRule="auto"/>
      <w:ind w:left="720"/>
    </w:pPr>
    <w:rPr>
      <w:rFonts w:asciiTheme="minorHAnsi" w:eastAsiaTheme="minorHAnsi" w:hAnsiTheme="minorHAnsi" w:cstheme="minorBidi"/>
      <w:sz w:val="22"/>
      <w:szCs w:val="22"/>
      <w:lang w:val="en-US" w:eastAsia="en-US"/>
    </w:rPr>
  </w:style>
  <w:style w:type="paragraph" w:styleId="NoSpacing">
    <w:name w:val="No Spacing"/>
    <w:uiPriority w:val="1"/>
    <w:rsid w:val="00466E7D"/>
    <w:rPr>
      <w:sz w:val="24"/>
    </w:rPr>
  </w:style>
  <w:style w:type="paragraph" w:customStyle="1" w:styleId="SCCLsocOtherPartyRoleSeparator">
    <w:name w:val="SCC.Lsoc.OtherPartyRoleSeparator"/>
    <w:basedOn w:val="Normal"/>
    <w:next w:val="Normal"/>
    <w:link w:val="SCCLsocOtherPartyRoleSeparatorChar"/>
    <w:rsid w:val="00466E7D"/>
    <w:pPr>
      <w:spacing w:after="480" w:line="276" w:lineRule="auto"/>
    </w:pPr>
    <w:rPr>
      <w:rFonts w:asciiTheme="minorHAnsi" w:eastAsiaTheme="minorHAnsi" w:hAnsiTheme="minorHAnsi" w:cstheme="minorBidi"/>
      <w:sz w:val="22"/>
      <w:szCs w:val="22"/>
      <w:lang w:val="en-US" w:eastAsia="en-US"/>
    </w:rPr>
  </w:style>
  <w:style w:type="paragraph" w:customStyle="1" w:styleId="SCCCoram">
    <w:name w:val="SCC.Coram"/>
    <w:basedOn w:val="Normal"/>
    <w:next w:val="Normal"/>
    <w:link w:val="SCCCoramChar"/>
    <w:rsid w:val="00466E7D"/>
    <w:pPr>
      <w:pBdr>
        <w:bottom w:val="single" w:sz="4" w:space="1" w:color="auto"/>
      </w:pBdr>
      <w:spacing w:after="200" w:line="276" w:lineRule="auto"/>
    </w:pPr>
    <w:rPr>
      <w:rFonts w:asciiTheme="minorHAnsi" w:eastAsiaTheme="minorHAnsi" w:hAnsiTheme="minorHAnsi" w:cstheme="minorBidi"/>
      <w:sz w:val="22"/>
      <w:szCs w:val="22"/>
      <w:lang w:val="en-US" w:eastAsia="en-US"/>
    </w:rPr>
  </w:style>
  <w:style w:type="character" w:customStyle="1" w:styleId="SCCCoramChar">
    <w:name w:val="SCC.Coram Char"/>
    <w:basedOn w:val="DefaultParagraphFont"/>
    <w:link w:val="SCCCoram"/>
    <w:rsid w:val="00466E7D"/>
    <w:rPr>
      <w:rFonts w:asciiTheme="minorHAnsi" w:eastAsiaTheme="minorHAnsi" w:hAnsiTheme="minorHAnsi" w:cstheme="minorBidi"/>
      <w:sz w:val="22"/>
      <w:szCs w:val="22"/>
      <w:lang w:val="en-US" w:eastAsia="en-US"/>
    </w:rPr>
  </w:style>
  <w:style w:type="character" w:customStyle="1" w:styleId="SCCLsocOtherPartyRoleSeparatorChar">
    <w:name w:val="SCC.Lsoc.OtherPartyRoleSeparator Char"/>
    <w:basedOn w:val="DefaultParagraphFont"/>
    <w:link w:val="SCCLsocOtherPartyRoleSeparator"/>
    <w:rsid w:val="00466E7D"/>
    <w:rPr>
      <w:rFonts w:asciiTheme="minorHAnsi" w:eastAsiaTheme="minorHAnsi" w:hAnsiTheme="minorHAnsi" w:cstheme="minorBidi"/>
      <w:sz w:val="22"/>
      <w:szCs w:val="22"/>
      <w:lang w:val="en-US" w:eastAsia="en-US"/>
    </w:rPr>
  </w:style>
  <w:style w:type="character" w:customStyle="1" w:styleId="SCCBanSummaryChar">
    <w:name w:val="SCC.BanSummary Char"/>
    <w:basedOn w:val="DefaultParagraphFont"/>
    <w:link w:val="SCCBanSummary"/>
    <w:rsid w:val="00466E7D"/>
    <w:rPr>
      <w:b/>
      <w:sz w:val="24"/>
      <w:lang w:val="fr-CA"/>
    </w:rPr>
  </w:style>
  <w:style w:type="table" w:styleId="TableGrid">
    <w:name w:val="Table Grid"/>
    <w:basedOn w:val="TableNormal"/>
    <w:uiPriority w:val="59"/>
    <w:rsid w:val="00466E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466E7D"/>
    <w:pPr>
      <w:spacing w:after="720" w:line="276" w:lineRule="auto"/>
      <w:ind w:left="1166"/>
      <w:contextualSpacing/>
      <w:jc w:val="both"/>
    </w:pPr>
    <w:rPr>
      <w:rFonts w:asciiTheme="minorHAnsi" w:eastAsiaTheme="minorHAnsi" w:hAnsiTheme="minorHAnsi" w:cstheme="minorBidi"/>
      <w:sz w:val="22"/>
      <w:szCs w:val="22"/>
      <w:lang w:val="en-US" w:eastAsia="en-US"/>
    </w:rPr>
  </w:style>
  <w:style w:type="character" w:customStyle="1" w:styleId="sectionnumber">
    <w:name w:val="sectionnumber"/>
    <w:basedOn w:val="DefaultParagraphFont"/>
    <w:rsid w:val="00466E7D"/>
  </w:style>
  <w:style w:type="paragraph" w:customStyle="1" w:styleId="felsky1">
    <w:name w:val="felsky1"/>
    <w:basedOn w:val="Normal"/>
    <w:rsid w:val="00466E7D"/>
    <w:pPr>
      <w:spacing w:before="100" w:beforeAutospacing="1" w:after="100" w:afterAutospacing="1" w:line="276" w:lineRule="auto"/>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466E7D"/>
    <w:rPr>
      <w:sz w:val="16"/>
      <w:szCs w:val="16"/>
    </w:rPr>
  </w:style>
  <w:style w:type="paragraph" w:styleId="CommentText">
    <w:name w:val="annotation text"/>
    <w:basedOn w:val="Normal"/>
    <w:link w:val="CommentTextChar"/>
    <w:uiPriority w:val="99"/>
    <w:semiHidden/>
    <w:unhideWhenUsed/>
    <w:rsid w:val="00466E7D"/>
    <w:pPr>
      <w:spacing w:after="200" w:line="276" w:lineRule="auto"/>
    </w:pPr>
    <w:rPr>
      <w:rFonts w:asciiTheme="minorHAnsi" w:eastAsiaTheme="minorHAnsi" w:hAnsi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466E7D"/>
    <w:rPr>
      <w:rFonts w:asciiTheme="minorHAnsi" w:eastAsiaTheme="minorHAnsi" w:hAnsi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466E7D"/>
    <w:rPr>
      <w:b/>
    </w:rPr>
  </w:style>
  <w:style w:type="character" w:customStyle="1" w:styleId="CommentSubjectChar">
    <w:name w:val="Comment Subject Char"/>
    <w:basedOn w:val="CommentTextChar"/>
    <w:link w:val="CommentSubject"/>
    <w:uiPriority w:val="99"/>
    <w:semiHidden/>
    <w:rsid w:val="00466E7D"/>
    <w:rPr>
      <w:b/>
    </w:rPr>
  </w:style>
  <w:style w:type="paragraph" w:styleId="Revision">
    <w:name w:val="Revision"/>
    <w:hidden/>
    <w:uiPriority w:val="99"/>
    <w:semiHidden/>
    <w:rsid w:val="00466E7D"/>
    <w:rPr>
      <w:sz w:val="24"/>
    </w:rPr>
  </w:style>
  <w:style w:type="character" w:customStyle="1" w:styleId="reportcitation">
    <w:name w:val="reportcitation"/>
    <w:basedOn w:val="DefaultParagraphFont"/>
    <w:rsid w:val="00466E7D"/>
  </w:style>
  <w:style w:type="character" w:customStyle="1" w:styleId="verdana">
    <w:name w:val="verdana"/>
    <w:basedOn w:val="DefaultParagraphFont"/>
    <w:rsid w:val="00466E7D"/>
  </w:style>
  <w:style w:type="paragraph" w:customStyle="1" w:styleId="loose">
    <w:name w:val="loose"/>
    <w:basedOn w:val="Normal"/>
    <w:rsid w:val="00466E7D"/>
    <w:pPr>
      <w:spacing w:before="100" w:beforeAutospacing="1" w:after="100" w:afterAutospacing="1" w:line="276" w:lineRule="auto"/>
    </w:pPr>
    <w:rPr>
      <w:rFonts w:asciiTheme="minorHAnsi" w:eastAsiaTheme="minorHAnsi" w:hAnsiTheme="minorHAnsi" w:cstheme="minorBidi"/>
      <w:sz w:val="22"/>
      <w:szCs w:val="22"/>
      <w:lang w:val="en-US" w:eastAsia="en-US"/>
    </w:rPr>
  </w:style>
  <w:style w:type="character" w:customStyle="1" w:styleId="bold">
    <w:name w:val="bold"/>
    <w:basedOn w:val="DefaultParagraphFont"/>
    <w:rsid w:val="00466E7D"/>
  </w:style>
  <w:style w:type="paragraph" w:customStyle="1" w:styleId="11">
    <w:name w:val="11"/>
    <w:basedOn w:val="Normal"/>
    <w:rsid w:val="00466E7D"/>
    <w:pPr>
      <w:autoSpaceDE w:val="0"/>
      <w:autoSpaceDN w:val="0"/>
      <w:spacing w:after="200" w:line="276" w:lineRule="auto"/>
    </w:pPr>
    <w:rPr>
      <w:rFonts w:asciiTheme="minorHAnsi" w:eastAsiaTheme="minorHAnsi" w:hAnsiTheme="minorHAnsi" w:cstheme="minorBidi"/>
      <w:sz w:val="22"/>
      <w:szCs w:val="22"/>
      <w:lang w:eastAsia="fr-CA"/>
    </w:rPr>
  </w:style>
  <w:style w:type="paragraph" w:customStyle="1" w:styleId="Citation-AltC">
    <w:name w:val="Citation - Alt C"/>
    <w:uiPriority w:val="2"/>
    <w:qFormat/>
    <w:rsid w:val="00466E7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66E7D"/>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466E7D"/>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466E7D"/>
    <w:pPr>
      <w:tabs>
        <w:tab w:val="left" w:pos="1260"/>
      </w:tabs>
      <w:spacing w:after="480" w:line="480" w:lineRule="auto"/>
    </w:pPr>
    <w:rPr>
      <w:smallCaps/>
      <w:sz w:val="24"/>
    </w:rPr>
  </w:style>
  <w:style w:type="paragraph" w:customStyle="1" w:styleId="ParaNoNdepar-AltN">
    <w:name w:val="Para. No. / Nº de par. - Alt N"/>
    <w:qFormat/>
    <w:rsid w:val="00466E7D"/>
    <w:pPr>
      <w:numPr>
        <w:numId w:val="6"/>
      </w:numPr>
      <w:spacing w:before="480" w:after="480" w:line="480" w:lineRule="auto"/>
      <w:jc w:val="both"/>
    </w:pPr>
    <w:rPr>
      <w:rFonts w:eastAsiaTheme="minorEastAsia" w:cstheme="minorBidi"/>
      <w:sz w:val="24"/>
      <w:szCs w:val="22"/>
      <w:lang w:eastAsia="en-US"/>
    </w:rPr>
  </w:style>
  <w:style w:type="table" w:customStyle="1" w:styleId="TableGrid1">
    <w:name w:val="Table Grid1"/>
    <w:basedOn w:val="TableNormal"/>
    <w:next w:val="TableGrid"/>
    <w:uiPriority w:val="59"/>
    <w:rsid w:val="009D2F2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14946</Words>
  <Characters>82204</Characters>
  <Application>Microsoft Office Word</Application>
  <DocSecurity>0</DocSecurity>
  <Lines>685</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2011-10-20T13:52:00Z</dcterms:created>
  <dcterms:modified xsi:type="dcterms:W3CDTF">2011-10-20T13:52:00Z</dcterms:modified>
</cp:coreProperties>
</file>