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6" w:rsidRPr="006440CB" w:rsidRDefault="002B3AD6" w:rsidP="002B3AD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6440CB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6440CB">
        <w:rPr>
          <w:rFonts w:eastAsiaTheme="minorHAnsi" w:cstheme="minorBidi"/>
          <w:szCs w:val="24"/>
          <w:lang w:eastAsia="en-US"/>
        </w:rPr>
        <w:t xml:space="preserve"> </w:t>
      </w:r>
      <w:r w:rsidRPr="006440CB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64.8pt" o:ole="">
            <v:imagedata r:id="rId8" o:title=""/>
          </v:shape>
          <o:OLEObject Type="Embed" ProgID="Presentations.Drawing.13" ShapeID="_x0000_i1025" DrawAspect="Content" ObjectID="_1368957665" r:id="rId9"/>
        </w:object>
      </w:r>
      <w:r w:rsidRPr="006440CB">
        <w:rPr>
          <w:rFonts w:eastAsiaTheme="minorHAnsi" w:cstheme="minorBidi"/>
          <w:szCs w:val="24"/>
          <w:lang w:eastAsia="en-US"/>
        </w:rPr>
        <w:t xml:space="preserve"> </w:t>
      </w:r>
      <w:r w:rsidRPr="006440CB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2B3AD6" w:rsidRPr="006440CB" w:rsidRDefault="002B3AD6" w:rsidP="002B3AD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2B3AD6" w:rsidRPr="006440CB" w:rsidRDefault="002B3AD6" w:rsidP="002B3AD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440CB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2B3AD6" w:rsidRPr="006440CB" w:rsidRDefault="002B3AD6" w:rsidP="002B3AD6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2B3AD6" w:rsidRPr="006440CB" w:rsidTr="00BA475A">
        <w:trPr>
          <w:cantSplit/>
        </w:trPr>
        <w:tc>
          <w:tcPr>
            <w:tcW w:w="6768" w:type="dxa"/>
          </w:tcPr>
          <w:p w:rsidR="002B3AD6" w:rsidRPr="002B3AD6" w:rsidRDefault="002B3AD6" w:rsidP="00BA475A">
            <w:pPr>
              <w:rPr>
                <w:lang w:val="fr-CA"/>
              </w:rPr>
            </w:pPr>
            <w:r w:rsidRPr="002B3AD6">
              <w:rPr>
                <w:b/>
                <w:smallCaps/>
                <w:lang w:val="fr-CA"/>
              </w:rPr>
              <w:t>Référence :</w:t>
            </w:r>
            <w:r w:rsidRPr="002B3AD6">
              <w:rPr>
                <w:lang w:val="fr-CA"/>
              </w:rPr>
              <w:t xml:space="preserve"> </w:t>
            </w:r>
            <w:proofErr w:type="spellStart"/>
            <w:r w:rsidRPr="002B3AD6">
              <w:rPr>
                <w:lang w:val="fr-CA"/>
              </w:rPr>
              <w:t>Manuge</w:t>
            </w:r>
            <w:proofErr w:type="spellEnd"/>
            <w:r w:rsidRPr="002B3AD6">
              <w:rPr>
                <w:lang w:val="fr-CA"/>
              </w:rPr>
              <w:t xml:space="preserve"> </w:t>
            </w:r>
            <w:r w:rsidRPr="002B3AD6">
              <w:rPr>
                <w:i/>
                <w:lang w:val="fr-CA"/>
              </w:rPr>
              <w:t>c.</w:t>
            </w:r>
            <w:r w:rsidRPr="002B3AD6">
              <w:rPr>
                <w:lang w:val="fr-CA"/>
              </w:rPr>
              <w:t xml:space="preserve"> Canada, </w:t>
            </w:r>
            <w:r w:rsidRPr="002B3AD6">
              <w:rPr>
                <w:rStyle w:val="SCCRespondentForIndexChar"/>
                <w:b w:val="0"/>
                <w:lang w:val="fr-CA"/>
              </w:rPr>
              <w:t>2010 CSC 67, [2010] 3 R.C.S. 672</w:t>
            </w:r>
          </w:p>
        </w:tc>
        <w:tc>
          <w:tcPr>
            <w:tcW w:w="2808" w:type="dxa"/>
          </w:tcPr>
          <w:p w:rsidR="002B3AD6" w:rsidRPr="006440CB" w:rsidRDefault="002B3AD6" w:rsidP="00BA475A">
            <w:r w:rsidRPr="006440CB">
              <w:rPr>
                <w:b/>
                <w:smallCaps/>
              </w:rPr>
              <w:t>Date :</w:t>
            </w:r>
            <w:r w:rsidRPr="006440CB">
              <w:t xml:space="preserve"> 20101223</w:t>
            </w:r>
          </w:p>
          <w:p w:rsidR="002B3AD6" w:rsidRPr="006440CB" w:rsidRDefault="002B3AD6" w:rsidP="00BA475A">
            <w:r w:rsidRPr="006440CB">
              <w:rPr>
                <w:b/>
                <w:smallCaps/>
              </w:rPr>
              <w:t>Dossier :</w:t>
            </w:r>
            <w:r w:rsidRPr="006440CB">
              <w:t xml:space="preserve"> 33103</w:t>
            </w:r>
          </w:p>
        </w:tc>
      </w:tr>
    </w:tbl>
    <w:p w:rsidR="002B3AD6" w:rsidRPr="006440CB" w:rsidRDefault="002B3AD6" w:rsidP="002B3AD6">
      <w:pPr>
        <w:rPr>
          <w:rFonts w:eastAsiaTheme="minorHAnsi" w:cstheme="minorBidi"/>
          <w:szCs w:val="24"/>
          <w:lang w:eastAsia="en-US"/>
        </w:rPr>
      </w:pPr>
    </w:p>
    <w:p w:rsidR="002B3AD6" w:rsidRPr="006440CB" w:rsidRDefault="002B3AD6" w:rsidP="002B3AD6">
      <w:pPr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 w:rsidRPr="006440CB">
        <w:rPr>
          <w:rFonts w:eastAsiaTheme="minorHAnsi" w:cstheme="minorBidi"/>
          <w:b/>
          <w:smallCaps/>
          <w:szCs w:val="24"/>
          <w:lang w:eastAsia="en-US"/>
        </w:rPr>
        <w:t>Entre :</w:t>
      </w:r>
      <w:proofErr w:type="gramEnd"/>
    </w:p>
    <w:p w:rsidR="002B3AD6" w:rsidRPr="006440CB" w:rsidRDefault="002B3AD6" w:rsidP="002B3AD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440CB">
        <w:rPr>
          <w:rFonts w:eastAsiaTheme="minorHAnsi" w:cstheme="minorBidi"/>
          <w:b/>
          <w:szCs w:val="24"/>
          <w:lang w:eastAsia="en-US"/>
        </w:rPr>
        <w:t xml:space="preserve">Dennis </w:t>
      </w:r>
      <w:proofErr w:type="spellStart"/>
      <w:r w:rsidRPr="006440CB">
        <w:rPr>
          <w:rFonts w:eastAsiaTheme="minorHAnsi" w:cstheme="minorBidi"/>
          <w:b/>
          <w:szCs w:val="24"/>
          <w:lang w:eastAsia="en-US"/>
        </w:rPr>
        <w:t>Manuge</w:t>
      </w:r>
      <w:proofErr w:type="spellEnd"/>
    </w:p>
    <w:p w:rsidR="002B3AD6" w:rsidRPr="006440CB" w:rsidRDefault="002B3AD6" w:rsidP="002B3AD6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 w:rsidRPr="006440CB">
        <w:rPr>
          <w:rFonts w:eastAsiaTheme="minorHAnsi" w:cstheme="minorBidi"/>
          <w:szCs w:val="24"/>
          <w:lang w:eastAsia="en-US"/>
        </w:rPr>
        <w:t>Appelant</w:t>
      </w:r>
      <w:proofErr w:type="spellEnd"/>
    </w:p>
    <w:p w:rsidR="002B3AD6" w:rsidRPr="006440CB" w:rsidRDefault="002B3AD6" w:rsidP="002B3AD6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6440CB">
        <w:rPr>
          <w:rFonts w:eastAsiaTheme="minorHAnsi" w:cstheme="minorBidi"/>
          <w:szCs w:val="24"/>
          <w:lang w:eastAsia="en-US"/>
        </w:rPr>
        <w:t>et</w:t>
      </w:r>
      <w:proofErr w:type="gramEnd"/>
    </w:p>
    <w:p w:rsidR="002B3AD6" w:rsidRPr="006440CB" w:rsidRDefault="002B3AD6" w:rsidP="002B3AD6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440CB">
        <w:rPr>
          <w:rFonts w:eastAsiaTheme="minorHAnsi" w:cstheme="minorBidi"/>
          <w:b/>
          <w:szCs w:val="24"/>
          <w:lang w:eastAsia="en-US"/>
        </w:rPr>
        <w:t xml:space="preserve">Sa </w:t>
      </w:r>
      <w:proofErr w:type="spellStart"/>
      <w:r w:rsidRPr="006440CB">
        <w:rPr>
          <w:rFonts w:eastAsiaTheme="minorHAnsi" w:cstheme="minorBidi"/>
          <w:b/>
          <w:szCs w:val="24"/>
          <w:lang w:eastAsia="en-US"/>
        </w:rPr>
        <w:t>Majesté</w:t>
      </w:r>
      <w:proofErr w:type="spellEnd"/>
      <w:r w:rsidRPr="006440CB">
        <w:rPr>
          <w:rFonts w:eastAsiaTheme="minorHAnsi" w:cstheme="minorBidi"/>
          <w:b/>
          <w:szCs w:val="24"/>
          <w:lang w:eastAsia="en-US"/>
        </w:rPr>
        <w:t xml:space="preserve"> la </w:t>
      </w:r>
      <w:proofErr w:type="spellStart"/>
      <w:r w:rsidRPr="006440CB">
        <w:rPr>
          <w:rFonts w:eastAsiaTheme="minorHAnsi" w:cstheme="minorBidi"/>
          <w:b/>
          <w:szCs w:val="24"/>
          <w:lang w:eastAsia="en-US"/>
        </w:rPr>
        <w:t>Reine</w:t>
      </w:r>
      <w:proofErr w:type="spellEnd"/>
    </w:p>
    <w:p w:rsidR="002B3AD6" w:rsidRPr="006440CB" w:rsidRDefault="002B3AD6" w:rsidP="002B3AD6">
      <w:pPr>
        <w:jc w:val="center"/>
        <w:rPr>
          <w:rFonts w:eastAsiaTheme="minorHAnsi" w:cstheme="minorBidi"/>
          <w:szCs w:val="24"/>
          <w:lang w:eastAsia="en-US"/>
        </w:rPr>
      </w:pPr>
      <w:proofErr w:type="spellStart"/>
      <w:r w:rsidRPr="006440CB">
        <w:rPr>
          <w:rFonts w:eastAsiaTheme="minorHAnsi" w:cstheme="minorBidi"/>
          <w:szCs w:val="24"/>
          <w:lang w:eastAsia="en-US"/>
        </w:rPr>
        <w:t>Intimée</w:t>
      </w:r>
      <w:proofErr w:type="spellEnd"/>
    </w:p>
    <w:p w:rsidR="002B3AD6" w:rsidRPr="006440CB" w:rsidRDefault="002B3AD6" w:rsidP="002B3AD6">
      <w:pPr>
        <w:rPr>
          <w:rFonts w:eastAsiaTheme="minorHAnsi" w:cstheme="minorBidi"/>
          <w:szCs w:val="24"/>
          <w:lang w:eastAsia="en-US"/>
        </w:rPr>
      </w:pPr>
    </w:p>
    <w:p w:rsidR="002B3AD6" w:rsidRPr="006440CB" w:rsidRDefault="002B3AD6" w:rsidP="002B3AD6">
      <w:pPr>
        <w:rPr>
          <w:rFonts w:eastAsiaTheme="minorHAnsi" w:cstheme="minorBidi"/>
          <w:szCs w:val="24"/>
          <w:lang w:eastAsia="en-US"/>
        </w:rPr>
      </w:pPr>
    </w:p>
    <w:p w:rsidR="002B3AD6" w:rsidRPr="006440CB" w:rsidRDefault="002B3AD6" w:rsidP="002B3AD6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proofErr w:type="spellStart"/>
      <w:r w:rsidRPr="006440CB">
        <w:rPr>
          <w:rFonts w:eastAsiaTheme="minorHAnsi" w:cstheme="minorBidi"/>
          <w:b/>
          <w:smallCaps/>
          <w:szCs w:val="24"/>
          <w:lang w:eastAsia="en-US"/>
        </w:rPr>
        <w:t>Traduction</w:t>
      </w:r>
      <w:proofErr w:type="spellEnd"/>
      <w:r w:rsidRPr="006440CB">
        <w:rPr>
          <w:rFonts w:eastAsiaTheme="minorHAnsi" w:cstheme="minorBidi"/>
          <w:b/>
          <w:smallCaps/>
          <w:szCs w:val="24"/>
          <w:lang w:eastAsia="en-US"/>
        </w:rPr>
        <w:t xml:space="preserve"> </w:t>
      </w:r>
      <w:proofErr w:type="spellStart"/>
      <w:r w:rsidRPr="006440CB">
        <w:rPr>
          <w:rFonts w:eastAsiaTheme="minorHAnsi" w:cstheme="minorBidi"/>
          <w:b/>
          <w:smallCaps/>
          <w:szCs w:val="24"/>
          <w:lang w:eastAsia="en-US"/>
        </w:rPr>
        <w:t>française</w:t>
      </w:r>
      <w:proofErr w:type="spellEnd"/>
      <w:r w:rsidRPr="006440CB">
        <w:rPr>
          <w:rFonts w:eastAsiaTheme="minorHAnsi" w:cstheme="minorBidi"/>
          <w:b/>
          <w:smallCaps/>
          <w:szCs w:val="24"/>
          <w:lang w:eastAsia="en-US"/>
        </w:rPr>
        <w:t xml:space="preserve"> </w:t>
      </w:r>
      <w:proofErr w:type="spellStart"/>
      <w:r w:rsidRPr="006440CB">
        <w:rPr>
          <w:rFonts w:eastAsiaTheme="minorHAnsi" w:cstheme="minorBidi"/>
          <w:b/>
          <w:smallCaps/>
          <w:szCs w:val="24"/>
          <w:lang w:eastAsia="en-US"/>
        </w:rPr>
        <w:t>officielle</w:t>
      </w:r>
      <w:proofErr w:type="spellEnd"/>
    </w:p>
    <w:p w:rsidR="002B3AD6" w:rsidRPr="006440CB" w:rsidRDefault="002B3AD6" w:rsidP="002B3AD6">
      <w:pPr>
        <w:rPr>
          <w:rFonts w:eastAsiaTheme="minorHAnsi" w:cstheme="minorBidi"/>
          <w:szCs w:val="24"/>
          <w:lang w:eastAsia="en-US"/>
        </w:rPr>
      </w:pPr>
    </w:p>
    <w:p w:rsidR="002B3AD6" w:rsidRPr="002B3AD6" w:rsidRDefault="002B3AD6" w:rsidP="002B3AD6">
      <w:pPr>
        <w:rPr>
          <w:rFonts w:eastAsiaTheme="minorHAnsi" w:cstheme="minorBidi"/>
          <w:szCs w:val="24"/>
          <w:lang w:val="fr-CA" w:eastAsia="en-US"/>
        </w:rPr>
      </w:pPr>
      <w:r w:rsidRPr="002B3AD6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2B3AD6">
        <w:rPr>
          <w:rFonts w:eastAsiaTheme="minorHAnsi" w:cstheme="minorBidi"/>
          <w:szCs w:val="24"/>
          <w:lang w:val="fr-CA" w:eastAsia="en-US"/>
        </w:rPr>
        <w:t xml:space="preserve"> Les juges </w:t>
      </w:r>
      <w:proofErr w:type="spellStart"/>
      <w:r w:rsidRPr="002B3AD6">
        <w:rPr>
          <w:rFonts w:eastAsiaTheme="minorHAnsi" w:cstheme="minorBidi"/>
          <w:szCs w:val="24"/>
          <w:lang w:val="fr-CA" w:eastAsia="en-US"/>
        </w:rPr>
        <w:t>Binnie</w:t>
      </w:r>
      <w:proofErr w:type="spellEnd"/>
      <w:r w:rsidRPr="002B3AD6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2B3AD6">
        <w:rPr>
          <w:rFonts w:eastAsiaTheme="minorHAnsi" w:cstheme="minorBidi"/>
          <w:szCs w:val="24"/>
          <w:lang w:val="fr-CA" w:eastAsia="en-US"/>
        </w:rPr>
        <w:t>LeBel</w:t>
      </w:r>
      <w:proofErr w:type="spellEnd"/>
      <w:r w:rsidRPr="002B3AD6">
        <w:rPr>
          <w:rFonts w:eastAsiaTheme="minorHAnsi" w:cstheme="minorBidi"/>
          <w:szCs w:val="24"/>
          <w:lang w:val="fr-CA" w:eastAsia="en-US"/>
        </w:rPr>
        <w:t xml:space="preserve">, Deschamps, Abella, Charron, </w:t>
      </w:r>
      <w:proofErr w:type="spellStart"/>
      <w:r w:rsidRPr="002B3AD6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2B3AD6">
        <w:rPr>
          <w:rFonts w:eastAsiaTheme="minorHAnsi" w:cstheme="minorBidi"/>
          <w:szCs w:val="24"/>
          <w:lang w:val="fr-CA" w:eastAsia="en-US"/>
        </w:rPr>
        <w:t xml:space="preserve"> et Cromwell</w:t>
      </w:r>
    </w:p>
    <w:p w:rsidR="002B3AD6" w:rsidRPr="002B3AD6" w:rsidRDefault="002B3AD6" w:rsidP="002B3AD6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2B3AD6" w:rsidRPr="002B3AD6" w:rsidTr="00BA475A">
        <w:trPr>
          <w:cantSplit/>
        </w:trPr>
        <w:tc>
          <w:tcPr>
            <w:tcW w:w="3618" w:type="dxa"/>
          </w:tcPr>
          <w:p w:rsidR="002B3AD6" w:rsidRPr="002B3AD6" w:rsidRDefault="002B3AD6" w:rsidP="00BA475A">
            <w:pPr>
              <w:rPr>
                <w:b/>
                <w:smallCaps/>
                <w:lang w:val="fr-CA"/>
              </w:rPr>
            </w:pPr>
            <w:r w:rsidRPr="002B3AD6">
              <w:rPr>
                <w:b/>
                <w:smallCaps/>
                <w:lang w:val="fr-CA"/>
              </w:rPr>
              <w:t>Motifs de jugement :</w:t>
            </w:r>
          </w:p>
          <w:p w:rsidR="002B3AD6" w:rsidRPr="002B3AD6" w:rsidRDefault="002B3AD6" w:rsidP="00BA475A">
            <w:pPr>
              <w:rPr>
                <w:lang w:val="fr-CA"/>
              </w:rPr>
            </w:pPr>
            <w:r w:rsidRPr="002B3AD6">
              <w:rPr>
                <w:lang w:val="fr-CA"/>
              </w:rPr>
              <w:t>(par. 1 à 24)</w:t>
            </w:r>
          </w:p>
        </w:tc>
        <w:tc>
          <w:tcPr>
            <w:tcW w:w="5958" w:type="dxa"/>
          </w:tcPr>
          <w:p w:rsidR="002B3AD6" w:rsidRPr="002B3AD6" w:rsidRDefault="002B3AD6" w:rsidP="00BA475A">
            <w:pPr>
              <w:rPr>
                <w:lang w:val="fr-CA"/>
              </w:rPr>
            </w:pPr>
            <w:r w:rsidRPr="002B3AD6">
              <w:rPr>
                <w:lang w:val="fr-CA"/>
              </w:rPr>
              <w:t xml:space="preserve">La juge Abella (avec l’accord des juges </w:t>
            </w:r>
            <w:proofErr w:type="spellStart"/>
            <w:r w:rsidRPr="002B3AD6">
              <w:rPr>
                <w:lang w:val="fr-CA"/>
              </w:rPr>
              <w:t>Binnie</w:t>
            </w:r>
            <w:proofErr w:type="spellEnd"/>
            <w:r w:rsidRPr="002B3AD6">
              <w:rPr>
                <w:lang w:val="fr-CA"/>
              </w:rPr>
              <w:t xml:space="preserve">, </w:t>
            </w:r>
            <w:proofErr w:type="spellStart"/>
            <w:r w:rsidRPr="002B3AD6">
              <w:rPr>
                <w:lang w:val="fr-CA"/>
              </w:rPr>
              <w:t>LeBel</w:t>
            </w:r>
            <w:proofErr w:type="spellEnd"/>
            <w:r w:rsidRPr="002B3AD6">
              <w:rPr>
                <w:lang w:val="fr-CA"/>
              </w:rPr>
              <w:t xml:space="preserve">, Deschamps, Charron, </w:t>
            </w:r>
            <w:proofErr w:type="spellStart"/>
            <w:r w:rsidRPr="002B3AD6">
              <w:rPr>
                <w:lang w:val="fr-CA"/>
              </w:rPr>
              <w:t>Rothstein</w:t>
            </w:r>
            <w:proofErr w:type="spellEnd"/>
            <w:r w:rsidRPr="002B3AD6">
              <w:rPr>
                <w:lang w:val="fr-CA"/>
              </w:rPr>
              <w:t xml:space="preserve"> et Cromwell)</w:t>
            </w:r>
          </w:p>
        </w:tc>
      </w:tr>
    </w:tbl>
    <w:p w:rsidR="002B3AD6" w:rsidRPr="002B3AD6" w:rsidRDefault="002B3AD6" w:rsidP="002B3AD6">
      <w:pPr>
        <w:rPr>
          <w:rFonts w:eastAsiaTheme="minorHAnsi" w:cstheme="minorBidi"/>
          <w:szCs w:val="24"/>
          <w:lang w:val="fr-CA" w:eastAsia="en-US"/>
        </w:rPr>
      </w:pPr>
    </w:p>
    <w:p w:rsidR="002B3AD6" w:rsidRPr="002B3AD6" w:rsidRDefault="002B3AD6" w:rsidP="002B3AD6">
      <w:pPr>
        <w:rPr>
          <w:rFonts w:eastAsiaTheme="minorHAnsi" w:cstheme="minorBidi"/>
          <w:szCs w:val="24"/>
          <w:lang w:val="fr-CA"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2B3AD6" w:rsidRPr="002B3AD6" w:rsidRDefault="002B3AD6" w:rsidP="002B3AD6">
      <w:pPr>
        <w:rPr>
          <w:rStyle w:val="SCCAppellantForIndexChar"/>
          <w:b w:val="0"/>
          <w:lang w:val="fr-CA"/>
        </w:rPr>
      </w:pPr>
      <w:r w:rsidRPr="002B3AD6">
        <w:rPr>
          <w:rStyle w:val="SCCAppellantForRunningHeadChar"/>
          <w:lang w:val="fr-CA"/>
        </w:rPr>
        <w:br w:type="page"/>
      </w:r>
    </w:p>
    <w:p w:rsidR="008322BD" w:rsidRPr="00C101C9" w:rsidRDefault="00C101C9" w:rsidP="006519A8">
      <w:pPr>
        <w:spacing w:line="480" w:lineRule="auto"/>
        <w:jc w:val="both"/>
        <w:rPr>
          <w:lang w:val="en-US"/>
        </w:rPr>
      </w:pPr>
      <w:proofErr w:type="spellStart"/>
      <w:r w:rsidRPr="00C101C9">
        <w:rPr>
          <w:rStyle w:val="SCCAppellantForIndexChar"/>
          <w:b w:val="0"/>
          <w:lang w:val="en-US"/>
        </w:rPr>
        <w:lastRenderedPageBreak/>
        <w:t>Manuge</w:t>
      </w:r>
      <w:proofErr w:type="spellEnd"/>
      <w:r w:rsidRPr="00C101C9">
        <w:rPr>
          <w:lang w:val="en-US"/>
        </w:rPr>
        <w:t xml:space="preserve"> </w:t>
      </w:r>
      <w:r w:rsidRPr="00C101C9">
        <w:rPr>
          <w:i/>
          <w:lang w:val="en-US"/>
        </w:rPr>
        <w:t>c.</w:t>
      </w:r>
      <w:r w:rsidRPr="00C101C9">
        <w:rPr>
          <w:lang w:val="en-US"/>
        </w:rPr>
        <w:t xml:space="preserve"> </w:t>
      </w:r>
      <w:r w:rsidRPr="00C101C9">
        <w:rPr>
          <w:rStyle w:val="SCCRespondentForIndexChar"/>
          <w:b w:val="0"/>
          <w:lang w:val="en-US"/>
        </w:rPr>
        <w:t>Canada</w:t>
      </w:r>
      <w:r w:rsidRPr="00C101C9">
        <w:rPr>
          <w:rStyle w:val="SCCRespondentForRunningHeadChar"/>
          <w:lang w:val="en-US"/>
        </w:rPr>
        <w:t xml:space="preserve">, </w:t>
      </w:r>
      <w:r>
        <w:rPr>
          <w:rStyle w:val="SCCRespondentForIndexChar"/>
          <w:b w:val="0"/>
        </w:rPr>
        <w:t xml:space="preserve">2010 </w:t>
      </w:r>
      <w:r w:rsidR="00AA61F6">
        <w:rPr>
          <w:rStyle w:val="SCCRespondentForIndexChar"/>
          <w:b w:val="0"/>
        </w:rPr>
        <w:t>C</w:t>
      </w:r>
      <w:r>
        <w:rPr>
          <w:rStyle w:val="SCCRespondentForIndexChar"/>
          <w:b w:val="0"/>
        </w:rPr>
        <w:t xml:space="preserve">SC 67, [2010] 3 </w:t>
      </w:r>
      <w:r w:rsidR="00AA61F6">
        <w:rPr>
          <w:rStyle w:val="SCCRespondentForIndexChar"/>
          <w:b w:val="0"/>
        </w:rPr>
        <w:t>R.C.</w:t>
      </w:r>
      <w:r>
        <w:rPr>
          <w:rStyle w:val="SCCRespondentForIndexChar"/>
          <w:b w:val="0"/>
        </w:rPr>
        <w:t>S. 672</w:t>
      </w:r>
    </w:p>
    <w:p w:rsidR="00766D14" w:rsidRPr="00C101C9" w:rsidRDefault="00766D14" w:rsidP="006519A8">
      <w:pPr>
        <w:spacing w:line="480" w:lineRule="auto"/>
        <w:jc w:val="both"/>
        <w:rPr>
          <w:lang w:val="en-US"/>
        </w:rPr>
      </w:pPr>
    </w:p>
    <w:p w:rsidR="00F721BA" w:rsidRPr="008F5A08" w:rsidRDefault="00531E5E" w:rsidP="00174BE6">
      <w:pPr>
        <w:pStyle w:val="SCCLsocParty"/>
        <w:tabs>
          <w:tab w:val="right" w:pos="8280"/>
        </w:tabs>
        <w:spacing w:after="0" w:line="480" w:lineRule="auto"/>
        <w:rPr>
          <w:b/>
          <w:i/>
          <w:lang w:val="fr-CA"/>
        </w:rPr>
      </w:pPr>
      <w:r w:rsidRPr="008F5A08">
        <w:rPr>
          <w:b/>
          <w:lang w:val="fr-CA"/>
        </w:rPr>
        <w:t xml:space="preserve">Dennis </w:t>
      </w:r>
      <w:proofErr w:type="spellStart"/>
      <w:r w:rsidRPr="008F5A08">
        <w:rPr>
          <w:b/>
          <w:lang w:val="fr-CA"/>
        </w:rPr>
        <w:t>Manuge</w:t>
      </w:r>
      <w:proofErr w:type="spellEnd"/>
      <w:r w:rsidR="0009221B" w:rsidRPr="008F5A08">
        <w:rPr>
          <w:lang w:val="fr-CA"/>
        </w:rPr>
        <w:tab/>
      </w:r>
      <w:r w:rsidRPr="008F5A08">
        <w:rPr>
          <w:i/>
          <w:lang w:val="fr-CA"/>
        </w:rPr>
        <w:t>Appelant</w:t>
      </w:r>
    </w:p>
    <w:p w:rsidR="0009221B" w:rsidRPr="008F5A08" w:rsidRDefault="0009221B" w:rsidP="00B436D2">
      <w:pPr>
        <w:spacing w:line="480" w:lineRule="auto"/>
        <w:jc w:val="right"/>
        <w:rPr>
          <w:lang w:val="fr-CA"/>
        </w:rPr>
      </w:pPr>
    </w:p>
    <w:p w:rsidR="00F721BA" w:rsidRPr="008F5A08" w:rsidRDefault="00531E5E" w:rsidP="00174BE6">
      <w:pPr>
        <w:pStyle w:val="SCCLsocVersus"/>
        <w:spacing w:after="0" w:line="480" w:lineRule="auto"/>
        <w:rPr>
          <w:i/>
          <w:lang w:val="fr-CA"/>
        </w:rPr>
      </w:pPr>
      <w:proofErr w:type="gramStart"/>
      <w:r w:rsidRPr="008F5A08">
        <w:rPr>
          <w:i/>
          <w:lang w:val="fr-CA"/>
        </w:rPr>
        <w:t>c</w:t>
      </w:r>
      <w:proofErr w:type="gramEnd"/>
      <w:r w:rsidRPr="008F5A08">
        <w:rPr>
          <w:i/>
          <w:lang w:val="fr-CA"/>
        </w:rPr>
        <w:t>.</w:t>
      </w:r>
      <w:r w:rsidRPr="008F5A08">
        <w:rPr>
          <w:i/>
          <w:lang w:val="fr-CA"/>
        </w:rPr>
        <w:br/>
      </w:r>
    </w:p>
    <w:p w:rsidR="00F721BA" w:rsidRPr="008F5A08" w:rsidRDefault="00531E5E" w:rsidP="00174BE6">
      <w:pPr>
        <w:pStyle w:val="SCCLsocParty"/>
        <w:tabs>
          <w:tab w:val="right" w:pos="8280"/>
        </w:tabs>
        <w:spacing w:after="0" w:line="480" w:lineRule="auto"/>
        <w:rPr>
          <w:lang w:val="fr-CA"/>
        </w:rPr>
      </w:pPr>
      <w:r w:rsidRPr="008F5A08">
        <w:rPr>
          <w:b/>
          <w:lang w:val="fr-CA"/>
        </w:rPr>
        <w:t>Sa Majesté la Reine</w:t>
      </w:r>
      <w:r w:rsidR="0009221B" w:rsidRPr="008F5A08">
        <w:rPr>
          <w:lang w:val="fr-CA"/>
        </w:rPr>
        <w:tab/>
      </w:r>
      <w:r w:rsidR="0009221B" w:rsidRPr="008F5A08">
        <w:rPr>
          <w:i/>
          <w:lang w:val="fr-CA"/>
        </w:rPr>
        <w:t>Intimé</w:t>
      </w:r>
      <w:r w:rsidRPr="008F5A08">
        <w:rPr>
          <w:i/>
          <w:lang w:val="fr-CA"/>
        </w:rPr>
        <w:t>e</w:t>
      </w:r>
    </w:p>
    <w:p w:rsidR="00766D14" w:rsidRPr="008F5A08" w:rsidRDefault="00766D14" w:rsidP="006519A8">
      <w:pPr>
        <w:spacing w:line="480" w:lineRule="auto"/>
        <w:jc w:val="both"/>
        <w:rPr>
          <w:lang w:val="fr-CA"/>
        </w:rPr>
      </w:pPr>
    </w:p>
    <w:p w:rsidR="00426659" w:rsidRPr="008F5A08" w:rsidRDefault="0043088E" w:rsidP="006519A8">
      <w:pPr>
        <w:spacing w:line="480" w:lineRule="auto"/>
        <w:jc w:val="both"/>
        <w:rPr>
          <w:b/>
          <w:lang w:val="fr-CA"/>
        </w:rPr>
      </w:pPr>
      <w:r w:rsidRPr="008F5A08">
        <w:rPr>
          <w:b/>
          <w:lang w:val="fr-CA"/>
        </w:rPr>
        <w:t>Répertorié</w:t>
      </w:r>
      <w:r w:rsidR="00C67CA5" w:rsidRPr="008F5A08">
        <w:rPr>
          <w:b/>
          <w:lang w:val="fr-CA"/>
        </w:rPr>
        <w:t> </w:t>
      </w:r>
      <w:r w:rsidR="00426659" w:rsidRPr="008F5A08">
        <w:rPr>
          <w:b/>
          <w:lang w:val="fr-CA"/>
        </w:rPr>
        <w:t>:</w:t>
      </w:r>
      <w:r w:rsidR="00C67CA5" w:rsidRPr="008F5A08">
        <w:rPr>
          <w:b/>
          <w:lang w:val="fr-CA"/>
        </w:rPr>
        <w:t> </w:t>
      </w:r>
      <w:proofErr w:type="spellStart"/>
      <w:r w:rsidRPr="008F5A08">
        <w:rPr>
          <w:rStyle w:val="SCCAppellantForIndexChar"/>
          <w:lang w:val="fr-CA"/>
        </w:rPr>
        <w:t>Manuge</w:t>
      </w:r>
      <w:proofErr w:type="spellEnd"/>
      <w:r w:rsidR="00426659" w:rsidRPr="008F5A08">
        <w:rPr>
          <w:b/>
          <w:lang w:val="fr-CA"/>
        </w:rPr>
        <w:t xml:space="preserve"> </w:t>
      </w:r>
      <w:r w:rsidR="00645057" w:rsidRPr="008F5A08">
        <w:rPr>
          <w:b/>
          <w:i/>
          <w:lang w:val="fr-CA"/>
        </w:rPr>
        <w:t>c</w:t>
      </w:r>
      <w:r w:rsidR="00426659" w:rsidRPr="008F5A08">
        <w:rPr>
          <w:b/>
          <w:i/>
          <w:lang w:val="fr-CA"/>
        </w:rPr>
        <w:t>.</w:t>
      </w:r>
      <w:r w:rsidR="00426659" w:rsidRPr="008F5A08">
        <w:rPr>
          <w:b/>
          <w:lang w:val="fr-CA"/>
        </w:rPr>
        <w:t xml:space="preserve"> </w:t>
      </w:r>
      <w:r w:rsidR="0009221B" w:rsidRPr="008F5A08">
        <w:rPr>
          <w:rStyle w:val="SCCRespondentForIndexChar"/>
          <w:lang w:val="fr-CA"/>
        </w:rPr>
        <w:t>Canada</w:t>
      </w:r>
    </w:p>
    <w:p w:rsidR="00426659" w:rsidRPr="008F5A08" w:rsidRDefault="00426659" w:rsidP="006519A8">
      <w:pPr>
        <w:spacing w:line="480" w:lineRule="auto"/>
        <w:jc w:val="both"/>
        <w:rPr>
          <w:lang w:val="fr-CA"/>
        </w:rPr>
      </w:pPr>
    </w:p>
    <w:p w:rsidR="00426659" w:rsidRPr="008F5A08" w:rsidRDefault="00F853FB" w:rsidP="006519A8">
      <w:pPr>
        <w:pStyle w:val="SCCSystemYear"/>
        <w:spacing w:line="480" w:lineRule="auto"/>
        <w:jc w:val="both"/>
        <w:rPr>
          <w:lang w:val="fr-CA"/>
        </w:rPr>
      </w:pPr>
      <w:r w:rsidRPr="008F5A08">
        <w:rPr>
          <w:lang w:val="fr-CA"/>
        </w:rPr>
        <w:t>2010</w:t>
      </w:r>
      <w:r w:rsidR="00BF5D2F" w:rsidRPr="008F5A08">
        <w:rPr>
          <w:lang w:val="fr-CA"/>
        </w:rPr>
        <w:t> </w:t>
      </w:r>
      <w:r w:rsidR="00C71F58" w:rsidRPr="008F5A08">
        <w:rPr>
          <w:lang w:val="fr-CA"/>
        </w:rPr>
        <w:t>C</w:t>
      </w:r>
      <w:r w:rsidR="00BF5D2F" w:rsidRPr="008F5A08">
        <w:rPr>
          <w:lang w:val="fr-CA"/>
        </w:rPr>
        <w:t>SC </w:t>
      </w:r>
      <w:r w:rsidR="00F947F9" w:rsidRPr="008F5A08">
        <w:rPr>
          <w:lang w:val="fr-CA"/>
        </w:rPr>
        <w:t>67</w:t>
      </w:r>
    </w:p>
    <w:p w:rsidR="007834A8" w:rsidRPr="008F5A08" w:rsidRDefault="007834A8" w:rsidP="006519A8">
      <w:pPr>
        <w:spacing w:line="480" w:lineRule="auto"/>
        <w:jc w:val="both"/>
        <w:rPr>
          <w:lang w:val="fr-CA"/>
        </w:rPr>
      </w:pPr>
    </w:p>
    <w:p w:rsidR="008322BD" w:rsidRPr="008F5A08" w:rsidRDefault="009B57B3" w:rsidP="006519A8">
      <w:pPr>
        <w:spacing w:line="480" w:lineRule="auto"/>
        <w:jc w:val="both"/>
        <w:rPr>
          <w:lang w:val="fr-CA"/>
        </w:rPr>
      </w:pPr>
      <w:r w:rsidRPr="008F5A08">
        <w:rPr>
          <w:lang w:val="fr-CA"/>
        </w:rPr>
        <w:t>N</w:t>
      </w:r>
      <w:r w:rsidRPr="008F5A08">
        <w:rPr>
          <w:vertAlign w:val="superscript"/>
          <w:lang w:val="fr-CA"/>
        </w:rPr>
        <w:t>o</w:t>
      </w:r>
      <w:r w:rsidR="0043088E" w:rsidRPr="008F5A08">
        <w:rPr>
          <w:lang w:val="fr-CA"/>
        </w:rPr>
        <w:t xml:space="preserve"> du greffe</w:t>
      </w:r>
      <w:r w:rsidR="00C67CA5" w:rsidRPr="008F5A08">
        <w:rPr>
          <w:lang w:val="fr-CA"/>
        </w:rPr>
        <w:t> </w:t>
      </w:r>
      <w:r w:rsidRPr="008F5A08">
        <w:rPr>
          <w:lang w:val="fr-CA"/>
        </w:rPr>
        <w:t>:</w:t>
      </w:r>
      <w:r w:rsidR="00C67CA5" w:rsidRPr="008F5A08">
        <w:rPr>
          <w:lang w:val="fr-CA"/>
        </w:rPr>
        <w:t> </w:t>
      </w:r>
      <w:r w:rsidRPr="008F5A08">
        <w:rPr>
          <w:lang w:val="fr-CA"/>
        </w:rPr>
        <w:t>33103.</w:t>
      </w:r>
    </w:p>
    <w:p w:rsidR="007834A8" w:rsidRPr="008F5A08" w:rsidRDefault="007834A8" w:rsidP="006519A8">
      <w:pPr>
        <w:spacing w:line="480" w:lineRule="auto"/>
        <w:jc w:val="both"/>
        <w:rPr>
          <w:lang w:val="fr-CA"/>
        </w:rPr>
      </w:pPr>
    </w:p>
    <w:p w:rsidR="008322BD" w:rsidRPr="008F5A08" w:rsidRDefault="00BF5D2F" w:rsidP="006519A8">
      <w:pPr>
        <w:spacing w:line="480" w:lineRule="auto"/>
        <w:jc w:val="both"/>
        <w:rPr>
          <w:lang w:val="fr-CA"/>
        </w:rPr>
      </w:pPr>
      <w:r w:rsidRPr="008F5A08">
        <w:rPr>
          <w:lang w:val="fr-CA"/>
        </w:rPr>
        <w:t>2010 : 20</w:t>
      </w:r>
      <w:r w:rsidR="00AF0EE2">
        <w:rPr>
          <w:lang w:val="fr-CA"/>
        </w:rPr>
        <w:t>, 21</w:t>
      </w:r>
      <w:r w:rsidRPr="008F5A08">
        <w:rPr>
          <w:lang w:val="fr-CA"/>
        </w:rPr>
        <w:t> </w:t>
      </w:r>
      <w:r w:rsidR="00F853FB" w:rsidRPr="008F5A08">
        <w:rPr>
          <w:lang w:val="fr-CA"/>
        </w:rPr>
        <w:t>janvier</w:t>
      </w:r>
      <w:r w:rsidR="009B57B3" w:rsidRPr="008F5A08">
        <w:rPr>
          <w:lang w:val="fr-CA"/>
        </w:rPr>
        <w:t xml:space="preserve">; </w:t>
      </w:r>
      <w:r w:rsidR="006519A8" w:rsidRPr="008F5A08">
        <w:rPr>
          <w:lang w:val="fr-CA"/>
        </w:rPr>
        <w:t>2010 : 23</w:t>
      </w:r>
      <w:r w:rsidRPr="008F5A08">
        <w:rPr>
          <w:lang w:val="fr-CA"/>
        </w:rPr>
        <w:t> </w:t>
      </w:r>
      <w:r w:rsidR="0009221B" w:rsidRPr="008F5A08">
        <w:rPr>
          <w:lang w:val="fr-CA"/>
        </w:rPr>
        <w:t>décembre</w:t>
      </w:r>
      <w:r w:rsidR="009B57B3" w:rsidRPr="008F5A08">
        <w:rPr>
          <w:lang w:val="fr-CA"/>
        </w:rPr>
        <w:t>.</w:t>
      </w:r>
    </w:p>
    <w:p w:rsidR="00E97830" w:rsidRPr="008F5A08" w:rsidRDefault="00E97830" w:rsidP="006519A8">
      <w:pPr>
        <w:spacing w:line="480" w:lineRule="auto"/>
        <w:jc w:val="both"/>
        <w:rPr>
          <w:lang w:val="fr-CA"/>
        </w:rPr>
      </w:pPr>
    </w:p>
    <w:p w:rsidR="008322BD" w:rsidRPr="008F5A08" w:rsidRDefault="009B57B3" w:rsidP="00BF5D2F">
      <w:pPr>
        <w:spacing w:after="720"/>
        <w:jc w:val="both"/>
        <w:rPr>
          <w:lang w:val="fr-CA"/>
        </w:rPr>
      </w:pPr>
      <w:r w:rsidRPr="008F5A08">
        <w:rPr>
          <w:lang w:val="fr-CA"/>
        </w:rPr>
        <w:t>Pr</w:t>
      </w:r>
      <w:r w:rsidR="0043088E" w:rsidRPr="008F5A08">
        <w:rPr>
          <w:lang w:val="fr-CA"/>
        </w:rPr>
        <w:t>é</w:t>
      </w:r>
      <w:r w:rsidRPr="008F5A08">
        <w:rPr>
          <w:lang w:val="fr-CA"/>
        </w:rPr>
        <w:t>sent</w:t>
      </w:r>
      <w:r w:rsidR="008A6558" w:rsidRPr="008F5A08">
        <w:rPr>
          <w:lang w:val="fr-CA"/>
        </w:rPr>
        <w:t>s</w:t>
      </w:r>
      <w:r w:rsidR="00C67CA5" w:rsidRPr="008F5A08">
        <w:rPr>
          <w:lang w:val="fr-CA"/>
        </w:rPr>
        <w:t> </w:t>
      </w:r>
      <w:r w:rsidRPr="008F5A08">
        <w:rPr>
          <w:lang w:val="fr-CA"/>
        </w:rPr>
        <w:t>:</w:t>
      </w:r>
      <w:r w:rsidR="00C67CA5" w:rsidRPr="008F5A08">
        <w:rPr>
          <w:lang w:val="fr-CA"/>
        </w:rPr>
        <w:t> </w:t>
      </w:r>
      <w:r w:rsidR="0058603E" w:rsidRPr="008F5A08">
        <w:rPr>
          <w:lang w:val="fr-CA"/>
        </w:rPr>
        <w:t xml:space="preserve">Les juges </w:t>
      </w:r>
      <w:proofErr w:type="spellStart"/>
      <w:r w:rsidRPr="008F5A08">
        <w:rPr>
          <w:lang w:val="fr-CA"/>
        </w:rPr>
        <w:t>Binnie</w:t>
      </w:r>
      <w:proofErr w:type="spellEnd"/>
      <w:r w:rsidRPr="008F5A08">
        <w:rPr>
          <w:lang w:val="fr-CA"/>
        </w:rPr>
        <w:t xml:space="preserve">, </w:t>
      </w:r>
      <w:proofErr w:type="spellStart"/>
      <w:r w:rsidRPr="008F5A08">
        <w:rPr>
          <w:lang w:val="fr-CA"/>
        </w:rPr>
        <w:t>LeBel</w:t>
      </w:r>
      <w:proofErr w:type="spellEnd"/>
      <w:r w:rsidRPr="008F5A08">
        <w:rPr>
          <w:lang w:val="fr-CA"/>
        </w:rPr>
        <w:t xml:space="preserve">, Deschamps, Abella, Charron, </w:t>
      </w:r>
      <w:proofErr w:type="spellStart"/>
      <w:r w:rsidRPr="008F5A08">
        <w:rPr>
          <w:lang w:val="fr-CA"/>
        </w:rPr>
        <w:t>Rothstein</w:t>
      </w:r>
      <w:proofErr w:type="spellEnd"/>
      <w:r w:rsidRPr="008F5A08">
        <w:rPr>
          <w:lang w:val="fr-CA"/>
        </w:rPr>
        <w:t xml:space="preserve"> et Cromwell.</w:t>
      </w:r>
    </w:p>
    <w:p w:rsidR="008322BD" w:rsidRPr="008F5A08" w:rsidRDefault="00AC7437" w:rsidP="006519A8">
      <w:pPr>
        <w:pStyle w:val="SCCLowerCourtNameLowercase"/>
        <w:rPr>
          <w:lang w:val="fr-CA"/>
        </w:rPr>
      </w:pPr>
      <w:r w:rsidRPr="008F5A08">
        <w:rPr>
          <w:lang w:val="fr-CA"/>
        </w:rPr>
        <w:t>e</w:t>
      </w:r>
      <w:r w:rsidR="00855307" w:rsidRPr="008F5A08">
        <w:rPr>
          <w:lang w:val="fr-CA"/>
        </w:rPr>
        <w:t>n</w:t>
      </w:r>
      <w:r w:rsidR="00224FC0" w:rsidRPr="008F5A08">
        <w:rPr>
          <w:lang w:val="fr-CA"/>
        </w:rPr>
        <w:t xml:space="preserve"> </w:t>
      </w:r>
      <w:r w:rsidR="00855307" w:rsidRPr="008F5A08">
        <w:rPr>
          <w:lang w:val="fr-CA"/>
        </w:rPr>
        <w:t>appel</w:t>
      </w:r>
      <w:r w:rsidR="00224FC0" w:rsidRPr="008F5A08">
        <w:rPr>
          <w:lang w:val="fr-CA"/>
        </w:rPr>
        <w:t xml:space="preserve"> </w:t>
      </w:r>
      <w:r w:rsidR="00855307" w:rsidRPr="008F5A08">
        <w:rPr>
          <w:lang w:val="fr-CA"/>
        </w:rPr>
        <w:t>de</w:t>
      </w:r>
      <w:r w:rsidR="0043088E" w:rsidRPr="008F5A08">
        <w:rPr>
          <w:lang w:val="fr-CA"/>
        </w:rPr>
        <w:t xml:space="preserve"> </w:t>
      </w:r>
      <w:r w:rsidR="00855307" w:rsidRPr="008F5A08">
        <w:rPr>
          <w:lang w:val="fr-CA"/>
        </w:rPr>
        <w:t>la</w:t>
      </w:r>
      <w:r w:rsidR="00224FC0" w:rsidRPr="008F5A08">
        <w:rPr>
          <w:lang w:val="fr-CA"/>
        </w:rPr>
        <w:t xml:space="preserve"> </w:t>
      </w:r>
      <w:r w:rsidR="009B57B3" w:rsidRPr="008F5A08">
        <w:rPr>
          <w:lang w:val="fr-CA"/>
        </w:rPr>
        <w:t>cour d</w:t>
      </w:r>
      <w:r w:rsidR="00AF0EE2">
        <w:rPr>
          <w:lang w:val="fr-CA"/>
        </w:rPr>
        <w:t>’</w:t>
      </w:r>
      <w:r w:rsidR="009B57B3" w:rsidRPr="008F5A08">
        <w:rPr>
          <w:lang w:val="fr-CA"/>
        </w:rPr>
        <w:t>appel fédérale</w:t>
      </w:r>
    </w:p>
    <w:p w:rsidR="003A4C70" w:rsidRPr="008F5A08" w:rsidRDefault="003A4C70" w:rsidP="00621BA8">
      <w:pPr>
        <w:pStyle w:val="SCCNormalDoubleSpacing"/>
        <w:tabs>
          <w:tab w:val="left" w:pos="1170"/>
        </w:tabs>
        <w:rPr>
          <w:lang w:val="fr-CA"/>
        </w:rPr>
      </w:pPr>
    </w:p>
    <w:p w:rsidR="008322BD" w:rsidRPr="00AF0EE2" w:rsidRDefault="009B57B3" w:rsidP="00621BA8">
      <w:pPr>
        <w:pStyle w:val="SCCNormalDoubleSpacing"/>
        <w:tabs>
          <w:tab w:val="left" w:pos="1170"/>
        </w:tabs>
        <w:rPr>
          <w:lang w:val="fr-CA"/>
        </w:rPr>
      </w:pPr>
      <w:r w:rsidRPr="008F5A08">
        <w:rPr>
          <w:lang w:val="fr-CA"/>
        </w:rPr>
        <w:tab/>
      </w:r>
      <w:r w:rsidR="0058603E" w:rsidRPr="008F5A08">
        <w:rPr>
          <w:i/>
          <w:lang w:val="fr-CA"/>
        </w:rPr>
        <w:t xml:space="preserve">Tribunaux — Cour fédérale — Procédure </w:t>
      </w:r>
      <w:r w:rsidR="00621BA8" w:rsidRPr="008F5A08">
        <w:rPr>
          <w:i/>
          <w:lang w:val="fr-CA"/>
        </w:rPr>
        <w:t>―</w:t>
      </w:r>
      <w:r w:rsidR="0058603E" w:rsidRPr="008F5A08">
        <w:rPr>
          <w:i/>
          <w:lang w:val="fr-CA"/>
        </w:rPr>
        <w:t xml:space="preserve"> Action intentée </w:t>
      </w:r>
      <w:r w:rsidR="00BC5288" w:rsidRPr="008F5A08">
        <w:rPr>
          <w:i/>
          <w:lang w:val="fr-CA"/>
        </w:rPr>
        <w:t xml:space="preserve">en Cour fédérale </w:t>
      </w:r>
      <w:r w:rsidR="0058603E" w:rsidRPr="008F5A08">
        <w:rPr>
          <w:i/>
          <w:lang w:val="fr-CA"/>
        </w:rPr>
        <w:t>contre</w:t>
      </w:r>
      <w:r w:rsidR="00BC5288" w:rsidRPr="008F5A08">
        <w:rPr>
          <w:i/>
          <w:lang w:val="fr-CA"/>
        </w:rPr>
        <w:t xml:space="preserve"> la Couronne fédérale pour </w:t>
      </w:r>
      <w:r w:rsidR="00BC5288" w:rsidRPr="008F5A08">
        <w:rPr>
          <w:i/>
          <w:szCs w:val="24"/>
          <w:lang w:val="fr-CA"/>
        </w:rPr>
        <w:t xml:space="preserve">obtenir des réparations constitutionnelles, </w:t>
      </w:r>
      <w:r w:rsidR="00BC5288" w:rsidRPr="008F5A08">
        <w:rPr>
          <w:i/>
          <w:szCs w:val="24"/>
          <w:lang w:val="fr-CA"/>
        </w:rPr>
        <w:lastRenderedPageBreak/>
        <w:t xml:space="preserve">des jugements déclaratoires et des </w:t>
      </w:r>
      <w:proofErr w:type="spellStart"/>
      <w:r w:rsidR="00BC5288" w:rsidRPr="008F5A08">
        <w:rPr>
          <w:i/>
          <w:szCs w:val="24"/>
          <w:lang w:val="fr-CA"/>
        </w:rPr>
        <w:t>dommages</w:t>
      </w:r>
      <w:r w:rsidR="00F5645D" w:rsidRPr="008F5A08">
        <w:rPr>
          <w:i/>
          <w:szCs w:val="24"/>
          <w:lang w:val="fr-CA"/>
        </w:rPr>
        <w:noBreakHyphen/>
      </w:r>
      <w:r w:rsidR="00BC5288" w:rsidRPr="008F5A08">
        <w:rPr>
          <w:i/>
          <w:szCs w:val="24"/>
          <w:lang w:val="fr-CA"/>
        </w:rPr>
        <w:t>intérêts</w:t>
      </w:r>
      <w:proofErr w:type="spellEnd"/>
      <w:r w:rsidR="0058603E" w:rsidRPr="008F5A08">
        <w:rPr>
          <w:i/>
          <w:lang w:val="fr-CA"/>
        </w:rPr>
        <w:t xml:space="preserve">  </w:t>
      </w:r>
      <w:r w:rsidR="00C423B5" w:rsidRPr="008F5A08">
        <w:rPr>
          <w:i/>
          <w:lang w:val="fr-CA"/>
        </w:rPr>
        <w:t xml:space="preserve">par suite de la constitution, de la </w:t>
      </w:r>
      <w:r w:rsidR="0058603E" w:rsidRPr="008F5A08">
        <w:rPr>
          <w:i/>
          <w:lang w:val="fr-CA"/>
        </w:rPr>
        <w:t>modification</w:t>
      </w:r>
      <w:r w:rsidR="00C423B5" w:rsidRPr="008F5A08">
        <w:rPr>
          <w:i/>
          <w:lang w:val="fr-CA"/>
        </w:rPr>
        <w:t xml:space="preserve"> et de l</w:t>
      </w:r>
      <w:r w:rsidR="00AF0EE2">
        <w:rPr>
          <w:i/>
          <w:lang w:val="fr-CA"/>
        </w:rPr>
        <w:t>’</w:t>
      </w:r>
      <w:r w:rsidR="00C423B5" w:rsidRPr="008F5A08">
        <w:rPr>
          <w:i/>
          <w:lang w:val="fr-CA"/>
        </w:rPr>
        <w:t>application d</w:t>
      </w:r>
      <w:r w:rsidR="00AF0EE2">
        <w:rPr>
          <w:i/>
          <w:lang w:val="fr-CA"/>
        </w:rPr>
        <w:t>’</w:t>
      </w:r>
      <w:r w:rsidR="00C423B5" w:rsidRPr="008F5A08">
        <w:rPr>
          <w:i/>
          <w:lang w:val="fr-CA"/>
        </w:rPr>
        <w:t xml:space="preserve">un régime de </w:t>
      </w:r>
      <w:r w:rsidR="00EB186C" w:rsidRPr="008F5A08">
        <w:rPr>
          <w:i/>
          <w:lang w:val="fr-CA"/>
        </w:rPr>
        <w:t>prestations d</w:t>
      </w:r>
      <w:r w:rsidR="00AF0EE2">
        <w:rPr>
          <w:i/>
          <w:lang w:val="fr-CA"/>
        </w:rPr>
        <w:t>’</w:t>
      </w:r>
      <w:r w:rsidR="00EB186C" w:rsidRPr="008F5A08">
        <w:rPr>
          <w:i/>
          <w:lang w:val="fr-CA"/>
        </w:rPr>
        <w:t>invalidité de longue durée</w:t>
      </w:r>
      <w:r w:rsidR="0058603E" w:rsidRPr="008F5A08">
        <w:rPr>
          <w:i/>
          <w:lang w:val="fr-CA"/>
        </w:rPr>
        <w:t xml:space="preserve"> — Le demandeur </w:t>
      </w:r>
      <w:proofErr w:type="spellStart"/>
      <w:r w:rsidR="0058603E" w:rsidRPr="008F5A08">
        <w:rPr>
          <w:i/>
          <w:lang w:val="fr-CA"/>
        </w:rPr>
        <w:t>peut</w:t>
      </w:r>
      <w:r w:rsidR="00F5645D" w:rsidRPr="008F5A08">
        <w:rPr>
          <w:i/>
          <w:lang w:val="fr-CA"/>
        </w:rPr>
        <w:noBreakHyphen/>
      </w:r>
      <w:r w:rsidR="0058603E" w:rsidRPr="008F5A08">
        <w:rPr>
          <w:i/>
          <w:lang w:val="fr-CA"/>
        </w:rPr>
        <w:t>il</w:t>
      </w:r>
      <w:proofErr w:type="spellEnd"/>
      <w:r w:rsidR="0058603E" w:rsidRPr="008F5A08">
        <w:rPr>
          <w:i/>
          <w:lang w:val="fr-CA"/>
        </w:rPr>
        <w:t xml:space="preserve"> </w:t>
      </w:r>
      <w:r w:rsidR="00EB186C" w:rsidRPr="008F5A08">
        <w:rPr>
          <w:i/>
          <w:lang w:val="fr-CA"/>
        </w:rPr>
        <w:t>engager une action sans procéder d</w:t>
      </w:r>
      <w:r w:rsidR="00AF0EE2">
        <w:rPr>
          <w:i/>
          <w:lang w:val="fr-CA"/>
        </w:rPr>
        <w:t>’</w:t>
      </w:r>
      <w:r w:rsidR="00EB186C" w:rsidRPr="008F5A08">
        <w:rPr>
          <w:i/>
          <w:lang w:val="fr-CA"/>
        </w:rPr>
        <w:t xml:space="preserve">abord par voie de contrôle judiciaire? </w:t>
      </w:r>
      <w:r w:rsidR="0058603E" w:rsidRPr="008F5A08">
        <w:rPr>
          <w:i/>
          <w:lang w:val="fr-CA"/>
        </w:rPr>
        <w:t xml:space="preserve">— </w:t>
      </w:r>
      <w:r w:rsidR="00EB186C" w:rsidRPr="008F5A08">
        <w:rPr>
          <w:i/>
          <w:lang w:val="fr-CA"/>
        </w:rPr>
        <w:t>Loi sur les Cours fédérales</w:t>
      </w:r>
      <w:r w:rsidR="0058603E" w:rsidRPr="008F5A08">
        <w:rPr>
          <w:i/>
          <w:lang w:val="fr-CA"/>
        </w:rPr>
        <w:t xml:space="preserve">, </w:t>
      </w:r>
      <w:r w:rsidR="00EB186C" w:rsidRPr="008F5A08">
        <w:rPr>
          <w:i/>
          <w:lang w:val="fr-CA"/>
        </w:rPr>
        <w:t xml:space="preserve">L.R.C. </w:t>
      </w:r>
      <w:r w:rsidR="0058603E" w:rsidRPr="008F5A08">
        <w:rPr>
          <w:i/>
          <w:lang w:val="fr-CA"/>
        </w:rPr>
        <w:t>1985, c</w:t>
      </w:r>
      <w:r w:rsidR="00EB186C" w:rsidRPr="008F5A08">
        <w:rPr>
          <w:i/>
          <w:lang w:val="fr-CA"/>
        </w:rPr>
        <w:t>h</w:t>
      </w:r>
      <w:r w:rsidR="0058603E" w:rsidRPr="008F5A08">
        <w:rPr>
          <w:i/>
          <w:lang w:val="fr-CA"/>
        </w:rPr>
        <w:t>.</w:t>
      </w:r>
      <w:r w:rsidR="00621BA8" w:rsidRPr="008F5A08">
        <w:rPr>
          <w:i/>
          <w:lang w:val="fr-CA"/>
        </w:rPr>
        <w:t> </w:t>
      </w:r>
      <w:r w:rsidR="0058603E" w:rsidRPr="00AF0EE2">
        <w:rPr>
          <w:i/>
          <w:lang w:val="fr-CA"/>
        </w:rPr>
        <w:t>F</w:t>
      </w:r>
      <w:r w:rsidR="00F5645D" w:rsidRPr="00AF0EE2">
        <w:rPr>
          <w:i/>
          <w:lang w:val="fr-CA"/>
        </w:rPr>
        <w:noBreakHyphen/>
      </w:r>
      <w:r w:rsidR="0058603E" w:rsidRPr="00AF0EE2">
        <w:rPr>
          <w:i/>
          <w:lang w:val="fr-CA"/>
        </w:rPr>
        <w:t xml:space="preserve">7, </w:t>
      </w:r>
      <w:r w:rsidR="00EB186C" w:rsidRPr="00AF0EE2">
        <w:rPr>
          <w:i/>
          <w:lang w:val="fr-CA"/>
        </w:rPr>
        <w:t>art</w:t>
      </w:r>
      <w:r w:rsidR="00691BE6" w:rsidRPr="00AF0EE2">
        <w:rPr>
          <w:i/>
          <w:lang w:val="fr-CA"/>
        </w:rPr>
        <w:t>. </w:t>
      </w:r>
      <w:r w:rsidR="0058603E" w:rsidRPr="00AF0EE2">
        <w:rPr>
          <w:i/>
          <w:lang w:val="fr-CA"/>
        </w:rPr>
        <w:t>17</w:t>
      </w:r>
      <w:r w:rsidR="00F947F9" w:rsidRPr="00AF0EE2">
        <w:rPr>
          <w:i/>
          <w:lang w:val="fr-CA"/>
        </w:rPr>
        <w:t>,</w:t>
      </w:r>
      <w:r w:rsidR="0058603E" w:rsidRPr="00AF0EE2">
        <w:rPr>
          <w:i/>
          <w:lang w:val="fr-CA"/>
        </w:rPr>
        <w:t xml:space="preserve"> 18.</w:t>
      </w:r>
    </w:p>
    <w:p w:rsidR="007834A8" w:rsidRPr="00AF0EE2" w:rsidRDefault="007834A8" w:rsidP="00621BA8">
      <w:pPr>
        <w:pStyle w:val="SCCNormalDoubleSpacing"/>
        <w:tabs>
          <w:tab w:val="left" w:pos="1170"/>
        </w:tabs>
        <w:rPr>
          <w:lang w:val="fr-CA"/>
        </w:rPr>
      </w:pPr>
    </w:p>
    <w:p w:rsidR="000C3E95" w:rsidRPr="00C77C58" w:rsidRDefault="009B57B3" w:rsidP="00621BA8">
      <w:pPr>
        <w:pStyle w:val="SCCNormalDoubleSpacing"/>
        <w:tabs>
          <w:tab w:val="left" w:pos="1170"/>
        </w:tabs>
        <w:rPr>
          <w:lang w:val="fr-FR"/>
        </w:rPr>
      </w:pPr>
      <w:r w:rsidRPr="00AF0EE2">
        <w:rPr>
          <w:lang w:val="fr-CA"/>
        </w:rPr>
        <w:tab/>
      </w:r>
      <w:r w:rsidR="00006D18" w:rsidRPr="00C77C58">
        <w:rPr>
          <w:lang w:val="fr-FR"/>
        </w:rPr>
        <w:t>E</w:t>
      </w:r>
      <w:r w:rsidR="000C3E95" w:rsidRPr="00C77C58">
        <w:rPr>
          <w:lang w:val="fr-FR"/>
        </w:rPr>
        <w:t>n 2002, M</w:t>
      </w:r>
      <w:r w:rsidR="000C3E95" w:rsidRPr="00C77C58">
        <w:rPr>
          <w:szCs w:val="24"/>
          <w:lang w:val="fr-FR"/>
        </w:rPr>
        <w:t xml:space="preserve"> </w:t>
      </w:r>
      <w:r w:rsidR="00006D18" w:rsidRPr="00C77C58">
        <w:rPr>
          <w:szCs w:val="24"/>
          <w:lang w:val="fr-FR"/>
        </w:rPr>
        <w:t>a subi une blessure et s</w:t>
      </w:r>
      <w:r w:rsidR="00AF0EE2">
        <w:rPr>
          <w:szCs w:val="24"/>
          <w:lang w:val="fr-FR"/>
        </w:rPr>
        <w:t>’</w:t>
      </w:r>
      <w:r w:rsidR="00006D18" w:rsidRPr="00C77C58">
        <w:rPr>
          <w:szCs w:val="24"/>
          <w:lang w:val="fr-FR"/>
        </w:rPr>
        <w:t>est vu accorder une pension mensuelle d</w:t>
      </w:r>
      <w:r w:rsidR="00AF0EE2">
        <w:rPr>
          <w:szCs w:val="24"/>
          <w:lang w:val="fr-FR"/>
        </w:rPr>
        <w:t>’</w:t>
      </w:r>
      <w:r w:rsidR="00006D18" w:rsidRPr="00C77C58">
        <w:rPr>
          <w:szCs w:val="24"/>
          <w:lang w:val="fr-FR"/>
        </w:rPr>
        <w:t xml:space="preserve">invalidité au titre de la </w:t>
      </w:r>
      <w:r w:rsidR="00006D18" w:rsidRPr="00C77C58">
        <w:rPr>
          <w:i/>
          <w:szCs w:val="24"/>
          <w:lang w:val="fr-FR"/>
        </w:rPr>
        <w:t>Loi sur les pensions</w:t>
      </w:r>
      <w:r w:rsidR="000C3E95" w:rsidRPr="00C77C58">
        <w:rPr>
          <w:szCs w:val="24"/>
          <w:lang w:val="fr-FR"/>
        </w:rPr>
        <w:t xml:space="preserve"> </w:t>
      </w:r>
      <w:r w:rsidR="00006D18" w:rsidRPr="00C77C58">
        <w:rPr>
          <w:szCs w:val="24"/>
          <w:lang w:val="fr-FR"/>
        </w:rPr>
        <w:t>en plus de son salaire de membre des Forces canadiennes</w:t>
      </w:r>
      <w:r w:rsidR="000C3E95" w:rsidRPr="00C77C58">
        <w:rPr>
          <w:szCs w:val="24"/>
          <w:lang w:val="fr-FR"/>
        </w:rPr>
        <w:t xml:space="preserve">. </w:t>
      </w:r>
      <w:r w:rsidR="00BF5D2F">
        <w:rPr>
          <w:szCs w:val="24"/>
          <w:lang w:val="fr-FR"/>
        </w:rPr>
        <w:t xml:space="preserve"> </w:t>
      </w:r>
      <w:r w:rsidR="00006D18" w:rsidRPr="00C77C58">
        <w:rPr>
          <w:szCs w:val="24"/>
          <w:lang w:val="fr-FR"/>
        </w:rPr>
        <w:t>E</w:t>
      </w:r>
      <w:r w:rsidR="000C3E95" w:rsidRPr="00C77C58">
        <w:rPr>
          <w:szCs w:val="24"/>
          <w:lang w:val="fr-FR"/>
        </w:rPr>
        <w:t xml:space="preserve">n 2003, </w:t>
      </w:r>
      <w:r w:rsidR="00006D18" w:rsidRPr="00C77C58">
        <w:rPr>
          <w:szCs w:val="24"/>
          <w:lang w:val="fr-FR"/>
        </w:rPr>
        <w:t>il a été libéré contre son gré pour des raisons médicales et il est devenu admissible à des prestations d</w:t>
      </w:r>
      <w:r w:rsidR="00AF0EE2">
        <w:rPr>
          <w:szCs w:val="24"/>
          <w:lang w:val="fr-FR"/>
        </w:rPr>
        <w:t>’</w:t>
      </w:r>
      <w:r w:rsidR="00006D18" w:rsidRPr="00C77C58">
        <w:rPr>
          <w:szCs w:val="24"/>
          <w:lang w:val="fr-FR"/>
        </w:rPr>
        <w:t>invalidité de longue durée dans le cadre du régime de prestations d</w:t>
      </w:r>
      <w:r w:rsidR="00AF0EE2">
        <w:rPr>
          <w:szCs w:val="24"/>
          <w:lang w:val="fr-FR"/>
        </w:rPr>
        <w:t>’</w:t>
      </w:r>
      <w:r w:rsidR="00006D18" w:rsidRPr="00C77C58">
        <w:rPr>
          <w:szCs w:val="24"/>
          <w:lang w:val="fr-FR"/>
        </w:rPr>
        <w:t>invalidité des Forces canadiennes.</w:t>
      </w:r>
      <w:r w:rsidR="00BF5D2F">
        <w:rPr>
          <w:szCs w:val="24"/>
          <w:lang w:val="fr-FR"/>
        </w:rPr>
        <w:t xml:space="preserve"> </w:t>
      </w:r>
      <w:r w:rsidR="00006D18" w:rsidRPr="00C77C58">
        <w:rPr>
          <w:szCs w:val="24"/>
          <w:lang w:val="fr-FR"/>
        </w:rPr>
        <w:t xml:space="preserve"> M a </w:t>
      </w:r>
      <w:r w:rsidR="003351D0" w:rsidRPr="00C77C58">
        <w:rPr>
          <w:szCs w:val="24"/>
          <w:lang w:val="fr-FR"/>
        </w:rPr>
        <w:t>touché à la fois une pension d</w:t>
      </w:r>
      <w:r w:rsidR="00AF0EE2">
        <w:rPr>
          <w:szCs w:val="24"/>
          <w:lang w:val="fr-FR"/>
        </w:rPr>
        <w:t>’</w:t>
      </w:r>
      <w:r w:rsidR="003351D0" w:rsidRPr="00C77C58">
        <w:rPr>
          <w:szCs w:val="24"/>
          <w:lang w:val="fr-FR"/>
        </w:rPr>
        <w:t>invalidité et des prestations d</w:t>
      </w:r>
      <w:r w:rsidR="00AF0EE2">
        <w:rPr>
          <w:szCs w:val="24"/>
          <w:lang w:val="fr-FR"/>
        </w:rPr>
        <w:t>’</w:t>
      </w:r>
      <w:r w:rsidR="003351D0" w:rsidRPr="00C77C58">
        <w:rPr>
          <w:szCs w:val="24"/>
          <w:lang w:val="fr-FR"/>
        </w:rPr>
        <w:t xml:space="preserve">invalidité de longue durée pendant </w:t>
      </w:r>
      <w:r w:rsidR="00545E7C" w:rsidRPr="00C77C58">
        <w:rPr>
          <w:szCs w:val="24"/>
          <w:lang w:val="fr-FR"/>
        </w:rPr>
        <w:t>24 mois</w:t>
      </w:r>
      <w:r w:rsidR="003351D0" w:rsidRPr="00C77C58">
        <w:rPr>
          <w:szCs w:val="24"/>
          <w:lang w:val="fr-FR"/>
        </w:rPr>
        <w:t xml:space="preserve"> après sa </w:t>
      </w:r>
      <w:r w:rsidR="00D836A0" w:rsidRPr="00C77C58">
        <w:rPr>
          <w:szCs w:val="24"/>
          <w:lang w:val="fr-FR"/>
        </w:rPr>
        <w:t>libération</w:t>
      </w:r>
      <w:r w:rsidR="00BF5D2F">
        <w:rPr>
          <w:szCs w:val="24"/>
          <w:lang w:val="fr-FR"/>
        </w:rPr>
        <w:t>, mais, conformément à l</w:t>
      </w:r>
      <w:r w:rsidR="00AF0EE2">
        <w:rPr>
          <w:szCs w:val="24"/>
          <w:lang w:val="fr-FR"/>
        </w:rPr>
        <w:t>’</w:t>
      </w:r>
      <w:r w:rsidR="00BF5D2F">
        <w:rPr>
          <w:szCs w:val="24"/>
          <w:lang w:val="fr-FR"/>
        </w:rPr>
        <w:t>al. </w:t>
      </w:r>
      <w:r w:rsidR="003351D0" w:rsidRPr="00C77C58">
        <w:rPr>
          <w:color w:val="000000"/>
          <w:lang w:val="fr-FR"/>
        </w:rPr>
        <w:t>24</w:t>
      </w:r>
      <w:r w:rsidR="000C3E95" w:rsidRPr="00C77C58">
        <w:rPr>
          <w:color w:val="000000"/>
          <w:lang w:val="fr-FR"/>
        </w:rPr>
        <w:t>a</w:t>
      </w:r>
      <w:proofErr w:type="gramStart"/>
      <w:r w:rsidR="000C3E95" w:rsidRPr="00C77C58">
        <w:rPr>
          <w:color w:val="000000"/>
          <w:lang w:val="fr-FR"/>
        </w:rPr>
        <w:t>)(</w:t>
      </w:r>
      <w:proofErr w:type="gramEnd"/>
      <w:r w:rsidR="000C3E95" w:rsidRPr="00C77C58">
        <w:rPr>
          <w:color w:val="000000"/>
          <w:lang w:val="fr-FR"/>
        </w:rPr>
        <w:t xml:space="preserve">iv) </w:t>
      </w:r>
      <w:r w:rsidR="003351D0" w:rsidRPr="00C77C58">
        <w:rPr>
          <w:color w:val="000000"/>
          <w:lang w:val="fr-FR"/>
        </w:rPr>
        <w:t xml:space="preserve">du régime, </w:t>
      </w:r>
      <w:r w:rsidR="003351D0" w:rsidRPr="00C77C58">
        <w:rPr>
          <w:szCs w:val="24"/>
          <w:lang w:val="fr-FR"/>
        </w:rPr>
        <w:t>le montant de sa pension d</w:t>
      </w:r>
      <w:r w:rsidR="00AF0EE2">
        <w:rPr>
          <w:szCs w:val="24"/>
          <w:lang w:val="fr-FR"/>
        </w:rPr>
        <w:t>’</w:t>
      </w:r>
      <w:r w:rsidR="003351D0" w:rsidRPr="00C77C58">
        <w:rPr>
          <w:szCs w:val="24"/>
          <w:lang w:val="fr-FR"/>
        </w:rPr>
        <w:t>invalidité était déduit chaque mois de ses prestations d</w:t>
      </w:r>
      <w:r w:rsidR="00AF0EE2">
        <w:rPr>
          <w:szCs w:val="24"/>
          <w:lang w:val="fr-FR"/>
        </w:rPr>
        <w:t>’</w:t>
      </w:r>
      <w:r w:rsidR="003351D0" w:rsidRPr="00C77C58">
        <w:rPr>
          <w:szCs w:val="24"/>
          <w:lang w:val="fr-FR"/>
        </w:rPr>
        <w:t xml:space="preserve">invalidité de longue durée. </w:t>
      </w:r>
      <w:r w:rsidR="00BF5D2F">
        <w:rPr>
          <w:szCs w:val="24"/>
          <w:lang w:val="fr-FR"/>
        </w:rPr>
        <w:t xml:space="preserve"> </w:t>
      </w:r>
      <w:r w:rsidR="000C3E95" w:rsidRPr="00C77C58">
        <w:rPr>
          <w:szCs w:val="24"/>
          <w:lang w:val="fr-FR"/>
        </w:rPr>
        <w:t>M</w:t>
      </w:r>
      <w:r w:rsidR="000C3E95" w:rsidRPr="00C77C58">
        <w:rPr>
          <w:lang w:val="fr-FR"/>
        </w:rPr>
        <w:t xml:space="preserve"> </w:t>
      </w:r>
      <w:r w:rsidR="003351D0" w:rsidRPr="00C77C58">
        <w:rPr>
          <w:lang w:val="fr-FR"/>
        </w:rPr>
        <w:t>a intenté</w:t>
      </w:r>
      <w:r w:rsidR="000C3E95" w:rsidRPr="00C77C58">
        <w:rPr>
          <w:color w:val="000000"/>
          <w:lang w:val="fr-FR"/>
        </w:rPr>
        <w:t xml:space="preserve"> </w:t>
      </w:r>
      <w:r w:rsidR="00545E7C" w:rsidRPr="00C77C58">
        <w:rPr>
          <w:color w:val="000000"/>
          <w:lang w:val="fr-FR"/>
        </w:rPr>
        <w:t>u</w:t>
      </w:r>
      <w:r w:rsidR="000C3E95" w:rsidRPr="00C77C58">
        <w:rPr>
          <w:color w:val="000000"/>
          <w:lang w:val="fr-FR"/>
        </w:rPr>
        <w:t>n</w:t>
      </w:r>
      <w:r w:rsidR="003351D0" w:rsidRPr="00C77C58">
        <w:rPr>
          <w:color w:val="000000"/>
          <w:lang w:val="fr-FR"/>
        </w:rPr>
        <w:t>e</w:t>
      </w:r>
      <w:r w:rsidR="000C3E95" w:rsidRPr="00C77C58">
        <w:rPr>
          <w:color w:val="000000"/>
          <w:lang w:val="fr-FR"/>
        </w:rPr>
        <w:t xml:space="preserve"> action </w:t>
      </w:r>
      <w:r w:rsidR="00CB7327" w:rsidRPr="00C77C58">
        <w:rPr>
          <w:color w:val="000000"/>
          <w:lang w:val="fr-FR"/>
        </w:rPr>
        <w:t>e</w:t>
      </w:r>
      <w:r w:rsidR="000C3E95" w:rsidRPr="00C77C58">
        <w:rPr>
          <w:color w:val="000000"/>
          <w:lang w:val="fr-FR"/>
        </w:rPr>
        <w:t>n</w:t>
      </w:r>
      <w:r w:rsidR="000C3E95" w:rsidRPr="00C77C58">
        <w:rPr>
          <w:lang w:val="fr-FR"/>
        </w:rPr>
        <w:t xml:space="preserve"> </w:t>
      </w:r>
      <w:r w:rsidR="000C3E95" w:rsidRPr="00C77C58">
        <w:rPr>
          <w:color w:val="000000"/>
          <w:lang w:val="fr-FR"/>
        </w:rPr>
        <w:t>Cour</w:t>
      </w:r>
      <w:r w:rsidR="00CB7327" w:rsidRPr="00C77C58">
        <w:rPr>
          <w:color w:val="000000"/>
          <w:lang w:val="fr-FR"/>
        </w:rPr>
        <w:t xml:space="preserve"> fédérale pour obtenir</w:t>
      </w:r>
      <w:r w:rsidR="000C3E95" w:rsidRPr="00C77C58">
        <w:rPr>
          <w:color w:val="000000"/>
          <w:lang w:val="fr-FR"/>
        </w:rPr>
        <w:t xml:space="preserve"> </w:t>
      </w:r>
      <w:r w:rsidR="00CB7327" w:rsidRPr="00C77C58">
        <w:rPr>
          <w:color w:val="000000"/>
          <w:lang w:val="fr-FR"/>
        </w:rPr>
        <w:t xml:space="preserve">notamment des réparations constitutionnelles, des jugements déclaratoires et des </w:t>
      </w:r>
      <w:proofErr w:type="spellStart"/>
      <w:r w:rsidR="00CB7327" w:rsidRPr="00C77C58">
        <w:rPr>
          <w:color w:val="000000"/>
          <w:lang w:val="fr-FR"/>
        </w:rPr>
        <w:t>dommages</w:t>
      </w:r>
      <w:r w:rsidR="00F5645D" w:rsidRPr="00C77C58">
        <w:rPr>
          <w:color w:val="000000"/>
          <w:lang w:val="fr-FR"/>
        </w:rPr>
        <w:noBreakHyphen/>
      </w:r>
      <w:r w:rsidR="00CB7327" w:rsidRPr="00C77C58">
        <w:rPr>
          <w:color w:val="000000"/>
          <w:lang w:val="fr-FR"/>
        </w:rPr>
        <w:t>intérêts</w:t>
      </w:r>
      <w:proofErr w:type="spellEnd"/>
      <w:r w:rsidR="00CB7327" w:rsidRPr="00C77C58">
        <w:rPr>
          <w:color w:val="000000"/>
          <w:lang w:val="fr-FR"/>
        </w:rPr>
        <w:t xml:space="preserve"> relativement à ces déductions.</w:t>
      </w:r>
      <w:r w:rsidR="00BF5D2F">
        <w:rPr>
          <w:color w:val="000000"/>
          <w:lang w:val="fr-FR"/>
        </w:rPr>
        <w:t xml:space="preserve"> </w:t>
      </w:r>
      <w:r w:rsidR="00CB7327" w:rsidRPr="00C77C58">
        <w:rPr>
          <w:color w:val="000000"/>
          <w:lang w:val="fr-FR"/>
        </w:rPr>
        <w:t xml:space="preserve"> La </w:t>
      </w:r>
      <w:r w:rsidR="000C3E95" w:rsidRPr="00C77C58">
        <w:rPr>
          <w:color w:val="000000"/>
          <w:lang w:val="fr-FR"/>
        </w:rPr>
        <w:t>Cour</w:t>
      </w:r>
      <w:r w:rsidR="00CB7327" w:rsidRPr="00C77C58">
        <w:rPr>
          <w:color w:val="000000"/>
          <w:lang w:val="fr-FR"/>
        </w:rPr>
        <w:t xml:space="preserve"> fédérale a autorisé </w:t>
      </w:r>
      <w:r w:rsidR="00666757" w:rsidRPr="00C77C58">
        <w:rPr>
          <w:color w:val="000000"/>
          <w:lang w:val="fr-FR"/>
        </w:rPr>
        <w:t>l</w:t>
      </w:r>
      <w:r w:rsidR="00AF0EE2">
        <w:rPr>
          <w:color w:val="000000"/>
          <w:lang w:val="fr-FR"/>
        </w:rPr>
        <w:t>’</w:t>
      </w:r>
      <w:r w:rsidR="00666757" w:rsidRPr="00C77C58">
        <w:rPr>
          <w:color w:val="000000"/>
          <w:lang w:val="fr-FR"/>
        </w:rPr>
        <w:t>action comme recours collectif</w:t>
      </w:r>
      <w:r w:rsidR="000C3E95" w:rsidRPr="00C77C58">
        <w:rPr>
          <w:color w:val="000000"/>
          <w:lang w:val="fr-FR"/>
        </w:rPr>
        <w:t xml:space="preserve">. </w:t>
      </w:r>
      <w:r w:rsidR="00BF5D2F">
        <w:rPr>
          <w:color w:val="000000"/>
          <w:lang w:val="fr-FR"/>
        </w:rPr>
        <w:t xml:space="preserve"> </w:t>
      </w:r>
      <w:r w:rsidR="00211E4F" w:rsidRPr="00C77C58">
        <w:rPr>
          <w:szCs w:val="24"/>
          <w:lang w:val="fr-FR"/>
        </w:rPr>
        <w:t>La Cour d</w:t>
      </w:r>
      <w:r w:rsidR="00AF0EE2">
        <w:rPr>
          <w:szCs w:val="24"/>
          <w:lang w:val="fr-FR"/>
        </w:rPr>
        <w:t>’</w:t>
      </w:r>
      <w:r w:rsidR="00211E4F" w:rsidRPr="00C77C58">
        <w:rPr>
          <w:szCs w:val="24"/>
          <w:lang w:val="fr-FR"/>
        </w:rPr>
        <w:t>appel fédérale a accueilli l</w:t>
      </w:r>
      <w:r w:rsidR="00AF0EE2">
        <w:rPr>
          <w:szCs w:val="24"/>
          <w:lang w:val="fr-FR"/>
        </w:rPr>
        <w:t>’</w:t>
      </w:r>
      <w:r w:rsidR="00211E4F" w:rsidRPr="00C77C58">
        <w:rPr>
          <w:szCs w:val="24"/>
          <w:lang w:val="fr-FR"/>
        </w:rPr>
        <w:t xml:space="preserve">appel de la Couronne </w:t>
      </w:r>
      <w:r w:rsidR="001516A8" w:rsidRPr="00C77C58">
        <w:rPr>
          <w:szCs w:val="24"/>
          <w:lang w:val="fr-FR"/>
        </w:rPr>
        <w:t xml:space="preserve">sur le fondement de </w:t>
      </w:r>
      <w:r w:rsidR="00211E4F" w:rsidRPr="00C77C58">
        <w:rPr>
          <w:i/>
          <w:szCs w:val="24"/>
          <w:lang w:val="fr-FR"/>
        </w:rPr>
        <w:t>Canada c. Grenier</w:t>
      </w:r>
      <w:r w:rsidR="00035F9E">
        <w:rPr>
          <w:szCs w:val="24"/>
          <w:lang w:val="fr-FR"/>
        </w:rPr>
        <w:t xml:space="preserve">, 2005 </w:t>
      </w:r>
      <w:r w:rsidR="00211E4F" w:rsidRPr="00C77C58">
        <w:rPr>
          <w:szCs w:val="24"/>
          <w:lang w:val="fr-FR"/>
        </w:rPr>
        <w:t xml:space="preserve">CAF 348, </w:t>
      </w:r>
      <w:r w:rsidR="00F87723" w:rsidRPr="00C77C58">
        <w:rPr>
          <w:lang w:val="fr-FR"/>
        </w:rPr>
        <w:t>[2006] </w:t>
      </w:r>
      <w:r w:rsidR="00211E4F" w:rsidRPr="00C77C58">
        <w:rPr>
          <w:lang w:val="fr-FR"/>
        </w:rPr>
        <w:t>2 R.C.F. 287,</w:t>
      </w:r>
      <w:r w:rsidR="001516A8" w:rsidRPr="00C77C58">
        <w:rPr>
          <w:lang w:val="fr-FR"/>
        </w:rPr>
        <w:t xml:space="preserve"> concluant que</w:t>
      </w:r>
      <w:r w:rsidR="00211E4F" w:rsidRPr="00C77C58">
        <w:rPr>
          <w:lang w:val="fr-FR"/>
        </w:rPr>
        <w:t xml:space="preserve"> la </w:t>
      </w:r>
      <w:r w:rsidR="00211E4F" w:rsidRPr="00C77C58">
        <w:rPr>
          <w:szCs w:val="24"/>
          <w:lang w:val="fr-FR"/>
        </w:rPr>
        <w:t>légalité d</w:t>
      </w:r>
      <w:r w:rsidR="00AF0EE2">
        <w:rPr>
          <w:szCs w:val="24"/>
          <w:lang w:val="fr-FR"/>
        </w:rPr>
        <w:t>’</w:t>
      </w:r>
      <w:r w:rsidR="00211E4F" w:rsidRPr="00C77C58">
        <w:rPr>
          <w:szCs w:val="24"/>
          <w:lang w:val="fr-FR"/>
        </w:rPr>
        <w:t>une décision ou d</w:t>
      </w:r>
      <w:r w:rsidR="00AF0EE2">
        <w:rPr>
          <w:szCs w:val="24"/>
          <w:lang w:val="fr-FR"/>
        </w:rPr>
        <w:t>’</w:t>
      </w:r>
      <w:r w:rsidR="00211E4F" w:rsidRPr="00C77C58">
        <w:rPr>
          <w:szCs w:val="24"/>
          <w:lang w:val="fr-FR"/>
        </w:rPr>
        <w:t>une activité administra</w:t>
      </w:r>
      <w:r w:rsidR="00BF5D2F">
        <w:rPr>
          <w:szCs w:val="24"/>
          <w:lang w:val="fr-FR"/>
        </w:rPr>
        <w:t>tive telle celle prévue à l</w:t>
      </w:r>
      <w:r w:rsidR="00AF0EE2">
        <w:rPr>
          <w:szCs w:val="24"/>
          <w:lang w:val="fr-FR"/>
        </w:rPr>
        <w:t>’</w:t>
      </w:r>
      <w:r w:rsidR="00BF5D2F">
        <w:rPr>
          <w:szCs w:val="24"/>
          <w:lang w:val="fr-FR"/>
        </w:rPr>
        <w:t>al. </w:t>
      </w:r>
      <w:r w:rsidR="00211E4F" w:rsidRPr="00C77C58">
        <w:rPr>
          <w:szCs w:val="24"/>
          <w:lang w:val="fr-FR"/>
        </w:rPr>
        <w:t>24a</w:t>
      </w:r>
      <w:proofErr w:type="gramStart"/>
      <w:r w:rsidR="00211E4F" w:rsidRPr="00C77C58">
        <w:rPr>
          <w:szCs w:val="24"/>
          <w:lang w:val="fr-FR"/>
        </w:rPr>
        <w:t>)(</w:t>
      </w:r>
      <w:proofErr w:type="gramEnd"/>
      <w:r w:rsidR="00211E4F" w:rsidRPr="00C77C58">
        <w:rPr>
          <w:szCs w:val="24"/>
          <w:lang w:val="fr-FR"/>
        </w:rPr>
        <w:t xml:space="preserve">iv) du </w:t>
      </w:r>
      <w:r w:rsidR="006B464A" w:rsidRPr="00C77C58">
        <w:rPr>
          <w:szCs w:val="24"/>
          <w:lang w:val="fr-FR"/>
        </w:rPr>
        <w:t>régime</w:t>
      </w:r>
      <w:r w:rsidR="00211E4F" w:rsidRPr="00C77C58">
        <w:rPr>
          <w:szCs w:val="24"/>
          <w:lang w:val="fr-FR"/>
        </w:rPr>
        <w:t xml:space="preserve"> ne peut être contestée que par voie de contrôle judiciaire. </w:t>
      </w:r>
    </w:p>
    <w:p w:rsidR="000C3E95" w:rsidRPr="00C77C58" w:rsidRDefault="000C3E95" w:rsidP="00621BA8">
      <w:pPr>
        <w:pStyle w:val="SCCNormalDoubleSpacing"/>
        <w:tabs>
          <w:tab w:val="left" w:pos="1170"/>
        </w:tabs>
        <w:rPr>
          <w:lang w:val="fr-FR"/>
        </w:rPr>
      </w:pPr>
    </w:p>
    <w:p w:rsidR="000C3E95" w:rsidRPr="00C77C58" w:rsidRDefault="000C3E95" w:rsidP="00621BA8">
      <w:pPr>
        <w:pStyle w:val="SCCNormalDoubleSpacing"/>
        <w:tabs>
          <w:tab w:val="left" w:pos="1170"/>
        </w:tabs>
        <w:rPr>
          <w:lang w:val="fr-FR"/>
        </w:rPr>
      </w:pPr>
      <w:r w:rsidRPr="00C77C58">
        <w:rPr>
          <w:lang w:val="fr-FR"/>
        </w:rPr>
        <w:tab/>
      </w:r>
      <w:r w:rsidR="00545E7C" w:rsidRPr="00C77C58">
        <w:rPr>
          <w:i/>
          <w:lang w:val="fr-FR"/>
        </w:rPr>
        <w:t>Arrêt </w:t>
      </w:r>
      <w:r w:rsidRPr="00C77C58">
        <w:rPr>
          <w:rStyle w:val="QuoteChar"/>
          <w:i w:val="0"/>
          <w:color w:val="auto"/>
          <w:lang w:val="fr-FR"/>
        </w:rPr>
        <w:t>:</w:t>
      </w:r>
      <w:r w:rsidR="00035F9E">
        <w:rPr>
          <w:lang w:val="fr-FR"/>
        </w:rPr>
        <w:t> </w:t>
      </w:r>
      <w:r w:rsidRPr="00C77C58">
        <w:rPr>
          <w:lang w:val="fr-FR"/>
        </w:rPr>
        <w:t>Le pourvoi est accueilli.</w:t>
      </w:r>
    </w:p>
    <w:p w:rsidR="007834A8" w:rsidRPr="008F5A08" w:rsidRDefault="007834A8" w:rsidP="00621BA8">
      <w:pPr>
        <w:pStyle w:val="SCCNormalDoubleSpacing"/>
        <w:tabs>
          <w:tab w:val="left" w:pos="1170"/>
        </w:tabs>
        <w:rPr>
          <w:lang w:val="fr-CA"/>
        </w:rPr>
      </w:pPr>
    </w:p>
    <w:p w:rsidR="006C5661" w:rsidRPr="008F5A08" w:rsidRDefault="009B57B3" w:rsidP="00621BA8">
      <w:pPr>
        <w:pStyle w:val="SCCNormalDoubleSpacing"/>
        <w:tabs>
          <w:tab w:val="left" w:pos="1170"/>
        </w:tabs>
        <w:rPr>
          <w:lang w:val="fr-CA"/>
        </w:rPr>
      </w:pPr>
      <w:r w:rsidRPr="008F5A08">
        <w:rPr>
          <w:lang w:val="fr-CA"/>
        </w:rPr>
        <w:tab/>
      </w:r>
      <w:r w:rsidR="0012768D" w:rsidRPr="008F5A08">
        <w:rPr>
          <w:lang w:val="fr-CA"/>
        </w:rPr>
        <w:t xml:space="preserve">Selon </w:t>
      </w:r>
      <w:r w:rsidR="0012768D" w:rsidRPr="008F5A08">
        <w:rPr>
          <w:i/>
          <w:szCs w:val="24"/>
          <w:lang w:val="fr-CA"/>
        </w:rPr>
        <w:t xml:space="preserve">Canada (Procureur général) c. </w:t>
      </w:r>
      <w:proofErr w:type="spellStart"/>
      <w:r w:rsidR="0012768D" w:rsidRPr="008F5A08">
        <w:rPr>
          <w:i/>
          <w:szCs w:val="24"/>
          <w:lang w:val="fr-CA"/>
        </w:rPr>
        <w:t>TeleZone</w:t>
      </w:r>
      <w:proofErr w:type="spellEnd"/>
      <w:r w:rsidR="0012768D" w:rsidRPr="008F5A08">
        <w:rPr>
          <w:i/>
          <w:szCs w:val="24"/>
          <w:lang w:val="fr-CA"/>
        </w:rPr>
        <w:t xml:space="preserve"> Inc.</w:t>
      </w:r>
      <w:r w:rsidR="0012768D" w:rsidRPr="008F5A08">
        <w:rPr>
          <w:szCs w:val="24"/>
          <w:lang w:val="fr-CA"/>
        </w:rPr>
        <w:t xml:space="preserve">, 2010 CSC </w:t>
      </w:r>
      <w:r w:rsidR="00545E7C" w:rsidRPr="008F5A08">
        <w:rPr>
          <w:szCs w:val="24"/>
          <w:lang w:val="fr-CA"/>
        </w:rPr>
        <w:t>62</w:t>
      </w:r>
      <w:r w:rsidR="0012768D" w:rsidRPr="008F5A08">
        <w:rPr>
          <w:szCs w:val="24"/>
          <w:lang w:val="fr-CA"/>
        </w:rPr>
        <w:t xml:space="preserve">, </w:t>
      </w:r>
      <w:r w:rsidR="00AF0EE2">
        <w:rPr>
          <w:szCs w:val="24"/>
          <w:lang w:val="fr-CA"/>
        </w:rPr>
        <w:t xml:space="preserve">[2010] 3 R.C.S. </w:t>
      </w:r>
      <w:r w:rsidR="00375E4F">
        <w:rPr>
          <w:szCs w:val="24"/>
          <w:lang w:val="fr-CA"/>
        </w:rPr>
        <w:t>585</w:t>
      </w:r>
      <w:r w:rsidR="00AF0EE2">
        <w:rPr>
          <w:szCs w:val="24"/>
          <w:lang w:val="fr-CA"/>
        </w:rPr>
        <w:t xml:space="preserve">, </w:t>
      </w:r>
      <w:r w:rsidR="001616C0" w:rsidRPr="008F5A08">
        <w:rPr>
          <w:szCs w:val="24"/>
          <w:lang w:val="fr-CA"/>
        </w:rPr>
        <w:t>la Cour fédérale est compétente pour connaître de l</w:t>
      </w:r>
      <w:r w:rsidR="00AF0EE2">
        <w:rPr>
          <w:szCs w:val="24"/>
          <w:lang w:val="fr-CA"/>
        </w:rPr>
        <w:t>’</w:t>
      </w:r>
      <w:r w:rsidR="001616C0" w:rsidRPr="008F5A08">
        <w:rPr>
          <w:szCs w:val="24"/>
          <w:lang w:val="fr-CA"/>
        </w:rPr>
        <w:t xml:space="preserve">action. </w:t>
      </w:r>
      <w:r w:rsidR="00F947F9" w:rsidRPr="008F5A08">
        <w:rPr>
          <w:szCs w:val="24"/>
          <w:lang w:val="fr-CA"/>
        </w:rPr>
        <w:t xml:space="preserve"> </w:t>
      </w:r>
      <w:r w:rsidR="001616C0" w:rsidRPr="008F5A08">
        <w:rPr>
          <w:szCs w:val="24"/>
          <w:lang w:val="fr-CA"/>
        </w:rPr>
        <w:t xml:space="preserve">Au fond, les </w:t>
      </w:r>
      <w:r w:rsidR="00545E7C" w:rsidRPr="008F5A08">
        <w:rPr>
          <w:szCs w:val="24"/>
          <w:lang w:val="fr-CA"/>
        </w:rPr>
        <w:t>actes de procédure</w:t>
      </w:r>
      <w:r w:rsidR="0012768D" w:rsidRPr="008F5A08">
        <w:rPr>
          <w:szCs w:val="24"/>
          <w:lang w:val="fr-CA"/>
        </w:rPr>
        <w:t xml:space="preserve"> </w:t>
      </w:r>
      <w:r w:rsidR="00545E7C" w:rsidRPr="008F5A08">
        <w:rPr>
          <w:szCs w:val="24"/>
          <w:lang w:val="fr-CA"/>
        </w:rPr>
        <w:t>correspond</w:t>
      </w:r>
      <w:r w:rsidR="001616C0" w:rsidRPr="008F5A08">
        <w:rPr>
          <w:szCs w:val="24"/>
          <w:lang w:val="fr-CA"/>
        </w:rPr>
        <w:t xml:space="preserve">ent </w:t>
      </w:r>
      <w:r w:rsidR="00545E7C" w:rsidRPr="008F5A08">
        <w:rPr>
          <w:szCs w:val="24"/>
          <w:lang w:val="fr-CA"/>
        </w:rPr>
        <w:t xml:space="preserve">à </w:t>
      </w:r>
      <w:r w:rsidR="00217F87" w:rsidRPr="008F5A08">
        <w:rPr>
          <w:szCs w:val="24"/>
          <w:lang w:val="fr-CA"/>
        </w:rPr>
        <w:t>un recours fondé sur d</w:t>
      </w:r>
      <w:r w:rsidR="00691BE6" w:rsidRPr="008F5A08">
        <w:rPr>
          <w:szCs w:val="24"/>
          <w:lang w:val="fr-CA"/>
        </w:rPr>
        <w:t>e prétendues violations du par. </w:t>
      </w:r>
      <w:r w:rsidR="0012768D" w:rsidRPr="008F5A08">
        <w:rPr>
          <w:szCs w:val="24"/>
          <w:lang w:val="fr-CA"/>
        </w:rPr>
        <w:t xml:space="preserve">15(1) </w:t>
      </w:r>
      <w:r w:rsidR="00217F87" w:rsidRPr="008F5A08">
        <w:rPr>
          <w:szCs w:val="24"/>
          <w:lang w:val="fr-CA"/>
        </w:rPr>
        <w:t xml:space="preserve">de la </w:t>
      </w:r>
      <w:r w:rsidR="00217F87" w:rsidRPr="008F5A08">
        <w:rPr>
          <w:i/>
          <w:szCs w:val="24"/>
          <w:lang w:val="fr-CA"/>
        </w:rPr>
        <w:t>Charte canadienne des droits et libertés</w:t>
      </w:r>
      <w:r w:rsidR="00217F87" w:rsidRPr="008F5A08">
        <w:rPr>
          <w:szCs w:val="24"/>
          <w:lang w:val="fr-CA"/>
        </w:rPr>
        <w:t xml:space="preserve">, et </w:t>
      </w:r>
      <w:r w:rsidR="00545E7C" w:rsidRPr="008F5A08">
        <w:rPr>
          <w:szCs w:val="24"/>
          <w:lang w:val="fr-CA"/>
        </w:rPr>
        <w:t>il n</w:t>
      </w:r>
      <w:r w:rsidR="00AF0EE2">
        <w:rPr>
          <w:szCs w:val="24"/>
          <w:lang w:val="fr-CA"/>
        </w:rPr>
        <w:t>’</w:t>
      </w:r>
      <w:r w:rsidR="00545E7C" w:rsidRPr="008F5A08">
        <w:rPr>
          <w:szCs w:val="24"/>
          <w:lang w:val="fr-CA"/>
        </w:rPr>
        <w:t xml:space="preserve">est pas nécessaire de suspendre </w:t>
      </w:r>
      <w:r w:rsidR="00217F87" w:rsidRPr="008F5A08">
        <w:rPr>
          <w:szCs w:val="24"/>
          <w:lang w:val="fr-CA"/>
        </w:rPr>
        <w:t>l</w:t>
      </w:r>
      <w:r w:rsidR="00AF0EE2">
        <w:rPr>
          <w:szCs w:val="24"/>
          <w:lang w:val="fr-CA"/>
        </w:rPr>
        <w:t>’</w:t>
      </w:r>
      <w:r w:rsidR="00217F87" w:rsidRPr="008F5A08">
        <w:rPr>
          <w:szCs w:val="24"/>
          <w:lang w:val="fr-CA"/>
        </w:rPr>
        <w:t>action en faveur d</w:t>
      </w:r>
      <w:r w:rsidR="00AF0EE2">
        <w:rPr>
          <w:szCs w:val="24"/>
          <w:lang w:val="fr-CA"/>
        </w:rPr>
        <w:t>’</w:t>
      </w:r>
      <w:r w:rsidR="00217F87" w:rsidRPr="008F5A08">
        <w:rPr>
          <w:szCs w:val="24"/>
          <w:lang w:val="fr-CA"/>
        </w:rPr>
        <w:t>une demande de contrôle judiciaire.</w:t>
      </w:r>
      <w:r w:rsidR="0012768D" w:rsidRPr="008F5A08">
        <w:rPr>
          <w:szCs w:val="24"/>
          <w:lang w:val="fr-CA"/>
        </w:rPr>
        <w:t xml:space="preserve"> </w:t>
      </w:r>
    </w:p>
    <w:p w:rsidR="007834A8" w:rsidRPr="008F5A08" w:rsidRDefault="007834A8" w:rsidP="00621BA8">
      <w:pPr>
        <w:pStyle w:val="SCCNormalDoubleSpacing"/>
        <w:tabs>
          <w:tab w:val="left" w:pos="1170"/>
        </w:tabs>
        <w:rPr>
          <w:lang w:val="fr-CA"/>
        </w:rPr>
      </w:pPr>
    </w:p>
    <w:p w:rsidR="007E1C47" w:rsidRPr="008F5A08" w:rsidRDefault="0043088E" w:rsidP="00621BA8">
      <w:pPr>
        <w:pStyle w:val="SCCNormalDoubleSpacing"/>
        <w:keepNext/>
        <w:keepLines/>
        <w:tabs>
          <w:tab w:val="left" w:pos="1170"/>
        </w:tabs>
        <w:rPr>
          <w:b/>
          <w:lang w:val="fr-CA"/>
        </w:rPr>
      </w:pPr>
      <w:r w:rsidRPr="008F5A08">
        <w:rPr>
          <w:b/>
          <w:lang w:val="fr-CA"/>
        </w:rPr>
        <w:t>Jurisprudence</w:t>
      </w:r>
    </w:p>
    <w:p w:rsidR="007834A8" w:rsidRPr="008F5A08" w:rsidRDefault="007834A8" w:rsidP="00621BA8">
      <w:pPr>
        <w:pStyle w:val="SCCNormalDoubleSpacing"/>
        <w:keepNext/>
        <w:keepLines/>
        <w:tabs>
          <w:tab w:val="left" w:pos="1170"/>
        </w:tabs>
        <w:rPr>
          <w:lang w:val="fr-CA"/>
        </w:rPr>
      </w:pPr>
    </w:p>
    <w:p w:rsidR="002E6705" w:rsidRPr="008F5A08" w:rsidRDefault="002E6705" w:rsidP="00621BA8">
      <w:pPr>
        <w:pStyle w:val="SCCNormalDoubleSpacing"/>
        <w:keepNext/>
        <w:keepLines/>
        <w:tabs>
          <w:tab w:val="left" w:pos="1170"/>
        </w:tabs>
        <w:rPr>
          <w:szCs w:val="24"/>
          <w:lang w:val="fr-CA"/>
        </w:rPr>
      </w:pPr>
      <w:r w:rsidRPr="008F5A08">
        <w:rPr>
          <w:lang w:val="fr-CA"/>
        </w:rPr>
        <w:tab/>
      </w:r>
      <w:r w:rsidR="0043088E" w:rsidRPr="008F5A08">
        <w:rPr>
          <w:b/>
          <w:lang w:val="fr-CA"/>
        </w:rPr>
        <w:t>Arrêt</w:t>
      </w:r>
      <w:r w:rsidR="00F947F9" w:rsidRPr="008F5A08">
        <w:rPr>
          <w:b/>
          <w:lang w:val="fr-CA"/>
        </w:rPr>
        <w:t xml:space="preserve"> appliqué : </w:t>
      </w:r>
      <w:r w:rsidR="00F947F9" w:rsidRPr="008F5A08">
        <w:rPr>
          <w:i/>
          <w:lang w:val="fr-CA"/>
        </w:rPr>
        <w:t xml:space="preserve">Canada (Procureur général) c. </w:t>
      </w:r>
      <w:proofErr w:type="spellStart"/>
      <w:r w:rsidR="00F947F9" w:rsidRPr="008F5A08">
        <w:rPr>
          <w:i/>
          <w:lang w:val="fr-CA"/>
        </w:rPr>
        <w:t>TeleZone</w:t>
      </w:r>
      <w:proofErr w:type="spellEnd"/>
      <w:r w:rsidR="00F947F9" w:rsidRPr="008F5A08">
        <w:rPr>
          <w:i/>
          <w:lang w:val="fr-CA"/>
        </w:rPr>
        <w:t xml:space="preserve"> Inc.</w:t>
      </w:r>
      <w:r w:rsidR="00035F9E" w:rsidRPr="008F5A08">
        <w:rPr>
          <w:lang w:val="fr-CA"/>
        </w:rPr>
        <w:t xml:space="preserve">, 2010 </w:t>
      </w:r>
      <w:r w:rsidR="00F947F9" w:rsidRPr="008F5A08">
        <w:rPr>
          <w:lang w:val="fr-CA"/>
        </w:rPr>
        <w:t>CSC 62</w:t>
      </w:r>
      <w:r w:rsidR="00AF0EE2">
        <w:rPr>
          <w:lang w:val="fr-CA"/>
        </w:rPr>
        <w:t xml:space="preserve">, </w:t>
      </w:r>
      <w:r w:rsidR="00AF0EE2">
        <w:rPr>
          <w:szCs w:val="24"/>
          <w:lang w:val="fr-CA"/>
        </w:rPr>
        <w:t xml:space="preserve">[2010] 3 R.C.S. </w:t>
      </w:r>
      <w:r w:rsidR="00375E4F">
        <w:rPr>
          <w:szCs w:val="24"/>
          <w:lang w:val="fr-CA"/>
        </w:rPr>
        <w:t>585</w:t>
      </w:r>
      <w:r w:rsidR="00F947F9" w:rsidRPr="008F5A08">
        <w:rPr>
          <w:lang w:val="fr-CA"/>
        </w:rPr>
        <w:t xml:space="preserve">; </w:t>
      </w:r>
      <w:r w:rsidR="00A63760" w:rsidRPr="008F5A08">
        <w:rPr>
          <w:b/>
          <w:lang w:val="fr-CA"/>
        </w:rPr>
        <w:t xml:space="preserve">arrêt </w:t>
      </w:r>
      <w:r w:rsidR="00C020E1" w:rsidRPr="008F5A08">
        <w:rPr>
          <w:b/>
          <w:lang w:val="fr-CA"/>
        </w:rPr>
        <w:t>renversé</w:t>
      </w:r>
      <w:r w:rsidR="00A63760" w:rsidRPr="008F5A08">
        <w:rPr>
          <w:b/>
          <w:lang w:val="fr-CA"/>
        </w:rPr>
        <w:t xml:space="preserve"> : </w:t>
      </w:r>
      <w:r w:rsidR="00A63760" w:rsidRPr="003C399D">
        <w:rPr>
          <w:i/>
          <w:lang w:val="fr-FR"/>
        </w:rPr>
        <w:t>Canada c. Grenier</w:t>
      </w:r>
      <w:r w:rsidR="00A63760" w:rsidRPr="003C399D">
        <w:rPr>
          <w:lang w:val="fr-FR"/>
        </w:rPr>
        <w:t>, 2005 CAF 348, [2006] 2 R.C.F. 287</w:t>
      </w:r>
      <w:r w:rsidR="00A63760">
        <w:rPr>
          <w:lang w:val="fr-FR"/>
        </w:rPr>
        <w:t xml:space="preserve">; </w:t>
      </w:r>
      <w:r w:rsidR="00F947F9" w:rsidRPr="008F5A08">
        <w:rPr>
          <w:b/>
          <w:lang w:val="fr-CA"/>
        </w:rPr>
        <w:t>arrêt</w:t>
      </w:r>
      <w:r w:rsidR="0043088E" w:rsidRPr="008F5A08">
        <w:rPr>
          <w:b/>
          <w:lang w:val="fr-CA"/>
        </w:rPr>
        <w:t>s mentionnés</w:t>
      </w:r>
      <w:r w:rsidR="00F33658" w:rsidRPr="008F5A08">
        <w:rPr>
          <w:b/>
          <w:lang w:val="fr-CA"/>
        </w:rPr>
        <w:t> </w:t>
      </w:r>
      <w:r w:rsidRPr="008F5A08">
        <w:rPr>
          <w:b/>
          <w:lang w:val="fr-CA"/>
        </w:rPr>
        <w:t>:</w:t>
      </w:r>
      <w:r w:rsidR="00172A04" w:rsidRPr="008F5A08">
        <w:rPr>
          <w:lang w:val="fr-CA"/>
        </w:rPr>
        <w:t xml:space="preserve"> </w:t>
      </w:r>
      <w:r w:rsidR="00F947F9" w:rsidRPr="008F5A08">
        <w:rPr>
          <w:i/>
          <w:szCs w:val="24"/>
          <w:lang w:val="fr-CA"/>
        </w:rPr>
        <w:t>Hunt c. Care</w:t>
      </w:r>
      <w:r w:rsidR="0009221B" w:rsidRPr="008F5A08">
        <w:rPr>
          <w:i/>
          <w:szCs w:val="24"/>
          <w:lang w:val="fr-CA"/>
        </w:rPr>
        <w:t>y Canada Inc.</w:t>
      </w:r>
      <w:r w:rsidR="0009221B" w:rsidRPr="008F5A08">
        <w:rPr>
          <w:szCs w:val="24"/>
          <w:lang w:val="fr-CA"/>
        </w:rPr>
        <w:t xml:space="preserve">, [1990] 2 R.C.S. 959; </w:t>
      </w:r>
      <w:r w:rsidR="0009221B" w:rsidRPr="008F5A08">
        <w:rPr>
          <w:i/>
          <w:szCs w:val="24"/>
          <w:lang w:val="fr-CA"/>
        </w:rPr>
        <w:t xml:space="preserve">Canada (Procureur général) c. </w:t>
      </w:r>
      <w:proofErr w:type="spellStart"/>
      <w:r w:rsidR="0009221B" w:rsidRPr="008F5A08">
        <w:rPr>
          <w:i/>
          <w:iCs/>
          <w:szCs w:val="24"/>
          <w:lang w:val="fr-CA"/>
        </w:rPr>
        <w:t>McArthur</w:t>
      </w:r>
      <w:proofErr w:type="spellEnd"/>
      <w:r w:rsidR="0009221B" w:rsidRPr="008F5A08">
        <w:rPr>
          <w:szCs w:val="24"/>
          <w:lang w:val="fr-CA"/>
        </w:rPr>
        <w:t>, 2010 C</w:t>
      </w:r>
      <w:r w:rsidR="00F947F9" w:rsidRPr="008F5A08">
        <w:rPr>
          <w:szCs w:val="24"/>
          <w:lang w:val="fr-CA"/>
        </w:rPr>
        <w:t>SC 63</w:t>
      </w:r>
      <w:r w:rsidR="00AF0EE2">
        <w:rPr>
          <w:lang w:val="fr-CA"/>
        </w:rPr>
        <w:t xml:space="preserve">, </w:t>
      </w:r>
      <w:r w:rsidR="00AF0EE2">
        <w:rPr>
          <w:szCs w:val="24"/>
          <w:lang w:val="fr-CA"/>
        </w:rPr>
        <w:t xml:space="preserve">[2010] 3 R.C.S. </w:t>
      </w:r>
      <w:r w:rsidR="00375E4F">
        <w:rPr>
          <w:szCs w:val="24"/>
          <w:lang w:val="fr-CA"/>
        </w:rPr>
        <w:t>626</w:t>
      </w:r>
      <w:r w:rsidR="0009221B" w:rsidRPr="008F5A08">
        <w:rPr>
          <w:szCs w:val="24"/>
          <w:lang w:val="fr-CA"/>
        </w:rPr>
        <w:t xml:space="preserve">; </w:t>
      </w:r>
      <w:proofErr w:type="spellStart"/>
      <w:r w:rsidR="0009221B" w:rsidRPr="008F5A08">
        <w:rPr>
          <w:i/>
          <w:iCs/>
          <w:szCs w:val="24"/>
          <w:lang w:val="fr-CA"/>
        </w:rPr>
        <w:t>Nu</w:t>
      </w:r>
      <w:r w:rsidR="00F5645D" w:rsidRPr="008F5A08">
        <w:rPr>
          <w:i/>
          <w:iCs/>
          <w:szCs w:val="24"/>
          <w:lang w:val="fr-CA"/>
        </w:rPr>
        <w:noBreakHyphen/>
      </w:r>
      <w:r w:rsidR="0009221B" w:rsidRPr="008F5A08">
        <w:rPr>
          <w:i/>
          <w:iCs/>
          <w:szCs w:val="24"/>
          <w:lang w:val="fr-CA"/>
        </w:rPr>
        <w:t>Pharm</w:t>
      </w:r>
      <w:proofErr w:type="spellEnd"/>
      <w:r w:rsidR="0009221B" w:rsidRPr="008F5A08">
        <w:rPr>
          <w:i/>
          <w:iCs/>
          <w:szCs w:val="24"/>
          <w:lang w:val="fr-CA"/>
        </w:rPr>
        <w:t xml:space="preserve"> Inc. c. Canada (Procureur général)</w:t>
      </w:r>
      <w:r w:rsidR="0009221B" w:rsidRPr="008F5A08">
        <w:rPr>
          <w:szCs w:val="24"/>
          <w:lang w:val="fr-CA"/>
        </w:rPr>
        <w:t>, 2010 CS</w:t>
      </w:r>
      <w:r w:rsidR="00F947F9" w:rsidRPr="008F5A08">
        <w:rPr>
          <w:szCs w:val="24"/>
          <w:lang w:val="fr-CA"/>
        </w:rPr>
        <w:t>C 65</w:t>
      </w:r>
      <w:r w:rsidR="00AF0EE2">
        <w:rPr>
          <w:lang w:val="fr-CA"/>
        </w:rPr>
        <w:t xml:space="preserve">, </w:t>
      </w:r>
      <w:r w:rsidR="00AF0EE2">
        <w:rPr>
          <w:szCs w:val="24"/>
          <w:lang w:val="fr-CA"/>
        </w:rPr>
        <w:t xml:space="preserve">[2010] 3 R.C.S. </w:t>
      </w:r>
      <w:r w:rsidR="00375E4F">
        <w:rPr>
          <w:szCs w:val="24"/>
          <w:lang w:val="fr-CA"/>
        </w:rPr>
        <w:t>648</w:t>
      </w:r>
      <w:r w:rsidR="0009221B" w:rsidRPr="008F5A08">
        <w:rPr>
          <w:szCs w:val="24"/>
          <w:lang w:val="fr-CA"/>
        </w:rPr>
        <w:t xml:space="preserve">. </w:t>
      </w:r>
    </w:p>
    <w:p w:rsidR="007834A8" w:rsidRPr="008F5A08" w:rsidRDefault="007834A8" w:rsidP="00172A04">
      <w:pPr>
        <w:pStyle w:val="SCCNormalDoubleSpacing"/>
        <w:rPr>
          <w:lang w:val="fr-CA"/>
        </w:rPr>
      </w:pPr>
    </w:p>
    <w:p w:rsidR="00231F3A" w:rsidRPr="008F5A08" w:rsidRDefault="0043088E" w:rsidP="00035F9E">
      <w:pPr>
        <w:pStyle w:val="SCCNormalDoubleSpacing"/>
        <w:keepNext/>
        <w:rPr>
          <w:b/>
          <w:lang w:val="fr-CA"/>
        </w:rPr>
      </w:pPr>
      <w:r w:rsidRPr="008F5A08">
        <w:rPr>
          <w:b/>
          <w:lang w:val="fr-CA"/>
        </w:rPr>
        <w:t>Lois</w:t>
      </w:r>
      <w:r w:rsidR="002E6705" w:rsidRPr="008F5A08">
        <w:rPr>
          <w:b/>
          <w:lang w:val="fr-CA"/>
        </w:rPr>
        <w:t xml:space="preserve"> </w:t>
      </w:r>
      <w:r w:rsidR="008A6558" w:rsidRPr="008F5A08">
        <w:rPr>
          <w:b/>
          <w:lang w:val="fr-CA"/>
        </w:rPr>
        <w:t>et</w:t>
      </w:r>
      <w:r w:rsidR="002E6705" w:rsidRPr="008F5A08">
        <w:rPr>
          <w:b/>
          <w:lang w:val="fr-CA"/>
        </w:rPr>
        <w:t xml:space="preserve"> </w:t>
      </w:r>
      <w:r w:rsidRPr="008F5A08">
        <w:rPr>
          <w:b/>
          <w:lang w:val="fr-CA"/>
        </w:rPr>
        <w:t>rè</w:t>
      </w:r>
      <w:r w:rsidR="002E6705" w:rsidRPr="008F5A08">
        <w:rPr>
          <w:b/>
          <w:lang w:val="fr-CA"/>
        </w:rPr>
        <w:t>gl</w:t>
      </w:r>
      <w:r w:rsidRPr="008F5A08">
        <w:rPr>
          <w:b/>
          <w:lang w:val="fr-CA"/>
        </w:rPr>
        <w:t>ements</w:t>
      </w:r>
      <w:r w:rsidR="002E6705" w:rsidRPr="008F5A08">
        <w:rPr>
          <w:b/>
          <w:lang w:val="fr-CA"/>
        </w:rPr>
        <w:t xml:space="preserve"> </w:t>
      </w:r>
      <w:r w:rsidRPr="008F5A08">
        <w:rPr>
          <w:b/>
          <w:lang w:val="fr-CA"/>
        </w:rPr>
        <w:t>c</w:t>
      </w:r>
      <w:r w:rsidR="002E6705" w:rsidRPr="008F5A08">
        <w:rPr>
          <w:b/>
          <w:lang w:val="fr-CA"/>
        </w:rPr>
        <w:t>it</w:t>
      </w:r>
      <w:r w:rsidRPr="008F5A08">
        <w:rPr>
          <w:b/>
          <w:lang w:val="fr-CA"/>
        </w:rPr>
        <w:t>és</w:t>
      </w:r>
    </w:p>
    <w:p w:rsidR="006519A8" w:rsidRPr="008F5A08" w:rsidRDefault="006519A8" w:rsidP="00035F9E">
      <w:pPr>
        <w:pStyle w:val="SCCNormalDoubleSpacing"/>
        <w:keepNext/>
        <w:ind w:left="540" w:hanging="540"/>
        <w:rPr>
          <w:lang w:val="fr-CA"/>
        </w:rPr>
      </w:pPr>
    </w:p>
    <w:p w:rsidR="006519A8" w:rsidRPr="008F5A08" w:rsidRDefault="006519A8" w:rsidP="00035F9E">
      <w:pPr>
        <w:pStyle w:val="SCCNormalDoubleSpacing"/>
        <w:keepNext/>
        <w:spacing w:line="240" w:lineRule="auto"/>
        <w:ind w:left="540" w:hanging="540"/>
        <w:rPr>
          <w:lang w:val="fr-CA"/>
        </w:rPr>
      </w:pPr>
      <w:r w:rsidRPr="008F5A08">
        <w:rPr>
          <w:i/>
          <w:lang w:val="fr-CA"/>
        </w:rPr>
        <w:t>Charte canadienne des droits et libertés</w:t>
      </w:r>
      <w:r w:rsidR="00691BE6" w:rsidRPr="008F5A08">
        <w:rPr>
          <w:lang w:val="fr-CA"/>
        </w:rPr>
        <w:t>, art. </w:t>
      </w:r>
      <w:r w:rsidRPr="008F5A08">
        <w:rPr>
          <w:lang w:val="fr-CA"/>
        </w:rPr>
        <w:t>15(1), 24.</w:t>
      </w:r>
    </w:p>
    <w:p w:rsidR="006519A8" w:rsidRPr="008F5A08" w:rsidRDefault="006519A8" w:rsidP="000A5321">
      <w:pPr>
        <w:pStyle w:val="SCCNormalDoubleSpacing"/>
        <w:spacing w:line="240" w:lineRule="auto"/>
        <w:ind w:left="540" w:hanging="540"/>
        <w:rPr>
          <w:lang w:val="fr-CA"/>
        </w:rPr>
      </w:pPr>
    </w:p>
    <w:p w:rsidR="0009221B" w:rsidRPr="008F5A08" w:rsidRDefault="00EE57B5" w:rsidP="0009221B">
      <w:pPr>
        <w:pStyle w:val="SCCNormalDoubleSpacing"/>
        <w:spacing w:line="240" w:lineRule="auto"/>
        <w:ind w:left="540" w:hanging="540"/>
        <w:rPr>
          <w:lang w:val="fr-CA"/>
        </w:rPr>
      </w:pPr>
      <w:r w:rsidRPr="008F5A08">
        <w:rPr>
          <w:i/>
          <w:iCs/>
          <w:szCs w:val="24"/>
          <w:lang w:val="fr-CA"/>
        </w:rPr>
        <w:t xml:space="preserve">Loi </w:t>
      </w:r>
      <w:r w:rsidR="00E30DE9" w:rsidRPr="008F5A08">
        <w:rPr>
          <w:i/>
          <w:iCs/>
          <w:szCs w:val="24"/>
          <w:lang w:val="fr-CA"/>
        </w:rPr>
        <w:t>portant modification de l</w:t>
      </w:r>
      <w:r w:rsidR="00FF7645" w:rsidRPr="008F5A08">
        <w:rPr>
          <w:i/>
          <w:iCs/>
          <w:szCs w:val="24"/>
          <w:lang w:val="fr-CA"/>
        </w:rPr>
        <w:t>a</w:t>
      </w:r>
      <w:r w:rsidR="00E30DE9" w:rsidRPr="008F5A08">
        <w:rPr>
          <w:i/>
          <w:iCs/>
          <w:szCs w:val="24"/>
          <w:lang w:val="fr-CA"/>
        </w:rPr>
        <w:t xml:space="preserve"> législation concernant les avantages pour les </w:t>
      </w:r>
      <w:r w:rsidRPr="008F5A08">
        <w:rPr>
          <w:i/>
          <w:iCs/>
          <w:szCs w:val="24"/>
          <w:lang w:val="fr-CA"/>
        </w:rPr>
        <w:t>anciens combattants</w:t>
      </w:r>
      <w:r w:rsidRPr="008F5A08">
        <w:rPr>
          <w:szCs w:val="24"/>
          <w:lang w:val="fr-CA"/>
        </w:rPr>
        <w:t>, L</w:t>
      </w:r>
      <w:r w:rsidR="0009221B" w:rsidRPr="008F5A08">
        <w:rPr>
          <w:szCs w:val="24"/>
          <w:lang w:val="fr-CA"/>
        </w:rPr>
        <w:t>.C. 2000, c</w:t>
      </w:r>
      <w:r w:rsidRPr="008F5A08">
        <w:rPr>
          <w:szCs w:val="24"/>
          <w:lang w:val="fr-CA"/>
        </w:rPr>
        <w:t>h</w:t>
      </w:r>
      <w:r w:rsidR="00691BE6" w:rsidRPr="008F5A08">
        <w:rPr>
          <w:szCs w:val="24"/>
          <w:lang w:val="fr-CA"/>
        </w:rPr>
        <w:t>. </w:t>
      </w:r>
      <w:r w:rsidR="0009221B" w:rsidRPr="008F5A08">
        <w:rPr>
          <w:szCs w:val="24"/>
          <w:lang w:val="fr-CA"/>
        </w:rPr>
        <w:t>34.</w:t>
      </w: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lang w:val="fr-CA"/>
        </w:rPr>
      </w:pP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lang w:val="fr-CA"/>
        </w:rPr>
      </w:pPr>
      <w:r w:rsidRPr="008F5A08">
        <w:rPr>
          <w:i/>
          <w:iCs/>
          <w:szCs w:val="24"/>
          <w:lang w:val="fr-CA"/>
        </w:rPr>
        <w:t>Loi sur la défense nationale</w:t>
      </w:r>
      <w:r w:rsidR="00691BE6" w:rsidRPr="008F5A08">
        <w:rPr>
          <w:szCs w:val="24"/>
          <w:lang w:val="fr-CA"/>
        </w:rPr>
        <w:t>, L.R.C. 1985, ch. N</w:t>
      </w:r>
      <w:r w:rsidR="00F5645D" w:rsidRPr="008F5A08">
        <w:rPr>
          <w:szCs w:val="24"/>
          <w:lang w:val="fr-CA"/>
        </w:rPr>
        <w:noBreakHyphen/>
      </w:r>
      <w:r w:rsidR="00691BE6" w:rsidRPr="008F5A08">
        <w:rPr>
          <w:szCs w:val="24"/>
          <w:lang w:val="fr-CA"/>
        </w:rPr>
        <w:t>5, art. </w:t>
      </w:r>
      <w:r w:rsidRPr="008F5A08">
        <w:rPr>
          <w:szCs w:val="24"/>
          <w:lang w:val="fr-CA"/>
        </w:rPr>
        <w:t xml:space="preserve">39(1). </w:t>
      </w:r>
    </w:p>
    <w:p w:rsidR="0009221B" w:rsidRPr="008F5A08" w:rsidRDefault="0009221B" w:rsidP="0009221B">
      <w:pPr>
        <w:pStyle w:val="SCCNormalDoubleSpacing"/>
        <w:spacing w:line="240" w:lineRule="auto"/>
        <w:ind w:left="540" w:hanging="540"/>
        <w:rPr>
          <w:lang w:val="fr-CA"/>
        </w:rPr>
      </w:pPr>
    </w:p>
    <w:p w:rsidR="0009221B" w:rsidRPr="008F5A08" w:rsidRDefault="007F20B8" w:rsidP="0009221B">
      <w:pPr>
        <w:pStyle w:val="SCCNormalDoubleSpacing"/>
        <w:spacing w:line="240" w:lineRule="auto"/>
        <w:ind w:left="540" w:hanging="540"/>
        <w:rPr>
          <w:lang w:val="fr-CA"/>
        </w:rPr>
      </w:pPr>
      <w:r w:rsidRPr="008F5A08">
        <w:rPr>
          <w:i/>
          <w:iCs/>
          <w:szCs w:val="24"/>
          <w:lang w:val="fr-CA"/>
        </w:rPr>
        <w:t xml:space="preserve">Loi sur la responsabilité </w:t>
      </w:r>
      <w:r w:rsidR="00375E4F">
        <w:rPr>
          <w:i/>
          <w:iCs/>
          <w:szCs w:val="24"/>
          <w:lang w:val="fr-CA"/>
        </w:rPr>
        <w:t xml:space="preserve">civile </w:t>
      </w:r>
      <w:r w:rsidRPr="008F5A08">
        <w:rPr>
          <w:i/>
          <w:iCs/>
          <w:szCs w:val="24"/>
          <w:lang w:val="fr-CA"/>
        </w:rPr>
        <w:t>de l</w:t>
      </w:r>
      <w:r w:rsidR="00AF0EE2">
        <w:rPr>
          <w:i/>
          <w:iCs/>
          <w:szCs w:val="24"/>
          <w:lang w:val="fr-CA"/>
        </w:rPr>
        <w:t>’</w:t>
      </w:r>
      <w:r w:rsidRPr="008F5A08">
        <w:rPr>
          <w:i/>
          <w:iCs/>
          <w:szCs w:val="24"/>
          <w:lang w:val="fr-CA"/>
        </w:rPr>
        <w:t>État</w:t>
      </w:r>
      <w:r w:rsidR="00FF7645" w:rsidRPr="008F5A08">
        <w:rPr>
          <w:i/>
          <w:iCs/>
          <w:szCs w:val="24"/>
          <w:lang w:val="fr-CA"/>
        </w:rPr>
        <w:t xml:space="preserve"> et le contentieux administratif</w:t>
      </w:r>
      <w:r w:rsidR="0009221B" w:rsidRPr="008F5A08">
        <w:rPr>
          <w:szCs w:val="24"/>
          <w:lang w:val="fr-CA"/>
        </w:rPr>
        <w:t xml:space="preserve">, </w:t>
      </w:r>
      <w:r w:rsidRPr="008F5A08">
        <w:rPr>
          <w:szCs w:val="24"/>
          <w:lang w:val="fr-CA"/>
        </w:rPr>
        <w:t>L.</w:t>
      </w:r>
      <w:r w:rsidR="0009221B" w:rsidRPr="008F5A08">
        <w:rPr>
          <w:szCs w:val="24"/>
          <w:lang w:val="fr-CA"/>
        </w:rPr>
        <w:t>R.C. 1985, c</w:t>
      </w:r>
      <w:r w:rsidR="00FF7645" w:rsidRPr="008F5A08">
        <w:rPr>
          <w:szCs w:val="24"/>
          <w:lang w:val="fr-CA"/>
        </w:rPr>
        <w:t>h. C</w:t>
      </w:r>
      <w:r w:rsidR="00F5645D" w:rsidRPr="008F5A08">
        <w:rPr>
          <w:szCs w:val="24"/>
          <w:lang w:val="fr-CA"/>
        </w:rPr>
        <w:noBreakHyphen/>
      </w:r>
      <w:r w:rsidRPr="008F5A08">
        <w:rPr>
          <w:szCs w:val="24"/>
          <w:lang w:val="fr-CA"/>
        </w:rPr>
        <w:t>50, art</w:t>
      </w:r>
      <w:r w:rsidR="00691BE6" w:rsidRPr="008F5A08">
        <w:rPr>
          <w:szCs w:val="24"/>
          <w:lang w:val="fr-CA"/>
        </w:rPr>
        <w:t>. </w:t>
      </w:r>
      <w:r w:rsidR="0009221B" w:rsidRPr="008F5A08">
        <w:rPr>
          <w:szCs w:val="24"/>
          <w:lang w:val="fr-CA"/>
        </w:rPr>
        <w:t>21.</w:t>
      </w:r>
    </w:p>
    <w:p w:rsidR="0009221B" w:rsidRPr="008F5A08" w:rsidRDefault="0009221B" w:rsidP="0009221B">
      <w:pPr>
        <w:pStyle w:val="SCCNormalDoubleSpacing"/>
        <w:spacing w:line="240" w:lineRule="auto"/>
        <w:ind w:left="540" w:hanging="540"/>
        <w:rPr>
          <w:lang w:val="fr-CA"/>
        </w:rPr>
      </w:pPr>
    </w:p>
    <w:p w:rsidR="0009221B" w:rsidRPr="008F5A08" w:rsidRDefault="00E30DE9" w:rsidP="0009221B">
      <w:pPr>
        <w:pStyle w:val="SCCNormalDoubleSpacing"/>
        <w:spacing w:line="240" w:lineRule="auto"/>
        <w:ind w:left="540" w:hanging="540"/>
        <w:rPr>
          <w:szCs w:val="24"/>
          <w:lang w:val="fr-CA"/>
        </w:rPr>
      </w:pPr>
      <w:r w:rsidRPr="008F5A08">
        <w:rPr>
          <w:i/>
          <w:iCs/>
          <w:szCs w:val="24"/>
          <w:lang w:val="fr-CA"/>
        </w:rPr>
        <w:t xml:space="preserve">Loi sur les </w:t>
      </w:r>
      <w:r w:rsidR="00FF7645" w:rsidRPr="008F5A08">
        <w:rPr>
          <w:i/>
          <w:iCs/>
          <w:szCs w:val="24"/>
          <w:lang w:val="fr-CA"/>
        </w:rPr>
        <w:t>C</w:t>
      </w:r>
      <w:r w:rsidRPr="008F5A08">
        <w:rPr>
          <w:i/>
          <w:iCs/>
          <w:szCs w:val="24"/>
          <w:lang w:val="fr-CA"/>
        </w:rPr>
        <w:t>ours fédérales</w:t>
      </w:r>
      <w:r w:rsidR="0009221B" w:rsidRPr="008F5A08">
        <w:rPr>
          <w:iCs/>
          <w:szCs w:val="24"/>
          <w:lang w:val="fr-CA"/>
        </w:rPr>
        <w:t xml:space="preserve">, </w:t>
      </w:r>
      <w:r w:rsidR="007F20B8" w:rsidRPr="008F5A08">
        <w:rPr>
          <w:iCs/>
          <w:szCs w:val="24"/>
          <w:lang w:val="fr-CA"/>
        </w:rPr>
        <w:t>L.</w:t>
      </w:r>
      <w:r w:rsidR="0009221B" w:rsidRPr="008F5A08">
        <w:rPr>
          <w:szCs w:val="24"/>
          <w:lang w:val="fr-CA"/>
        </w:rPr>
        <w:t>R.C. 1985, c</w:t>
      </w:r>
      <w:r w:rsidR="00691BE6" w:rsidRPr="008F5A08">
        <w:rPr>
          <w:szCs w:val="24"/>
          <w:lang w:val="fr-CA"/>
        </w:rPr>
        <w:t>h. </w:t>
      </w:r>
      <w:r w:rsidR="007F20B8" w:rsidRPr="008F5A08">
        <w:rPr>
          <w:szCs w:val="24"/>
          <w:lang w:val="fr-CA"/>
        </w:rPr>
        <w:t>F</w:t>
      </w:r>
      <w:r w:rsidR="00F5645D" w:rsidRPr="008F5A08">
        <w:rPr>
          <w:szCs w:val="24"/>
          <w:lang w:val="fr-CA"/>
        </w:rPr>
        <w:noBreakHyphen/>
      </w:r>
      <w:r w:rsidR="007F20B8" w:rsidRPr="008F5A08">
        <w:rPr>
          <w:szCs w:val="24"/>
          <w:lang w:val="fr-CA"/>
        </w:rPr>
        <w:t>7, art</w:t>
      </w:r>
      <w:r w:rsidR="0009221B" w:rsidRPr="008F5A08">
        <w:rPr>
          <w:szCs w:val="24"/>
          <w:lang w:val="fr-CA"/>
        </w:rPr>
        <w:t>.</w:t>
      </w:r>
      <w:r w:rsidR="00691BE6" w:rsidRPr="008F5A08">
        <w:rPr>
          <w:szCs w:val="24"/>
          <w:lang w:val="fr-CA"/>
        </w:rPr>
        <w:t> </w:t>
      </w:r>
      <w:r w:rsidR="0009221B" w:rsidRPr="008F5A08">
        <w:rPr>
          <w:szCs w:val="24"/>
          <w:lang w:val="fr-CA"/>
        </w:rPr>
        <w:t xml:space="preserve">2, 17(1), 18, 18.1, 18.4(2). </w:t>
      </w: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lang w:val="fr-CA"/>
        </w:rPr>
      </w:pP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lang w:val="fr-CA"/>
        </w:rPr>
      </w:pPr>
      <w:r w:rsidRPr="008F5A08">
        <w:rPr>
          <w:i/>
          <w:iCs/>
          <w:szCs w:val="24"/>
          <w:lang w:val="fr-CA"/>
        </w:rPr>
        <w:t>Loi sur les mesures de réinsertion et d</w:t>
      </w:r>
      <w:r w:rsidR="00AF0EE2">
        <w:rPr>
          <w:i/>
          <w:iCs/>
          <w:szCs w:val="24"/>
          <w:lang w:val="fr-CA"/>
        </w:rPr>
        <w:t>’</w:t>
      </w:r>
      <w:r w:rsidRPr="008F5A08">
        <w:rPr>
          <w:i/>
          <w:iCs/>
          <w:szCs w:val="24"/>
          <w:lang w:val="fr-CA"/>
        </w:rPr>
        <w:t>indemnisation des militaires et vétérans des Forces canadienne</w:t>
      </w:r>
      <w:r w:rsidR="00AF0EE2">
        <w:rPr>
          <w:i/>
          <w:iCs/>
          <w:szCs w:val="24"/>
          <w:lang w:val="fr-CA"/>
        </w:rPr>
        <w:t>s</w:t>
      </w:r>
      <w:r w:rsidRPr="008F5A08">
        <w:rPr>
          <w:szCs w:val="24"/>
          <w:lang w:val="fr-CA"/>
        </w:rPr>
        <w:t>, L.C. 2005, ch</w:t>
      </w:r>
      <w:r w:rsidR="00691BE6" w:rsidRPr="008F5A08">
        <w:rPr>
          <w:szCs w:val="24"/>
          <w:lang w:val="fr-CA"/>
        </w:rPr>
        <w:t>. </w:t>
      </w:r>
      <w:r w:rsidRPr="008F5A08">
        <w:rPr>
          <w:szCs w:val="24"/>
          <w:lang w:val="fr-CA"/>
        </w:rPr>
        <w:t>21.</w:t>
      </w: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lang w:val="fr-CA"/>
        </w:rPr>
      </w:pPr>
    </w:p>
    <w:p w:rsidR="006519A8" w:rsidRPr="008F5A08" w:rsidRDefault="006519A8" w:rsidP="006519A8">
      <w:pPr>
        <w:pStyle w:val="SCCNormalDoubleSpacing"/>
        <w:spacing w:line="240" w:lineRule="auto"/>
        <w:ind w:left="540" w:hanging="540"/>
        <w:rPr>
          <w:szCs w:val="24"/>
          <w:lang w:val="fr-CA"/>
        </w:rPr>
      </w:pPr>
      <w:r w:rsidRPr="008F5A08">
        <w:rPr>
          <w:i/>
          <w:szCs w:val="24"/>
          <w:lang w:val="fr-CA"/>
        </w:rPr>
        <w:t>Loi sur les pensions</w:t>
      </w:r>
      <w:r w:rsidRPr="008F5A08">
        <w:rPr>
          <w:szCs w:val="24"/>
          <w:lang w:val="fr-CA"/>
        </w:rPr>
        <w:t>, L.R.C. 1985, ch</w:t>
      </w:r>
      <w:r w:rsidR="00691BE6" w:rsidRPr="008F5A08">
        <w:rPr>
          <w:szCs w:val="24"/>
          <w:lang w:val="fr-CA"/>
        </w:rPr>
        <w:t>. </w:t>
      </w:r>
      <w:r w:rsidRPr="008F5A08">
        <w:rPr>
          <w:szCs w:val="24"/>
          <w:lang w:val="fr-CA"/>
        </w:rPr>
        <w:t>P</w:t>
      </w:r>
      <w:r w:rsidR="00F5645D" w:rsidRPr="008F5A08">
        <w:rPr>
          <w:szCs w:val="24"/>
          <w:lang w:val="fr-CA"/>
        </w:rPr>
        <w:noBreakHyphen/>
      </w:r>
      <w:r w:rsidRPr="008F5A08">
        <w:rPr>
          <w:szCs w:val="24"/>
          <w:lang w:val="fr-CA"/>
        </w:rPr>
        <w:t>6.</w:t>
      </w:r>
    </w:p>
    <w:p w:rsidR="0009221B" w:rsidRPr="008F5A08" w:rsidRDefault="0009221B" w:rsidP="006519A8">
      <w:pPr>
        <w:pStyle w:val="SCCNormalDoubleSpacing"/>
        <w:spacing w:line="240" w:lineRule="auto"/>
        <w:ind w:left="540" w:hanging="540"/>
        <w:rPr>
          <w:lang w:val="fr-CA"/>
        </w:rPr>
      </w:pPr>
    </w:p>
    <w:p w:rsidR="0009221B" w:rsidRPr="008F5A08" w:rsidRDefault="00E30DE9" w:rsidP="00691BE6">
      <w:pPr>
        <w:pStyle w:val="SCCNormalDoubleSpacing"/>
        <w:ind w:left="540" w:hanging="540"/>
        <w:rPr>
          <w:lang w:val="fr-CA"/>
        </w:rPr>
      </w:pPr>
      <w:r w:rsidRPr="008F5A08">
        <w:rPr>
          <w:i/>
          <w:iCs/>
          <w:szCs w:val="24"/>
          <w:lang w:val="fr-CA"/>
        </w:rPr>
        <w:t>Règles des Cours fédérales</w:t>
      </w:r>
      <w:r w:rsidRPr="008F5A08">
        <w:rPr>
          <w:szCs w:val="24"/>
          <w:lang w:val="fr-CA"/>
        </w:rPr>
        <w:t>, D</w:t>
      </w:r>
      <w:r w:rsidR="0009221B" w:rsidRPr="008F5A08">
        <w:rPr>
          <w:szCs w:val="24"/>
          <w:lang w:val="fr-CA"/>
        </w:rPr>
        <w:t>OR</w:t>
      </w:r>
      <w:r w:rsidRPr="008F5A08">
        <w:rPr>
          <w:szCs w:val="24"/>
          <w:lang w:val="fr-CA"/>
        </w:rPr>
        <w:t>S</w:t>
      </w:r>
      <w:r w:rsidR="00AF0EE2">
        <w:rPr>
          <w:szCs w:val="24"/>
          <w:lang w:val="fr-CA"/>
        </w:rPr>
        <w:t>/</w:t>
      </w:r>
      <w:r w:rsidRPr="008F5A08">
        <w:rPr>
          <w:szCs w:val="24"/>
          <w:lang w:val="fr-CA"/>
        </w:rPr>
        <w:t>98</w:t>
      </w:r>
      <w:r w:rsidR="00AF0EE2">
        <w:rPr>
          <w:szCs w:val="24"/>
          <w:lang w:val="fr-CA"/>
        </w:rPr>
        <w:t>-</w:t>
      </w:r>
      <w:r w:rsidRPr="008F5A08">
        <w:rPr>
          <w:szCs w:val="24"/>
          <w:lang w:val="fr-CA"/>
        </w:rPr>
        <w:t>106, r</w:t>
      </w:r>
      <w:r w:rsidR="007F20B8" w:rsidRPr="008F5A08">
        <w:rPr>
          <w:szCs w:val="24"/>
          <w:lang w:val="fr-CA"/>
        </w:rPr>
        <w:t>ègles</w:t>
      </w:r>
      <w:r w:rsidR="00691BE6" w:rsidRPr="008F5A08">
        <w:rPr>
          <w:szCs w:val="24"/>
          <w:lang w:val="fr-CA"/>
        </w:rPr>
        <w:t> </w:t>
      </w:r>
      <w:r w:rsidR="0009221B" w:rsidRPr="008F5A08">
        <w:rPr>
          <w:szCs w:val="24"/>
          <w:lang w:val="fr-CA"/>
        </w:rPr>
        <w:t xml:space="preserve">334.1, 334.12, 334.16.  </w:t>
      </w:r>
    </w:p>
    <w:p w:rsidR="0009221B" w:rsidRPr="008F5A08" w:rsidRDefault="0009221B" w:rsidP="00691BE6">
      <w:pPr>
        <w:pStyle w:val="SCCNormalDoubleSpacing"/>
        <w:ind w:left="540" w:hanging="540"/>
        <w:rPr>
          <w:szCs w:val="24"/>
          <w:lang w:val="fr-CA"/>
        </w:rPr>
      </w:pPr>
    </w:p>
    <w:p w:rsidR="002E6705" w:rsidRPr="008F5A08" w:rsidRDefault="0043088E" w:rsidP="00691BE6">
      <w:pPr>
        <w:pStyle w:val="SCCNormalDoubleSpacing"/>
        <w:keepNext/>
        <w:rPr>
          <w:b/>
          <w:lang w:val="fr-CA"/>
        </w:rPr>
      </w:pPr>
      <w:r w:rsidRPr="008F5A08">
        <w:rPr>
          <w:b/>
          <w:lang w:val="fr-CA"/>
        </w:rPr>
        <w:t>Doctrine</w:t>
      </w:r>
      <w:r w:rsidR="002E6705" w:rsidRPr="008F5A08">
        <w:rPr>
          <w:b/>
          <w:lang w:val="fr-CA"/>
        </w:rPr>
        <w:t xml:space="preserve"> </w:t>
      </w:r>
      <w:r w:rsidRPr="008F5A08">
        <w:rPr>
          <w:b/>
          <w:lang w:val="fr-CA"/>
        </w:rPr>
        <w:t>c</w:t>
      </w:r>
      <w:r w:rsidR="002E6705" w:rsidRPr="008F5A08">
        <w:rPr>
          <w:b/>
          <w:lang w:val="fr-CA"/>
        </w:rPr>
        <w:t>it</w:t>
      </w:r>
      <w:r w:rsidRPr="008F5A08">
        <w:rPr>
          <w:b/>
          <w:lang w:val="fr-CA"/>
        </w:rPr>
        <w:t>é</w:t>
      </w:r>
      <w:r w:rsidR="002E6705" w:rsidRPr="008F5A08">
        <w:rPr>
          <w:b/>
          <w:lang w:val="fr-CA"/>
        </w:rPr>
        <w:t>e</w:t>
      </w:r>
    </w:p>
    <w:p w:rsidR="000A5321" w:rsidRPr="008F5A08" w:rsidRDefault="000A5321" w:rsidP="00691BE6">
      <w:pPr>
        <w:pStyle w:val="SCCNormalDoubleSpacing"/>
        <w:keepNext/>
        <w:ind w:left="540" w:hanging="540"/>
        <w:rPr>
          <w:lang w:val="fr-CA"/>
        </w:rPr>
      </w:pPr>
    </w:p>
    <w:p w:rsidR="007F20B8" w:rsidRPr="00C77C58" w:rsidRDefault="00F96FDB" w:rsidP="00691BE6">
      <w:pPr>
        <w:pStyle w:val="SCCNormalDoubleSpacing"/>
        <w:spacing w:after="720" w:line="240" w:lineRule="auto"/>
        <w:ind w:left="547" w:hanging="547"/>
        <w:rPr>
          <w:lang w:val="fr-FR"/>
        </w:rPr>
      </w:pPr>
      <w:r w:rsidRPr="008F5A08">
        <w:rPr>
          <w:lang w:val="fr-CA"/>
        </w:rPr>
        <w:t xml:space="preserve">Canada.  </w:t>
      </w:r>
      <w:r w:rsidR="007F20B8" w:rsidRPr="008F5A08">
        <w:rPr>
          <w:lang w:val="fr-CA"/>
        </w:rPr>
        <w:t xml:space="preserve">Ministère de la Défense nationale et </w:t>
      </w:r>
      <w:r w:rsidR="00375E4F">
        <w:rPr>
          <w:lang w:val="fr-CA"/>
        </w:rPr>
        <w:t>d</w:t>
      </w:r>
      <w:r w:rsidR="007F20B8" w:rsidRPr="008F5A08">
        <w:rPr>
          <w:lang w:val="fr-CA"/>
        </w:rPr>
        <w:t xml:space="preserve">es Forces canadiennes.  </w:t>
      </w:r>
      <w:r w:rsidR="007F20B8" w:rsidRPr="00C77C58">
        <w:rPr>
          <w:lang w:val="fr-FR"/>
        </w:rPr>
        <w:t xml:space="preserve">Ombudsman.  </w:t>
      </w:r>
      <w:r w:rsidR="007F20B8" w:rsidRPr="008F5A08">
        <w:rPr>
          <w:i/>
          <w:lang w:val="fr-CA"/>
        </w:rPr>
        <w:t xml:space="preserve">Déductions injustes des paiements </w:t>
      </w:r>
      <w:r w:rsidR="00375E4F">
        <w:rPr>
          <w:i/>
          <w:lang w:val="fr-CA"/>
        </w:rPr>
        <w:t xml:space="preserve">du </w:t>
      </w:r>
      <w:r w:rsidR="007F20B8" w:rsidRPr="008F5A08">
        <w:rPr>
          <w:i/>
          <w:lang w:val="fr-CA"/>
        </w:rPr>
        <w:t>RARM effectués à d</w:t>
      </w:r>
      <w:r w:rsidR="00AF0EE2">
        <w:rPr>
          <w:i/>
          <w:lang w:val="fr-CA"/>
        </w:rPr>
        <w:t>’</w:t>
      </w:r>
      <w:proofErr w:type="spellStart"/>
      <w:r w:rsidR="007F20B8" w:rsidRPr="008F5A08">
        <w:rPr>
          <w:i/>
          <w:lang w:val="fr-CA"/>
        </w:rPr>
        <w:t>ex</w:t>
      </w:r>
      <w:r w:rsidR="00F5645D" w:rsidRPr="008F5A08">
        <w:rPr>
          <w:i/>
          <w:lang w:val="fr-CA"/>
        </w:rPr>
        <w:noBreakHyphen/>
      </w:r>
      <w:r w:rsidR="007F20B8" w:rsidRPr="008F5A08">
        <w:rPr>
          <w:i/>
          <w:lang w:val="fr-CA"/>
        </w:rPr>
        <w:t>membres</w:t>
      </w:r>
      <w:proofErr w:type="spellEnd"/>
      <w:r w:rsidR="007F20B8" w:rsidRPr="008F5A08">
        <w:rPr>
          <w:i/>
          <w:lang w:val="fr-CA"/>
        </w:rPr>
        <w:t xml:space="preserve"> des FC</w:t>
      </w:r>
      <w:r w:rsidR="007F20B8" w:rsidRPr="008F5A08">
        <w:rPr>
          <w:lang w:val="fr-CA"/>
        </w:rPr>
        <w:t xml:space="preserve">.  </w:t>
      </w:r>
      <w:r w:rsidR="00691BE6" w:rsidRPr="00C77C58">
        <w:rPr>
          <w:lang w:val="fr-FR"/>
        </w:rPr>
        <w:t>Ottawa </w:t>
      </w:r>
      <w:r w:rsidR="007F20B8" w:rsidRPr="00C77C58">
        <w:rPr>
          <w:lang w:val="fr-FR"/>
        </w:rPr>
        <w:t>: Le ministère, 2003</w:t>
      </w:r>
      <w:r w:rsidRPr="00C77C58">
        <w:rPr>
          <w:lang w:val="fr-FR"/>
        </w:rPr>
        <w:t xml:space="preserve"> (en ligne : www.ombudsman.forces.gc.ca/rep-rap/sr-rs/sis-rar/doc/sis-rar-fra.pdf)</w:t>
      </w:r>
      <w:r w:rsidR="00691BE6" w:rsidRPr="00C77C58">
        <w:rPr>
          <w:lang w:val="fr-FR"/>
        </w:rPr>
        <w:t>.</w:t>
      </w:r>
    </w:p>
    <w:p w:rsidR="00153FEE" w:rsidRPr="00C77C58" w:rsidRDefault="00153FEE" w:rsidP="00691BE6">
      <w:pPr>
        <w:pStyle w:val="SCCNormalDoubleSpacing"/>
        <w:tabs>
          <w:tab w:val="left" w:pos="1170"/>
        </w:tabs>
        <w:rPr>
          <w:lang w:val="fr-FR"/>
        </w:rPr>
      </w:pPr>
      <w:r w:rsidRPr="00C77C58">
        <w:rPr>
          <w:lang w:val="fr-FR"/>
        </w:rPr>
        <w:tab/>
      </w:r>
      <w:r w:rsidR="009B57B3" w:rsidRPr="008F5A08">
        <w:rPr>
          <w:lang w:val="fr-CA"/>
        </w:rPr>
        <w:t>P</w:t>
      </w:r>
      <w:r w:rsidR="0043088E" w:rsidRPr="008F5A08">
        <w:rPr>
          <w:lang w:val="fr-CA"/>
        </w:rPr>
        <w:t>OURVOI contre un arrêt de la</w:t>
      </w:r>
      <w:r w:rsidR="009B57B3" w:rsidRPr="008F5A08">
        <w:rPr>
          <w:lang w:val="fr-CA"/>
        </w:rPr>
        <w:t xml:space="preserve"> Cour d</w:t>
      </w:r>
      <w:r w:rsidR="00AF0EE2">
        <w:rPr>
          <w:lang w:val="fr-CA"/>
        </w:rPr>
        <w:t>’</w:t>
      </w:r>
      <w:r w:rsidR="009B57B3" w:rsidRPr="008F5A08">
        <w:rPr>
          <w:lang w:val="fr-CA"/>
        </w:rPr>
        <w:t>appel fédérale</w:t>
      </w:r>
      <w:r w:rsidRPr="008F5A08">
        <w:rPr>
          <w:lang w:val="fr-CA"/>
        </w:rPr>
        <w:t xml:space="preserve"> (les juges </w:t>
      </w:r>
      <w:proofErr w:type="spellStart"/>
      <w:r w:rsidRPr="008F5A08">
        <w:rPr>
          <w:lang w:val="fr-CA"/>
        </w:rPr>
        <w:t>Létourneau</w:t>
      </w:r>
      <w:proofErr w:type="spellEnd"/>
      <w:r w:rsidRPr="008F5A08">
        <w:rPr>
          <w:lang w:val="fr-CA"/>
        </w:rPr>
        <w:t xml:space="preserve">, Noël et Blais), 2009 CAF 29, </w:t>
      </w:r>
      <w:r w:rsidR="00A1559B" w:rsidRPr="008F5A08">
        <w:rPr>
          <w:lang w:val="fr-CA"/>
        </w:rPr>
        <w:t xml:space="preserve">[2009] 4 R.C.F. 478, </w:t>
      </w:r>
      <w:r w:rsidRPr="008F5A08">
        <w:rPr>
          <w:lang w:val="fr-CA"/>
        </w:rPr>
        <w:t xml:space="preserve">384 N.R. 313, 73 C.C.P.B. 1, [2009] </w:t>
      </w:r>
      <w:r w:rsidR="00A1559B" w:rsidRPr="008F5A08">
        <w:rPr>
          <w:lang w:val="fr-CA"/>
        </w:rPr>
        <w:t>A.C.</w:t>
      </w:r>
      <w:r w:rsidRPr="008F5A08">
        <w:rPr>
          <w:lang w:val="fr-CA"/>
        </w:rPr>
        <w:t xml:space="preserve">F. </w:t>
      </w:r>
      <w:r w:rsidR="00A1559B" w:rsidRPr="008F5A08">
        <w:rPr>
          <w:lang w:val="fr-CA"/>
        </w:rPr>
        <w:t>n</w:t>
      </w:r>
      <w:r w:rsidR="00A1559B" w:rsidRPr="008F5A08">
        <w:rPr>
          <w:vertAlign w:val="superscript"/>
          <w:lang w:val="fr-CA"/>
        </w:rPr>
        <w:t>o</w:t>
      </w:r>
      <w:r w:rsidR="00691BE6" w:rsidRPr="008F5A08">
        <w:rPr>
          <w:lang w:val="fr-CA"/>
        </w:rPr>
        <w:t> </w:t>
      </w:r>
      <w:r w:rsidRPr="008F5A08">
        <w:rPr>
          <w:lang w:val="fr-CA"/>
        </w:rPr>
        <w:t xml:space="preserve">73 (QL), 2009 </w:t>
      </w:r>
      <w:proofErr w:type="spellStart"/>
      <w:r w:rsidRPr="008F5A08">
        <w:rPr>
          <w:lang w:val="fr-CA"/>
        </w:rPr>
        <w:t>CarswellNat</w:t>
      </w:r>
      <w:proofErr w:type="spellEnd"/>
      <w:r w:rsidRPr="008F5A08">
        <w:rPr>
          <w:lang w:val="fr-CA"/>
        </w:rPr>
        <w:t xml:space="preserve"> 161, </w:t>
      </w:r>
      <w:r w:rsidR="009C5F87" w:rsidRPr="008F5A08">
        <w:rPr>
          <w:lang w:val="fr-CA"/>
        </w:rPr>
        <w:t xml:space="preserve">qui a </w:t>
      </w:r>
      <w:r w:rsidR="00152527" w:rsidRPr="008F5A08">
        <w:rPr>
          <w:lang w:val="fr-CA"/>
        </w:rPr>
        <w:t>annul</w:t>
      </w:r>
      <w:r w:rsidR="00B158A1" w:rsidRPr="008F5A08">
        <w:rPr>
          <w:lang w:val="fr-CA"/>
        </w:rPr>
        <w:t xml:space="preserve">é une décision du juge Barnes, 2008 CF 624, [2009] 1 R.C.F. 416, </w:t>
      </w:r>
      <w:r w:rsidR="00375E4F" w:rsidRPr="008F5A08">
        <w:rPr>
          <w:lang w:val="fr-CA"/>
        </w:rPr>
        <w:t>329 F.T.R. 167,</w:t>
      </w:r>
      <w:r w:rsidR="00375E4F">
        <w:rPr>
          <w:lang w:val="fr-CA"/>
        </w:rPr>
        <w:t xml:space="preserve"> </w:t>
      </w:r>
      <w:r w:rsidR="00B158A1" w:rsidRPr="008F5A08">
        <w:rPr>
          <w:lang w:val="fr-CA"/>
        </w:rPr>
        <w:t>71 C.C.P.B. 112, [2008] A.C.F. n</w:t>
      </w:r>
      <w:r w:rsidR="00B158A1" w:rsidRPr="008F5A08">
        <w:rPr>
          <w:vertAlign w:val="superscript"/>
          <w:lang w:val="fr-CA"/>
        </w:rPr>
        <w:t>o</w:t>
      </w:r>
      <w:r w:rsidR="00691BE6" w:rsidRPr="008F5A08">
        <w:rPr>
          <w:lang w:val="fr-CA"/>
        </w:rPr>
        <w:t> </w:t>
      </w:r>
      <w:r w:rsidR="00B158A1" w:rsidRPr="008F5A08">
        <w:rPr>
          <w:lang w:val="fr-CA"/>
        </w:rPr>
        <w:t xml:space="preserve">787 (QL), 2008 </w:t>
      </w:r>
      <w:proofErr w:type="spellStart"/>
      <w:r w:rsidR="00B158A1" w:rsidRPr="008F5A08">
        <w:rPr>
          <w:lang w:val="fr-CA"/>
        </w:rPr>
        <w:t>CarswellNat</w:t>
      </w:r>
      <w:proofErr w:type="spellEnd"/>
      <w:r w:rsidR="00B158A1" w:rsidRPr="008F5A08">
        <w:rPr>
          <w:lang w:val="fr-CA"/>
        </w:rPr>
        <w:t xml:space="preserve"> 2779.  </w:t>
      </w:r>
      <w:r w:rsidR="00A719D8" w:rsidRPr="00C77C58">
        <w:rPr>
          <w:lang w:val="fr-FR"/>
        </w:rPr>
        <w:t>Pourvoi accueilli</w:t>
      </w:r>
      <w:r w:rsidR="00B158A1" w:rsidRPr="00C77C58">
        <w:rPr>
          <w:lang w:val="fr-FR"/>
        </w:rPr>
        <w:t>.</w:t>
      </w:r>
    </w:p>
    <w:p w:rsidR="00D5435D" w:rsidRPr="00C77C58" w:rsidRDefault="00D5435D" w:rsidP="00691BE6">
      <w:pPr>
        <w:pStyle w:val="SCCNormalDoubleSpacing"/>
        <w:tabs>
          <w:tab w:val="left" w:pos="1170"/>
        </w:tabs>
        <w:rPr>
          <w:lang w:val="fr-FR"/>
        </w:rPr>
      </w:pPr>
    </w:p>
    <w:p w:rsidR="00F721BA" w:rsidRPr="008F5A08" w:rsidRDefault="00531E5E" w:rsidP="00691BE6">
      <w:pPr>
        <w:pStyle w:val="SCCNormalDoubleSpacing"/>
        <w:tabs>
          <w:tab w:val="left" w:pos="1170"/>
        </w:tabs>
        <w:rPr>
          <w:lang w:val="fr-CA"/>
        </w:rPr>
      </w:pPr>
      <w:r w:rsidRPr="00C77C58">
        <w:rPr>
          <w:rStyle w:val="SCCCounselNameChar"/>
          <w:lang w:val="fr-FR"/>
        </w:rPr>
        <w:tab/>
      </w:r>
      <w:r w:rsidRPr="008F5A08">
        <w:rPr>
          <w:rStyle w:val="SCCCounselNameChar"/>
          <w:lang w:val="fr-CA"/>
        </w:rPr>
        <w:t>Peter</w:t>
      </w:r>
      <w:r w:rsidR="00691BE6" w:rsidRPr="008F5A08">
        <w:rPr>
          <w:rStyle w:val="SCCCounselNameChar"/>
          <w:lang w:val="fr-CA"/>
        </w:rPr>
        <w:t> </w:t>
      </w:r>
      <w:r w:rsidRPr="008F5A08">
        <w:rPr>
          <w:rStyle w:val="SCCCounselNameChar"/>
          <w:lang w:val="fr-CA"/>
        </w:rPr>
        <w:t xml:space="preserve">J. </w:t>
      </w:r>
      <w:proofErr w:type="spellStart"/>
      <w:r w:rsidRPr="008F5A08">
        <w:rPr>
          <w:rStyle w:val="SCCCounselNameChar"/>
          <w:lang w:val="fr-CA"/>
        </w:rPr>
        <w:t>Driscoll</w:t>
      </w:r>
      <w:proofErr w:type="spellEnd"/>
      <w:r w:rsidR="009C5F87" w:rsidRPr="008F5A08">
        <w:rPr>
          <w:rStyle w:val="SCCCounselNameChar"/>
          <w:i w:val="0"/>
          <w:lang w:val="fr-CA"/>
        </w:rPr>
        <w:t>,</w:t>
      </w:r>
      <w:r w:rsidR="009C5F87" w:rsidRPr="008F5A08">
        <w:rPr>
          <w:rStyle w:val="SCCCounselNameChar"/>
          <w:lang w:val="fr-CA"/>
        </w:rPr>
        <w:t xml:space="preserve"> Michael </w:t>
      </w:r>
      <w:proofErr w:type="spellStart"/>
      <w:r w:rsidR="009C5F87" w:rsidRPr="008F5A08">
        <w:rPr>
          <w:rStyle w:val="SCCCounselNameChar"/>
          <w:lang w:val="fr-CA"/>
        </w:rPr>
        <w:t>Sobkin</w:t>
      </w:r>
      <w:proofErr w:type="spellEnd"/>
      <w:r w:rsidR="009C5F87" w:rsidRPr="008F5A08">
        <w:rPr>
          <w:rStyle w:val="SCCCounselNameChar"/>
          <w:i w:val="0"/>
          <w:lang w:val="fr-CA"/>
        </w:rPr>
        <w:t>,</w:t>
      </w:r>
      <w:r w:rsidR="009C5F87" w:rsidRPr="008F5A08">
        <w:rPr>
          <w:rStyle w:val="SCCCounselNameChar"/>
          <w:lang w:val="fr-CA"/>
        </w:rPr>
        <w:t xml:space="preserve"> Ward</w:t>
      </w:r>
      <w:r w:rsidR="00691BE6" w:rsidRPr="008F5A08">
        <w:rPr>
          <w:rStyle w:val="SCCCounselNameChar"/>
          <w:lang w:val="fr-CA"/>
        </w:rPr>
        <w:t> </w:t>
      </w:r>
      <w:r w:rsidR="009C5F87" w:rsidRPr="008F5A08">
        <w:rPr>
          <w:rStyle w:val="SCCCounselNameChar"/>
          <w:lang w:val="fr-CA"/>
        </w:rPr>
        <w:t xml:space="preserve">K. </w:t>
      </w:r>
      <w:proofErr w:type="spellStart"/>
      <w:r w:rsidR="009C5F87" w:rsidRPr="008F5A08">
        <w:rPr>
          <w:rStyle w:val="SCCCounselNameChar"/>
          <w:lang w:val="fr-CA"/>
        </w:rPr>
        <w:t>Branch</w:t>
      </w:r>
      <w:proofErr w:type="spellEnd"/>
      <w:r w:rsidR="009C5F87" w:rsidRPr="008F5A08">
        <w:rPr>
          <w:rStyle w:val="SCCCounselSeparatorChar"/>
          <w:lang w:val="fr-CA"/>
        </w:rPr>
        <w:t xml:space="preserve"> </w:t>
      </w:r>
      <w:r w:rsidRPr="008F5A08">
        <w:rPr>
          <w:rStyle w:val="SCCCounselSeparatorChar"/>
          <w:lang w:val="fr-CA"/>
        </w:rPr>
        <w:t xml:space="preserve">et </w:t>
      </w:r>
      <w:r w:rsidR="00691BE6" w:rsidRPr="008F5A08">
        <w:rPr>
          <w:rStyle w:val="SCCCounselNameChar"/>
          <w:lang w:val="fr-CA"/>
        </w:rPr>
        <w:t>Daniel </w:t>
      </w:r>
      <w:r w:rsidRPr="008F5A08">
        <w:rPr>
          <w:rStyle w:val="SCCCounselNameChar"/>
          <w:lang w:val="fr-CA"/>
        </w:rPr>
        <w:t>F. Wallace</w:t>
      </w:r>
      <w:r w:rsidR="009C5F87" w:rsidRPr="00C77C58">
        <w:rPr>
          <w:rStyle w:val="SCCCounselPartyRoleChar"/>
        </w:rPr>
        <w:t>, pour l</w:t>
      </w:r>
      <w:r w:rsidR="00AF0EE2">
        <w:rPr>
          <w:rStyle w:val="SCCCounselPartyRoleChar"/>
        </w:rPr>
        <w:t>’</w:t>
      </w:r>
      <w:r w:rsidR="009C5F87" w:rsidRPr="00C77C58">
        <w:rPr>
          <w:rStyle w:val="SCCCounselPartyRoleChar"/>
        </w:rPr>
        <w:t>appelant</w:t>
      </w:r>
      <w:r w:rsidRPr="00C77C58">
        <w:rPr>
          <w:rStyle w:val="SCCCounselPartyRoleChar"/>
        </w:rPr>
        <w:t>.</w:t>
      </w:r>
    </w:p>
    <w:p w:rsidR="00F721BA" w:rsidRPr="008F5A08" w:rsidRDefault="00F721BA" w:rsidP="00691BE6">
      <w:pPr>
        <w:pStyle w:val="SCCNormalDoubleSpacing"/>
        <w:tabs>
          <w:tab w:val="left" w:pos="1170"/>
        </w:tabs>
        <w:rPr>
          <w:lang w:val="fr-CA"/>
        </w:rPr>
      </w:pPr>
    </w:p>
    <w:p w:rsidR="00F721BA" w:rsidRDefault="00691BE6" w:rsidP="00AF0EE2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8F5A08">
        <w:rPr>
          <w:rStyle w:val="SCCCounselNameChar"/>
          <w:lang w:val="fr-CA"/>
        </w:rPr>
        <w:tab/>
        <w:t>Christopher </w:t>
      </w:r>
      <w:r w:rsidR="00531E5E" w:rsidRPr="008F5A08">
        <w:rPr>
          <w:rStyle w:val="SCCCounselNameChar"/>
          <w:lang w:val="fr-CA"/>
        </w:rPr>
        <w:t xml:space="preserve">M. </w:t>
      </w:r>
      <w:proofErr w:type="spellStart"/>
      <w:r w:rsidR="00531E5E" w:rsidRPr="008F5A08">
        <w:rPr>
          <w:rStyle w:val="SCCCounselNameChar"/>
          <w:lang w:val="fr-CA"/>
        </w:rPr>
        <w:t>Rupar</w:t>
      </w:r>
      <w:proofErr w:type="spellEnd"/>
      <w:r w:rsidR="00531E5E" w:rsidRPr="008F5A08">
        <w:rPr>
          <w:rStyle w:val="SCCCounselSeparatorChar"/>
          <w:lang w:val="fr-CA"/>
        </w:rPr>
        <w:t xml:space="preserve">, </w:t>
      </w:r>
      <w:r w:rsidR="00531E5E" w:rsidRPr="008F5A08">
        <w:rPr>
          <w:rStyle w:val="SCCCounselNameChar"/>
          <w:lang w:val="fr-CA"/>
        </w:rPr>
        <w:t xml:space="preserve">Alain </w:t>
      </w:r>
      <w:proofErr w:type="spellStart"/>
      <w:r w:rsidR="00531E5E" w:rsidRPr="008F5A08">
        <w:rPr>
          <w:rStyle w:val="SCCCounselNameChar"/>
          <w:lang w:val="fr-CA"/>
        </w:rPr>
        <w:t>Préfontaine</w:t>
      </w:r>
      <w:proofErr w:type="spellEnd"/>
      <w:r w:rsidR="00531E5E" w:rsidRPr="008F5A08">
        <w:rPr>
          <w:rStyle w:val="SCCCounselSeparatorChar"/>
          <w:lang w:val="fr-CA"/>
        </w:rPr>
        <w:t xml:space="preserve"> et </w:t>
      </w:r>
      <w:r w:rsidR="00531E5E" w:rsidRPr="008F5A08">
        <w:rPr>
          <w:rStyle w:val="SCCCounselNameChar"/>
          <w:lang w:val="fr-CA"/>
        </w:rPr>
        <w:t xml:space="preserve">Bernard </w:t>
      </w:r>
      <w:proofErr w:type="spellStart"/>
      <w:r w:rsidR="00531E5E" w:rsidRPr="008F5A08">
        <w:rPr>
          <w:rStyle w:val="SCCCounselNameChar"/>
          <w:lang w:val="fr-CA"/>
        </w:rPr>
        <w:t>Letarte</w:t>
      </w:r>
      <w:proofErr w:type="spellEnd"/>
      <w:r w:rsidR="009C5F87" w:rsidRPr="00C77C58">
        <w:rPr>
          <w:rStyle w:val="SCCCounselPartyRoleChar"/>
        </w:rPr>
        <w:t>, pour l</w:t>
      </w:r>
      <w:r w:rsidR="00AF0EE2">
        <w:rPr>
          <w:rStyle w:val="SCCCounselPartyRoleChar"/>
        </w:rPr>
        <w:t>’</w:t>
      </w:r>
      <w:r w:rsidR="009C5F87" w:rsidRPr="00C77C58">
        <w:rPr>
          <w:rStyle w:val="SCCCounselPartyRoleChar"/>
        </w:rPr>
        <w:t>intimée</w:t>
      </w:r>
      <w:r w:rsidR="00531E5E" w:rsidRPr="00C77C58">
        <w:rPr>
          <w:rStyle w:val="SCCCounselPartyRoleChar"/>
        </w:rPr>
        <w:t>.</w:t>
      </w:r>
    </w:p>
    <w:p w:rsidR="006F51B5" w:rsidRPr="008F5A08" w:rsidRDefault="006F51B5" w:rsidP="00AF0EE2">
      <w:pPr>
        <w:pStyle w:val="SCCNormalDoubleSpacing"/>
        <w:tabs>
          <w:tab w:val="left" w:pos="1170"/>
        </w:tabs>
        <w:spacing w:after="480"/>
        <w:rPr>
          <w:lang w:val="fr-CA"/>
        </w:rPr>
      </w:pPr>
      <w:r>
        <w:rPr>
          <w:rStyle w:val="SCCCounselPartyRoleChar"/>
        </w:rPr>
        <w:lastRenderedPageBreak/>
        <w:tab/>
        <w:t>Version française du jugement de la Cour rendu par</w:t>
      </w:r>
    </w:p>
    <w:p w:rsidR="00960BE9" w:rsidRPr="00590E17" w:rsidRDefault="00AF0EE2" w:rsidP="008F5A08">
      <w:pPr>
        <w:pStyle w:val="ReasonsNumbering-AltN"/>
        <w:rPr>
          <w:lang w:val="fr-FR"/>
        </w:rPr>
      </w:pPr>
      <w:r>
        <w:rPr>
          <w:smallCaps/>
          <w:lang w:val="fr-FR"/>
        </w:rPr>
        <w:t>L</w:t>
      </w:r>
      <w:r w:rsidRPr="00590E17">
        <w:rPr>
          <w:smallCaps/>
          <w:lang w:val="fr-FR"/>
        </w:rPr>
        <w:t xml:space="preserve">a juge </w:t>
      </w:r>
      <w:r w:rsidRPr="00AF0EE2">
        <w:rPr>
          <w:smallCaps/>
          <w:lang w:val="fr-CA"/>
        </w:rPr>
        <w:t xml:space="preserve">Abella </w:t>
      </w:r>
      <w:r w:rsidRPr="00AF0EE2">
        <w:rPr>
          <w:lang w:val="fr-CA"/>
        </w:rPr>
        <w:t xml:space="preserve">— </w:t>
      </w:r>
      <w:r w:rsidR="00960BE9" w:rsidRPr="00590E17">
        <w:rPr>
          <w:lang w:val="fr-FR"/>
        </w:rPr>
        <w:t xml:space="preserve">Dennis </w:t>
      </w:r>
      <w:proofErr w:type="spellStart"/>
      <w:r w:rsidR="00960BE9" w:rsidRPr="00590E17">
        <w:rPr>
          <w:lang w:val="fr-FR"/>
        </w:rPr>
        <w:t>Manuge</w:t>
      </w:r>
      <w:proofErr w:type="spellEnd"/>
      <w:r w:rsidR="00960BE9" w:rsidRPr="00590E17">
        <w:rPr>
          <w:lang w:val="fr-FR"/>
        </w:rPr>
        <w:t xml:space="preserve"> a touché à la fois une pension d</w:t>
      </w:r>
      <w:r>
        <w:rPr>
          <w:lang w:val="fr-FR"/>
        </w:rPr>
        <w:t>’</w:t>
      </w:r>
      <w:r w:rsidR="00960BE9" w:rsidRPr="00590E17">
        <w:rPr>
          <w:lang w:val="fr-FR"/>
        </w:rPr>
        <w:t>invalidité et des prestations d</w:t>
      </w:r>
      <w:r>
        <w:rPr>
          <w:lang w:val="fr-FR"/>
        </w:rPr>
        <w:t>’</w:t>
      </w:r>
      <w:r w:rsidR="00960BE9" w:rsidRPr="00590E17">
        <w:rPr>
          <w:lang w:val="fr-FR"/>
        </w:rPr>
        <w:t>invalidité de longue durée pendant 24 mois après avoir été libéré contre son gré des Forces canadiennes pour des raisons médicales.  Conformément aux polices applicables, le montant de la pension d</w:t>
      </w:r>
      <w:r>
        <w:rPr>
          <w:lang w:val="fr-FR"/>
        </w:rPr>
        <w:t>’</w:t>
      </w:r>
      <w:r w:rsidR="00960BE9" w:rsidRPr="00590E17">
        <w:rPr>
          <w:lang w:val="fr-FR"/>
        </w:rPr>
        <w:t>invalidité de M. </w:t>
      </w:r>
      <w:proofErr w:type="spellStart"/>
      <w:r w:rsidR="00960BE9" w:rsidRPr="00590E17">
        <w:rPr>
          <w:lang w:val="fr-FR"/>
        </w:rPr>
        <w:t>Manuge</w:t>
      </w:r>
      <w:proofErr w:type="spellEnd"/>
      <w:r w:rsidR="00960BE9" w:rsidRPr="00590E17">
        <w:rPr>
          <w:lang w:val="fr-FR"/>
        </w:rPr>
        <w:t xml:space="preserve"> était déduit chaque mois de ses prestations d</w:t>
      </w:r>
      <w:r>
        <w:rPr>
          <w:lang w:val="fr-FR"/>
        </w:rPr>
        <w:t>’</w:t>
      </w:r>
      <w:r w:rsidR="00960BE9" w:rsidRPr="00590E17">
        <w:rPr>
          <w:lang w:val="fr-FR"/>
        </w:rPr>
        <w:t>invalidité de longue durée.  Il a intenté une action en Cour fédérale pour obtenir des réparations constitutionnelles, des dommages-intérêts, des jugements déclaratoires et la restitution des sommes d</w:t>
      </w:r>
      <w:r>
        <w:rPr>
          <w:lang w:val="fr-FR"/>
        </w:rPr>
        <w:t>’</w:t>
      </w:r>
      <w:r w:rsidR="00960BE9" w:rsidRPr="00590E17">
        <w:rPr>
          <w:lang w:val="fr-FR"/>
        </w:rPr>
        <w:t>argent ainsi déduites.  Il ne se plaint pas des déductions comme telles, mais du fait qu</w:t>
      </w:r>
      <w:r>
        <w:rPr>
          <w:lang w:val="fr-FR"/>
        </w:rPr>
        <w:t>’</w:t>
      </w:r>
      <w:r w:rsidR="00960BE9" w:rsidRPr="00590E17">
        <w:rPr>
          <w:lang w:val="fr-FR"/>
        </w:rPr>
        <w:t>elles n</w:t>
      </w:r>
      <w:r>
        <w:rPr>
          <w:lang w:val="fr-FR"/>
        </w:rPr>
        <w:t>’</w:t>
      </w:r>
      <w:r w:rsidR="00960BE9" w:rsidRPr="00590E17">
        <w:rPr>
          <w:lang w:val="fr-FR"/>
        </w:rPr>
        <w:t>ont pas été imposées à toutes les personnes qui touchaient des prestations d</w:t>
      </w:r>
      <w:r>
        <w:rPr>
          <w:lang w:val="fr-FR"/>
        </w:rPr>
        <w:t>’</w:t>
      </w:r>
      <w:r w:rsidR="00960BE9" w:rsidRPr="00590E17">
        <w:rPr>
          <w:lang w:val="fr-FR"/>
        </w:rPr>
        <w:t>invalidité des Forces canadiennes.</w:t>
      </w:r>
    </w:p>
    <w:p w:rsidR="00960BE9" w:rsidRPr="00590E17" w:rsidRDefault="00960BE9" w:rsidP="008F5A08">
      <w:pPr>
        <w:pStyle w:val="ReasonsNumbering-AltN"/>
        <w:rPr>
          <w:b/>
          <w:lang w:val="fr-FR"/>
        </w:rPr>
      </w:pPr>
      <w:r w:rsidRPr="00590E17">
        <w:rPr>
          <w:lang w:val="fr-FR"/>
        </w:rPr>
        <w:t>La question qui se pose en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espèce est de savoir si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doit solliciter le contrôle judiciaire de la disposition du régime de prestations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invalidité autorisant les déductions avant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intenter son action.  Selon la décision rendue dans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affaire </w:t>
      </w:r>
      <w:r w:rsidRPr="00590E17">
        <w:rPr>
          <w:i/>
          <w:szCs w:val="24"/>
          <w:lang w:val="fr-FR"/>
        </w:rPr>
        <w:t xml:space="preserve">Canada (Procureur général) c. </w:t>
      </w:r>
      <w:proofErr w:type="spellStart"/>
      <w:r w:rsidRPr="00590E17">
        <w:rPr>
          <w:i/>
          <w:szCs w:val="24"/>
          <w:lang w:val="fr-FR"/>
        </w:rPr>
        <w:t>TeleZone</w:t>
      </w:r>
      <w:proofErr w:type="spellEnd"/>
      <w:r w:rsidRPr="00590E17">
        <w:rPr>
          <w:i/>
          <w:szCs w:val="24"/>
          <w:lang w:val="fr-FR"/>
        </w:rPr>
        <w:t xml:space="preserve"> Inc.</w:t>
      </w:r>
      <w:r w:rsidRPr="00590E17">
        <w:rPr>
          <w:szCs w:val="24"/>
          <w:lang w:val="fr-FR"/>
        </w:rPr>
        <w:t>, 2010 CSC 62</w:t>
      </w:r>
      <w:r w:rsidR="00AF0EE2">
        <w:rPr>
          <w:szCs w:val="24"/>
          <w:lang w:val="fr-FR"/>
        </w:rPr>
        <w:t xml:space="preserve">, [2010] 3 R.C.S. </w:t>
      </w:r>
      <w:r w:rsidR="00611FCD">
        <w:rPr>
          <w:szCs w:val="24"/>
          <w:lang w:val="fr-FR"/>
        </w:rPr>
        <w:t>585</w:t>
      </w:r>
      <w:r w:rsidRPr="00590E17">
        <w:rPr>
          <w:szCs w:val="24"/>
          <w:lang w:val="fr-FR"/>
        </w:rPr>
        <w:t>, instruite en même temps que le présent appel, la Cour fédérale est manifestement compétente pour connaître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action. 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arrêt </w:t>
      </w:r>
      <w:proofErr w:type="spellStart"/>
      <w:r w:rsidRPr="00590E17">
        <w:rPr>
          <w:i/>
          <w:szCs w:val="24"/>
          <w:lang w:val="fr-FR"/>
        </w:rPr>
        <w:t>TeleZone</w:t>
      </w:r>
      <w:proofErr w:type="spellEnd"/>
      <w:r w:rsidRPr="00590E17">
        <w:rPr>
          <w:szCs w:val="24"/>
          <w:lang w:val="fr-FR"/>
        </w:rPr>
        <w:t xml:space="preserve"> reconnaît toutefois aussi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existence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 pouvoir discrétionnaire résiduel de suspendre une action qui constitue essentiellement une demande voilée de contrôle judiciaire.  La Couronne soutient que c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est précisément le cas de 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intentée en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espèce.  Étant donné </w:t>
      </w:r>
      <w:r w:rsidRPr="00590E17">
        <w:rPr>
          <w:szCs w:val="24"/>
          <w:lang w:val="fr-FR"/>
        </w:rPr>
        <w:lastRenderedPageBreak/>
        <w:t>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essence de la demande, telle que je la perçois, j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estime, avec égards, que le pouvoir discrétionnaire de suspendre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action ne devrait pas être exercé. </w:t>
      </w:r>
    </w:p>
    <w:p w:rsidR="00960BE9" w:rsidRPr="00590E17" w:rsidRDefault="00960BE9" w:rsidP="00960BE9">
      <w:pPr>
        <w:keepNext/>
        <w:tabs>
          <w:tab w:val="left" w:pos="1170"/>
        </w:tabs>
        <w:spacing w:after="480" w:line="480" w:lineRule="auto"/>
        <w:jc w:val="both"/>
        <w:rPr>
          <w:b/>
        </w:rPr>
      </w:pPr>
      <w:r w:rsidRPr="00590E17">
        <w:rPr>
          <w:b/>
        </w:rPr>
        <w:t xml:space="preserve">Le </w:t>
      </w:r>
      <w:proofErr w:type="spellStart"/>
      <w:r w:rsidRPr="00590E17">
        <w:rPr>
          <w:b/>
        </w:rPr>
        <w:t>contexte</w:t>
      </w:r>
      <w:proofErr w:type="spellEnd"/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Dennis 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a servi dans les Forces canadiennes de 1994 à 2003.  En 2002, il a subi une blessure grave à un point tel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était plus en mesure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exercer ses fonctions habituelles.  Conformément à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>, L.R.C. 1985, ch. P</w:t>
      </w:r>
      <w:r w:rsidRPr="00590E17">
        <w:rPr>
          <w:szCs w:val="24"/>
          <w:lang w:val="fr-FR"/>
        </w:rPr>
        <w:noBreakHyphen/>
        <w:t>6, on a accordé à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une pension mensuelle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invalidité (« prestation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 ») de 386,28 $, dont le montant a été établi en fonction de sa blessure, et non du revenu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gagnait avant de devenir invalide.  Il touchait cette pension en plus de son salaire mensuel des Forces canadiennes de 3 942 $. 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a essayé de continuer à travailler, mais il a été libéré contre son gré des Forces canadiennes pour des raisons médicales en décembre 2003.  Dans les 24 mois suivant sa libération,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a touché à la fois des prestations en application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et des prestations du Régime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assurance-revenu militaire pou</w:t>
      </w:r>
      <w:r w:rsidR="00AF0EE2">
        <w:rPr>
          <w:szCs w:val="24"/>
          <w:lang w:val="fr-FR"/>
        </w:rPr>
        <w:t>r invalidité de longue durée (</w:t>
      </w:r>
      <w:r w:rsidR="00611FCD">
        <w:rPr>
          <w:szCs w:val="24"/>
          <w:lang w:val="fr-FR"/>
        </w:rPr>
        <w:t>le </w:t>
      </w:r>
      <w:r w:rsidRPr="00590E17">
        <w:rPr>
          <w:szCs w:val="24"/>
          <w:lang w:val="fr-FR"/>
        </w:rPr>
        <w:t>« RARM IP »).  Conformément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 du RARM IP, les 24 prestations mensuelles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a reçues en vertu de ce régime ― qui devaient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origine correspondre à 75 </w:t>
      </w:r>
      <w:r w:rsidR="00AF0EE2">
        <w:rPr>
          <w:szCs w:val="24"/>
          <w:lang w:val="fr-FR"/>
        </w:rPr>
        <w:t>p. 100</w:t>
      </w:r>
      <w:r w:rsidRPr="00590E17">
        <w:rPr>
          <w:szCs w:val="24"/>
          <w:lang w:val="fr-FR"/>
        </w:rPr>
        <w:t xml:space="preserve"> de son revenu mensuel antérieur à sa libération ― ont été réduites du montant de la prestation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il recevait en même temps au titre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>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lastRenderedPageBreak/>
        <w:t xml:space="preserve">Le RARM IP a été constitué en 1969, dans le cadre de la </w:t>
      </w:r>
      <w:r w:rsidRPr="00AF0EE2">
        <w:rPr>
          <w:szCs w:val="24"/>
          <w:lang w:val="fr-FR"/>
        </w:rPr>
        <w:t>Police du RARM n</w:t>
      </w:r>
      <w:r w:rsidRPr="00AF0EE2">
        <w:rPr>
          <w:szCs w:val="24"/>
          <w:vertAlign w:val="superscript"/>
          <w:lang w:val="fr-FR"/>
        </w:rPr>
        <w:t>o</w:t>
      </w:r>
      <w:r w:rsidRPr="00AF0EE2">
        <w:rPr>
          <w:szCs w:val="24"/>
          <w:lang w:val="fr-FR"/>
        </w:rPr>
        <w:t> 901102</w:t>
      </w:r>
      <w:r w:rsidRPr="00590E17">
        <w:rPr>
          <w:szCs w:val="24"/>
          <w:lang w:val="fr-FR"/>
        </w:rPr>
        <w:t xml:space="preserve">, en </w:t>
      </w:r>
      <w:r w:rsidRPr="008F5A08">
        <w:rPr>
          <w:lang w:val="fr-FR"/>
        </w:rPr>
        <w:t>application</w:t>
      </w:r>
      <w:r w:rsidRPr="00590E17">
        <w:rPr>
          <w:szCs w:val="24"/>
          <w:lang w:val="fr-FR"/>
        </w:rPr>
        <w:t xml:space="preserve"> du par</w:t>
      </w:r>
      <w:r w:rsidR="00AF0EE2">
        <w:rPr>
          <w:szCs w:val="24"/>
          <w:lang w:val="fr-FR"/>
        </w:rPr>
        <w:t>.</w:t>
      </w:r>
      <w:r w:rsidRPr="00590E17">
        <w:rPr>
          <w:szCs w:val="24"/>
          <w:lang w:val="fr-FR"/>
        </w:rPr>
        <w:t xml:space="preserve"> 39(1) de la </w:t>
      </w:r>
      <w:r w:rsidRPr="00590E17">
        <w:rPr>
          <w:i/>
          <w:szCs w:val="24"/>
          <w:lang w:val="fr-FR"/>
        </w:rPr>
        <w:t>Loi sur la défense nationale</w:t>
      </w:r>
      <w:r w:rsidRPr="00590E17">
        <w:rPr>
          <w:szCs w:val="24"/>
          <w:lang w:val="fr-FR"/>
        </w:rPr>
        <w:t>, L.R.C. 1985, ch. N</w:t>
      </w:r>
      <w:r w:rsidRPr="00590E17">
        <w:rPr>
          <w:szCs w:val="24"/>
          <w:lang w:val="fr-FR"/>
        </w:rPr>
        <w:noBreakHyphen/>
        <w:t>5.  Ce paragraphe confère au chef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état-major de la </w:t>
      </w:r>
      <w:r w:rsidR="00611FCD">
        <w:rPr>
          <w:szCs w:val="24"/>
          <w:lang w:val="fr-FR"/>
        </w:rPr>
        <w:t>d</w:t>
      </w:r>
      <w:r w:rsidRPr="00590E17">
        <w:rPr>
          <w:szCs w:val="24"/>
          <w:lang w:val="fr-FR"/>
        </w:rPr>
        <w:t>éfense le pouvoir discrétionnaire de disposer des « biens non publics reçus en don » au profit des membres des Forces canadiennes ou des personnes à leur charge.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En 1976, la partie III(B) de la </w:t>
      </w:r>
      <w:r w:rsidR="00AF0EE2">
        <w:rPr>
          <w:szCs w:val="24"/>
          <w:lang w:val="fr-FR"/>
        </w:rPr>
        <w:t>P</w:t>
      </w:r>
      <w:r w:rsidRPr="00590E17">
        <w:rPr>
          <w:szCs w:val="24"/>
          <w:lang w:val="fr-FR"/>
        </w:rPr>
        <w:t>olice du RARM a été modifiée par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ajout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 xml:space="preserve">iv), </w:t>
      </w:r>
      <w:r w:rsidRPr="008F5A08">
        <w:rPr>
          <w:lang w:val="fr-FR"/>
        </w:rPr>
        <w:t>qui</w:t>
      </w:r>
      <w:r w:rsidRPr="00590E17">
        <w:rPr>
          <w:szCs w:val="24"/>
          <w:lang w:val="fr-FR"/>
        </w:rPr>
        <w:t xml:space="preserve"> réduit les prestations payables chaque mois dans le cadre du RARM IP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un montant correspondant à toute prestation mensuelle reçue au titre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(comme la prestation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 versée à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>) :</w:t>
      </w:r>
    </w:p>
    <w:p w:rsidR="00960BE9" w:rsidRPr="00D61605" w:rsidRDefault="00960BE9" w:rsidP="00D61605">
      <w:pPr>
        <w:pStyle w:val="Citation-AltC"/>
        <w:spacing w:after="240"/>
        <w:rPr>
          <w:u w:val="single"/>
          <w:lang w:val="fr-CA"/>
        </w:rPr>
      </w:pPr>
      <w:r w:rsidRPr="00D61605">
        <w:rPr>
          <w:u w:val="single"/>
          <w:lang w:val="fr-CA"/>
        </w:rPr>
        <w:t>24.  Autres sources de revenu</w:t>
      </w:r>
    </w:p>
    <w:p w:rsidR="00960BE9" w:rsidRPr="008F5A08" w:rsidRDefault="00960BE9" w:rsidP="00D61605">
      <w:pPr>
        <w:pStyle w:val="Citation-AltC"/>
        <w:tabs>
          <w:tab w:val="left" w:pos="1620"/>
        </w:tabs>
        <w:spacing w:after="240"/>
        <w:rPr>
          <w:szCs w:val="24"/>
          <w:lang w:val="fr-CA"/>
        </w:rPr>
      </w:pPr>
    </w:p>
    <w:p w:rsidR="00960BE9" w:rsidRPr="00590E17" w:rsidRDefault="00960BE9" w:rsidP="00D61605">
      <w:pPr>
        <w:pStyle w:val="Citation-AltC"/>
        <w:tabs>
          <w:tab w:val="left" w:pos="1620"/>
        </w:tabs>
        <w:spacing w:after="240"/>
        <w:rPr>
          <w:lang w:val="fr-FR"/>
        </w:rPr>
      </w:pPr>
      <w:r w:rsidRPr="00590E17">
        <w:rPr>
          <w:lang w:val="fr-FR"/>
        </w:rPr>
        <w:t>a.</w:t>
      </w:r>
      <w:r w:rsidR="00D61605">
        <w:rPr>
          <w:lang w:val="fr-FR"/>
        </w:rPr>
        <w:tab/>
      </w:r>
      <w:r w:rsidRPr="00590E17">
        <w:rPr>
          <w:lang w:val="fr-FR"/>
        </w:rPr>
        <w:t>Le montant de la prestation mensuelle versée selon l</w:t>
      </w:r>
      <w:r w:rsidR="00AF0EE2">
        <w:rPr>
          <w:lang w:val="fr-FR"/>
        </w:rPr>
        <w:t>’</w:t>
      </w:r>
      <w:r w:rsidRPr="00590E17">
        <w:rPr>
          <w:lang w:val="fr-FR"/>
        </w:rPr>
        <w:t>article 23 doit être réduit du total des montants suivants :</w:t>
      </w:r>
    </w:p>
    <w:p w:rsidR="00960BE9" w:rsidRPr="00590E17" w:rsidRDefault="00960BE9" w:rsidP="00D61605">
      <w:pPr>
        <w:pStyle w:val="Citation-AltC"/>
        <w:spacing w:after="240"/>
        <w:rPr>
          <w:lang w:val="fr-FR"/>
        </w:rPr>
      </w:pPr>
    </w:p>
    <w:p w:rsidR="00960BE9" w:rsidRPr="00590E17" w:rsidRDefault="00960BE9" w:rsidP="00D61605">
      <w:pPr>
        <w:pStyle w:val="Citation-AltC"/>
        <w:spacing w:after="240"/>
        <w:jc w:val="center"/>
        <w:rPr>
          <w:szCs w:val="24"/>
          <w:lang w:val="fr-FR"/>
        </w:rPr>
      </w:pPr>
      <w:r w:rsidRPr="00590E17">
        <w:rPr>
          <w:szCs w:val="24"/>
          <w:lang w:val="fr-FR"/>
        </w:rPr>
        <w:t>. . .</w:t>
      </w:r>
    </w:p>
    <w:p w:rsidR="00960BE9" w:rsidRPr="00590E17" w:rsidRDefault="00960BE9" w:rsidP="00D61605">
      <w:pPr>
        <w:pStyle w:val="Citation-AltC"/>
        <w:spacing w:after="240"/>
        <w:rPr>
          <w:lang w:val="fr-FR"/>
        </w:rPr>
      </w:pPr>
    </w:p>
    <w:p w:rsidR="00960BE9" w:rsidRPr="00590E17" w:rsidRDefault="00AF0EE2" w:rsidP="006E3862">
      <w:pPr>
        <w:pStyle w:val="Citation-AltC"/>
        <w:tabs>
          <w:tab w:val="left" w:pos="1620"/>
          <w:tab w:val="left" w:pos="2160"/>
        </w:tabs>
        <w:ind w:left="2160" w:hanging="994"/>
        <w:rPr>
          <w:lang w:val="fr-FR"/>
        </w:rPr>
      </w:pPr>
      <w:r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>(iv)</w:t>
      </w:r>
      <w:r w:rsidR="00D61605"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 xml:space="preserve">de la prestation de revenu mensuelle totale versée au membre en vertu de la </w:t>
      </w:r>
      <w:r w:rsidR="00960BE9" w:rsidRPr="00590E17">
        <w:rPr>
          <w:i/>
          <w:szCs w:val="24"/>
          <w:lang w:val="fr-FR"/>
        </w:rPr>
        <w:t xml:space="preserve">Loi sur les </w:t>
      </w:r>
      <w:proofErr w:type="gramStart"/>
      <w:r w:rsidR="00960BE9" w:rsidRPr="00590E17">
        <w:rPr>
          <w:i/>
          <w:szCs w:val="24"/>
          <w:lang w:val="fr-FR"/>
        </w:rPr>
        <w:t>pensions</w:t>
      </w:r>
      <w:r w:rsidR="00960BE9" w:rsidRPr="00590E17">
        <w:rPr>
          <w:szCs w:val="24"/>
          <w:lang w:val="fr-FR"/>
        </w:rPr>
        <w:t xml:space="preserve"> .</w:t>
      </w:r>
      <w:proofErr w:type="gramEnd"/>
      <w:r w:rsidR="00960BE9" w:rsidRPr="00590E17">
        <w:rPr>
          <w:lang w:val="fr-CA"/>
        </w:rPr>
        <w:t> . 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La </w:t>
      </w:r>
      <w:r w:rsidRPr="00590E17">
        <w:rPr>
          <w:i/>
          <w:szCs w:val="24"/>
          <w:lang w:val="fr-FR"/>
        </w:rPr>
        <w:t>Loi portant modification de la législation concernant les avantages pour les anciens combattants</w:t>
      </w:r>
      <w:r w:rsidRPr="00590E17">
        <w:rPr>
          <w:szCs w:val="24"/>
          <w:lang w:val="fr-FR"/>
        </w:rPr>
        <w:t xml:space="preserve">, L.C. 2000, ch. 34, est entrée en vigueur en 2000.  Cette loi permet aux membres des </w:t>
      </w:r>
      <w:r w:rsidRPr="008F5A08">
        <w:rPr>
          <w:lang w:val="fr-FR"/>
        </w:rPr>
        <w:t>Forces</w:t>
      </w:r>
      <w:r w:rsidRPr="00590E17">
        <w:rPr>
          <w:szCs w:val="24"/>
          <w:lang w:val="fr-FR"/>
        </w:rPr>
        <w:t xml:space="preserve"> canadiennes ayant été frappés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invalidité durant le service, mais qui peuvent néanmoins continuer à travailler, de toucher une prestation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invalidité sous le régime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tout en recevant leur solde.  Selon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>, puisque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al. 24a)(iv) ne prévoit que la réduction des </w:t>
      </w:r>
      <w:r w:rsidRPr="00590E17">
        <w:rPr>
          <w:szCs w:val="24"/>
          <w:lang w:val="fr-FR"/>
        </w:rPr>
        <w:lastRenderedPageBreak/>
        <w:t>paiements versés au titre du RARM IP, les membres aptes à poursuivre leur service ― qui ne touchaient donc pas de prestations au titre du RARM IP ―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ont pas vu leur source principale de revenu réduite du montant des prestations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ils recevaient en même temps sous le régime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>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La </w:t>
      </w:r>
      <w:r w:rsidRPr="00590E17">
        <w:rPr>
          <w:i/>
          <w:szCs w:val="24"/>
          <w:lang w:val="fr-FR"/>
        </w:rPr>
        <w:t>Loi sur les mesures de réinsertion et d</w:t>
      </w:r>
      <w:r w:rsidR="00AF0EE2">
        <w:rPr>
          <w:i/>
          <w:szCs w:val="24"/>
          <w:lang w:val="fr-FR"/>
        </w:rPr>
        <w:t>’</w:t>
      </w:r>
      <w:r w:rsidRPr="00590E17">
        <w:rPr>
          <w:i/>
          <w:szCs w:val="24"/>
          <w:lang w:val="fr-FR"/>
        </w:rPr>
        <w:t>indemnisation des militaires et vétérans des Forces canadiennes</w:t>
      </w:r>
      <w:r w:rsidRPr="00590E17">
        <w:rPr>
          <w:szCs w:val="24"/>
          <w:lang w:val="fr-FR"/>
        </w:rPr>
        <w:t>, L.C. 2005, ch. 21 (la « nouvelle Charte des anciens combattants »), entrée en vigueur le 1</w:t>
      </w:r>
      <w:r w:rsidRPr="00590E17">
        <w:rPr>
          <w:szCs w:val="24"/>
          <w:vertAlign w:val="superscript"/>
          <w:lang w:val="fr-FR"/>
        </w:rPr>
        <w:t>er</w:t>
      </w:r>
      <w:r w:rsidRPr="00590E17">
        <w:rPr>
          <w:szCs w:val="24"/>
          <w:lang w:val="fr-FR"/>
        </w:rPr>
        <w:t xml:space="preserve"> avril 2006, a remplacé les prestations mensuelles au titre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par un paiement forfaitaire.  Le paiement en question ne constitue pas une « prestation de revenu mensuelle » au sens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 du RARM IP et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entraîne donc pas de réduction des prestations versées en vertu du RARM IP. 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adoption de la nouvelle Charte des anciens combattants a pour effet de mettre les membres blessés le 1</w:t>
      </w:r>
      <w:r w:rsidRPr="00590E17">
        <w:rPr>
          <w:szCs w:val="24"/>
          <w:vertAlign w:val="superscript"/>
          <w:lang w:val="fr-FR"/>
        </w:rPr>
        <w:t>er</w:t>
      </w:r>
      <w:r w:rsidRPr="00590E17">
        <w:rPr>
          <w:szCs w:val="24"/>
          <w:lang w:val="fr-FR"/>
        </w:rPr>
        <w:t> avril 2006 ou après cette date, qui ont droit à la fois à des prestations du RARM IP et à un paiement forfaitaire,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abri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réduction de leurs prestations mensuelles du RARM IP.  Ceux, comme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>, dont les prestations ont été réduites avant 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entrée en vigueur de la nouvelle Charte des anciens combattants,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ont droit à aucune indemnisation relativement à ces réductions antérieures.  De plus, les membres blessés avant le 1</w:t>
      </w:r>
      <w:r w:rsidRPr="00590E17">
        <w:rPr>
          <w:szCs w:val="24"/>
          <w:vertAlign w:val="superscript"/>
          <w:lang w:val="fr-FR"/>
        </w:rPr>
        <w:t>er</w:t>
      </w:r>
      <w:r w:rsidRPr="00590E17">
        <w:rPr>
          <w:szCs w:val="24"/>
          <w:lang w:val="fr-FR"/>
        </w:rPr>
        <w:t xml:space="preserve"> avril 2006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ont pas droit à un paiement forfaitaire.  Ils reçoivent encore, au titre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>, des prestations mensuelles entraînant une réduction de leurs prestations du RARM IP en application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lastRenderedPageBreak/>
        <w:t>Le 15 mars 2007,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a déposé à la Cour fédérale une déclaration dans laquelle il invoquait plusieurs moyens pour contester la réduction de ses prestations du RARM IP et demandait des réparations constitutionnelles, des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>, la restitution de sommes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argent et des jugements déclaratoires.  Il a </w:t>
      </w:r>
      <w:r w:rsidRPr="008F5A08">
        <w:rPr>
          <w:lang w:val="fr-FR"/>
        </w:rPr>
        <w:t>par</w:t>
      </w:r>
      <w:r w:rsidRPr="00590E17">
        <w:rPr>
          <w:szCs w:val="24"/>
          <w:lang w:val="fr-FR"/>
        </w:rPr>
        <w:t xml:space="preserve"> la suite demandé à la Cour fédérale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autoriser son action comme recours collectif en vertu de la règle 334.16 des </w:t>
      </w:r>
      <w:r w:rsidRPr="00590E17">
        <w:rPr>
          <w:i/>
          <w:szCs w:val="24"/>
          <w:lang w:val="fr-FR"/>
        </w:rPr>
        <w:t>Règles des Cours fédérales</w:t>
      </w:r>
      <w:r w:rsidRPr="00590E17">
        <w:rPr>
          <w:szCs w:val="24"/>
          <w:lang w:val="fr-FR"/>
        </w:rPr>
        <w:t>, DORS</w:t>
      </w:r>
      <w:r w:rsidR="002556C5">
        <w:rPr>
          <w:szCs w:val="24"/>
          <w:lang w:val="fr-FR"/>
        </w:rPr>
        <w:t>/</w:t>
      </w:r>
      <w:r w:rsidRPr="00590E17">
        <w:rPr>
          <w:szCs w:val="24"/>
          <w:lang w:val="fr-FR"/>
        </w:rPr>
        <w:t>98</w:t>
      </w:r>
      <w:r w:rsidR="002556C5">
        <w:rPr>
          <w:szCs w:val="24"/>
          <w:lang w:val="fr-FR"/>
        </w:rPr>
        <w:t>-</w:t>
      </w:r>
      <w:r w:rsidRPr="00590E17">
        <w:rPr>
          <w:szCs w:val="24"/>
          <w:lang w:val="fr-FR"/>
        </w:rPr>
        <w:t>106.  Il dit représenter environ 4 000 autres anciens membres des Forces canadiennes pour lesquels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 xml:space="preserve">iv) a eu des conséquences semblables. 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Dans sa déclaration, M. </w:t>
      </w:r>
      <w:proofErr w:type="spellStart"/>
      <w:r w:rsidRPr="008F5A08">
        <w:rPr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soutient que </w:t>
      </w:r>
    </w:p>
    <w:p w:rsidR="00960BE9" w:rsidRPr="00590E17" w:rsidRDefault="00D61605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  <w:r>
        <w:rPr>
          <w:lang w:val="fr-FR"/>
        </w:rPr>
        <w:t>(i)</w:t>
      </w:r>
      <w:r>
        <w:rPr>
          <w:lang w:val="fr-FR"/>
        </w:rPr>
        <w:tab/>
      </w:r>
      <w:r w:rsidR="00611FCD">
        <w:rPr>
          <w:lang w:val="fr-FR"/>
        </w:rPr>
        <w:t>l</w:t>
      </w:r>
      <w:r w:rsidR="00AF0EE2">
        <w:rPr>
          <w:lang w:val="fr-FR"/>
        </w:rPr>
        <w:t>’</w:t>
      </w:r>
      <w:r w:rsidR="00960BE9" w:rsidRPr="00590E17">
        <w:rPr>
          <w:lang w:val="fr-FR"/>
        </w:rPr>
        <w:t>al</w:t>
      </w:r>
      <w:r w:rsidR="002556C5">
        <w:rPr>
          <w:lang w:val="fr-FR"/>
        </w:rPr>
        <w:t>inéa</w:t>
      </w:r>
      <w:r w:rsidR="00960BE9" w:rsidRPr="00590E17">
        <w:rPr>
          <w:lang w:val="fr-FR"/>
        </w:rPr>
        <w:t> 24a</w:t>
      </w:r>
      <w:proofErr w:type="gramStart"/>
      <w:r w:rsidR="00960BE9" w:rsidRPr="00590E17">
        <w:rPr>
          <w:lang w:val="fr-FR"/>
        </w:rPr>
        <w:t>)(</w:t>
      </w:r>
      <w:proofErr w:type="gramEnd"/>
      <w:r w:rsidR="00960BE9" w:rsidRPr="00590E17">
        <w:rPr>
          <w:lang w:val="fr-FR"/>
        </w:rPr>
        <w:t xml:space="preserve">iv) est illégal, </w:t>
      </w:r>
      <w:r w:rsidR="00960BE9" w:rsidRPr="00590E17">
        <w:rPr>
          <w:i/>
          <w:iCs/>
          <w:lang w:val="fr-FR"/>
        </w:rPr>
        <w:t>ultra vires</w:t>
      </w:r>
      <w:r w:rsidR="00960BE9" w:rsidRPr="00590E17">
        <w:rPr>
          <w:lang w:val="fr-FR"/>
        </w:rPr>
        <w:t xml:space="preserve"> et contraire à la </w:t>
      </w:r>
      <w:r w:rsidR="00960BE9" w:rsidRPr="00590E17">
        <w:rPr>
          <w:i/>
          <w:lang w:val="fr-FR"/>
        </w:rPr>
        <w:t>Loi sur les pensions</w:t>
      </w:r>
      <w:r w:rsidR="00960BE9" w:rsidRPr="00590E17">
        <w:rPr>
          <w:lang w:val="fr-FR"/>
        </w:rPr>
        <w:t>;</w:t>
      </w:r>
    </w:p>
    <w:p w:rsidR="00960BE9" w:rsidRPr="00590E17" w:rsidRDefault="00960BE9" w:rsidP="00820055">
      <w:pPr>
        <w:pStyle w:val="Citation-AltC"/>
        <w:tabs>
          <w:tab w:val="left" w:pos="1710"/>
        </w:tabs>
        <w:spacing w:after="240" w:line="480" w:lineRule="auto"/>
        <w:rPr>
          <w:lang w:val="fr-FR"/>
        </w:rPr>
      </w:pPr>
    </w:p>
    <w:p w:rsidR="00960BE9" w:rsidRPr="00590E17" w:rsidRDefault="00D61605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  <w:r>
        <w:rPr>
          <w:szCs w:val="24"/>
          <w:lang w:val="fr-FR"/>
        </w:rPr>
        <w:t>(ii)</w:t>
      </w:r>
      <w:r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 xml:space="preserve">la </w:t>
      </w:r>
      <w:r w:rsidR="00960BE9" w:rsidRPr="00D61605">
        <w:rPr>
          <w:lang w:val="fr-FR"/>
        </w:rPr>
        <w:t>Couronne</w:t>
      </w:r>
      <w:r w:rsidR="00960BE9" w:rsidRPr="00590E17">
        <w:rPr>
          <w:szCs w:val="24"/>
          <w:lang w:val="fr-FR"/>
        </w:rPr>
        <w:t xml:space="preserve"> a manqué aux </w:t>
      </w:r>
      <w:r w:rsidR="00960BE9" w:rsidRPr="001C48F9">
        <w:rPr>
          <w:lang w:val="fr-FR"/>
        </w:rPr>
        <w:t>obligations</w:t>
      </w:r>
      <w:r w:rsidR="00960BE9" w:rsidRPr="00590E17">
        <w:rPr>
          <w:szCs w:val="24"/>
          <w:lang w:val="fr-FR"/>
        </w:rPr>
        <w:t xml:space="preserve"> de droit public que lui impose la </w:t>
      </w:r>
      <w:r w:rsidR="00960BE9" w:rsidRPr="00590E17">
        <w:rPr>
          <w:i/>
          <w:szCs w:val="24"/>
          <w:lang w:val="fr-FR"/>
        </w:rPr>
        <w:t xml:space="preserve">Loi sur les pensions </w:t>
      </w:r>
      <w:r w:rsidR="00960BE9" w:rsidRPr="00590E17">
        <w:rPr>
          <w:szCs w:val="24"/>
          <w:lang w:val="fr-FR"/>
        </w:rPr>
        <w:t>envers M. </w:t>
      </w:r>
      <w:proofErr w:type="spellStart"/>
      <w:r w:rsidR="00960BE9" w:rsidRPr="00590E17">
        <w:rPr>
          <w:szCs w:val="24"/>
          <w:lang w:val="fr-FR"/>
        </w:rPr>
        <w:t>Manuge</w:t>
      </w:r>
      <w:proofErr w:type="spellEnd"/>
      <w:r w:rsidR="00960BE9" w:rsidRPr="00590E17">
        <w:rPr>
          <w:szCs w:val="24"/>
          <w:lang w:val="fr-FR"/>
        </w:rPr>
        <w:t xml:space="preserve"> et le groupe;</w:t>
      </w:r>
    </w:p>
    <w:p w:rsidR="00960BE9" w:rsidRPr="00590E17" w:rsidRDefault="00960BE9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</w:p>
    <w:p w:rsidR="00960BE9" w:rsidRPr="00590E17" w:rsidRDefault="00D61605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  <w:r>
        <w:rPr>
          <w:szCs w:val="24"/>
          <w:lang w:val="fr-FR"/>
        </w:rPr>
        <w:t>(iii)</w:t>
      </w:r>
      <w:r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>l</w:t>
      </w:r>
      <w:r w:rsidR="00AF0EE2">
        <w:rPr>
          <w:szCs w:val="24"/>
          <w:lang w:val="fr-FR"/>
        </w:rPr>
        <w:t>’</w:t>
      </w:r>
      <w:r w:rsidR="00960BE9" w:rsidRPr="00590E17">
        <w:rPr>
          <w:szCs w:val="24"/>
          <w:lang w:val="fr-FR"/>
        </w:rPr>
        <w:t>al</w:t>
      </w:r>
      <w:r w:rsidR="002556C5">
        <w:rPr>
          <w:szCs w:val="24"/>
          <w:lang w:val="fr-FR"/>
        </w:rPr>
        <w:t>inéa</w:t>
      </w:r>
      <w:r w:rsidR="00960BE9" w:rsidRPr="00590E17">
        <w:rPr>
          <w:szCs w:val="24"/>
          <w:lang w:val="fr-FR"/>
        </w:rPr>
        <w:t> 24a</w:t>
      </w:r>
      <w:proofErr w:type="gramStart"/>
      <w:r w:rsidR="00960BE9" w:rsidRPr="00590E17">
        <w:rPr>
          <w:szCs w:val="24"/>
          <w:lang w:val="fr-FR"/>
        </w:rPr>
        <w:t>)(</w:t>
      </w:r>
      <w:proofErr w:type="gramEnd"/>
      <w:r w:rsidR="00960BE9" w:rsidRPr="00590E17">
        <w:rPr>
          <w:szCs w:val="24"/>
          <w:lang w:val="fr-FR"/>
        </w:rPr>
        <w:t xml:space="preserve">iv) enfreint le par. 15(1) de la </w:t>
      </w:r>
      <w:r w:rsidR="00960BE9" w:rsidRPr="00590E17">
        <w:rPr>
          <w:i/>
          <w:iCs/>
          <w:szCs w:val="24"/>
          <w:lang w:val="fr-FR"/>
        </w:rPr>
        <w:t>Charte canadienne des droits et libertés</w:t>
      </w:r>
      <w:r w:rsidR="00960BE9" w:rsidRPr="00590E17">
        <w:rPr>
          <w:szCs w:val="24"/>
          <w:lang w:val="fr-FR"/>
        </w:rPr>
        <w:t xml:space="preserve"> et n</w:t>
      </w:r>
      <w:r w:rsidR="00AF0EE2">
        <w:rPr>
          <w:szCs w:val="24"/>
          <w:lang w:val="fr-FR"/>
        </w:rPr>
        <w:t>’</w:t>
      </w:r>
      <w:r w:rsidR="00960BE9" w:rsidRPr="00590E17">
        <w:rPr>
          <w:szCs w:val="24"/>
          <w:lang w:val="fr-FR"/>
        </w:rPr>
        <w:t>est pas justifié au regard de l</w:t>
      </w:r>
      <w:r w:rsidR="00AF0EE2">
        <w:rPr>
          <w:szCs w:val="24"/>
          <w:lang w:val="fr-FR"/>
        </w:rPr>
        <w:t>’</w:t>
      </w:r>
      <w:r w:rsidR="00960BE9" w:rsidRPr="00590E17">
        <w:rPr>
          <w:szCs w:val="24"/>
          <w:lang w:val="fr-FR"/>
        </w:rPr>
        <w:t xml:space="preserve">article premier; </w:t>
      </w:r>
    </w:p>
    <w:p w:rsidR="00960BE9" w:rsidRPr="00590E17" w:rsidRDefault="00960BE9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</w:p>
    <w:p w:rsidR="00960BE9" w:rsidRPr="00590E17" w:rsidRDefault="00D61605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  <w:r>
        <w:rPr>
          <w:szCs w:val="24"/>
          <w:lang w:val="fr-FR"/>
        </w:rPr>
        <w:t>(iv)</w:t>
      </w:r>
      <w:r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 xml:space="preserve">la </w:t>
      </w:r>
      <w:r w:rsidR="00960BE9" w:rsidRPr="00D61605">
        <w:rPr>
          <w:lang w:val="fr-FR"/>
        </w:rPr>
        <w:t>Couronne</w:t>
      </w:r>
      <w:r w:rsidR="00960BE9" w:rsidRPr="00590E17">
        <w:rPr>
          <w:szCs w:val="24"/>
          <w:lang w:val="fr-FR"/>
        </w:rPr>
        <w:t xml:space="preserve"> a bénéficié d</w:t>
      </w:r>
      <w:r w:rsidR="00AF0EE2">
        <w:rPr>
          <w:szCs w:val="24"/>
          <w:lang w:val="fr-FR"/>
        </w:rPr>
        <w:t>’</w:t>
      </w:r>
      <w:r w:rsidR="00960BE9" w:rsidRPr="00590E17">
        <w:rPr>
          <w:szCs w:val="24"/>
          <w:lang w:val="fr-FR"/>
        </w:rPr>
        <w:t>un enrichissement injustifié;</w:t>
      </w:r>
    </w:p>
    <w:p w:rsidR="00960BE9" w:rsidRPr="00590E17" w:rsidRDefault="00960BE9" w:rsidP="00820055">
      <w:pPr>
        <w:pStyle w:val="Citation-AltC"/>
        <w:tabs>
          <w:tab w:val="left" w:pos="1710"/>
        </w:tabs>
        <w:spacing w:after="240" w:line="480" w:lineRule="auto"/>
        <w:rPr>
          <w:lang w:val="fr-FR"/>
        </w:rPr>
      </w:pPr>
    </w:p>
    <w:p w:rsidR="00960BE9" w:rsidRPr="00590E17" w:rsidRDefault="00D61605" w:rsidP="001C48F9">
      <w:pPr>
        <w:tabs>
          <w:tab w:val="left" w:pos="1170"/>
        </w:tabs>
        <w:spacing w:line="480" w:lineRule="auto"/>
        <w:ind w:left="1170" w:hanging="1170"/>
        <w:rPr>
          <w:lang w:val="fr-FR"/>
        </w:rPr>
      </w:pPr>
      <w:r>
        <w:rPr>
          <w:szCs w:val="24"/>
          <w:lang w:val="fr-FR"/>
        </w:rPr>
        <w:lastRenderedPageBreak/>
        <w:t>(v)</w:t>
      </w:r>
      <w:r>
        <w:rPr>
          <w:szCs w:val="24"/>
          <w:lang w:val="fr-FR"/>
        </w:rPr>
        <w:tab/>
      </w:r>
      <w:r w:rsidR="00960BE9" w:rsidRPr="00590E17">
        <w:rPr>
          <w:szCs w:val="24"/>
          <w:lang w:val="fr-FR"/>
        </w:rPr>
        <w:t xml:space="preserve">la </w:t>
      </w:r>
      <w:r w:rsidR="00960BE9" w:rsidRPr="00D61605">
        <w:rPr>
          <w:lang w:val="fr-FR"/>
        </w:rPr>
        <w:t>Couronne</w:t>
      </w:r>
      <w:r w:rsidR="00960BE9" w:rsidRPr="00590E17">
        <w:rPr>
          <w:szCs w:val="24"/>
          <w:lang w:val="fr-FR"/>
        </w:rPr>
        <w:t xml:space="preserve"> agissait à titre </w:t>
      </w:r>
      <w:proofErr w:type="spellStart"/>
      <w:r w:rsidR="00960BE9" w:rsidRPr="00590E17">
        <w:rPr>
          <w:szCs w:val="24"/>
          <w:lang w:val="fr-FR"/>
        </w:rPr>
        <w:t>fiducial</w:t>
      </w:r>
      <w:proofErr w:type="spellEnd"/>
      <w:r w:rsidR="00960BE9" w:rsidRPr="00590E17">
        <w:rPr>
          <w:szCs w:val="24"/>
          <w:lang w:val="fr-FR"/>
        </w:rPr>
        <w:t xml:space="preserve"> et a manqué à ses obligations </w:t>
      </w:r>
      <w:proofErr w:type="spellStart"/>
      <w:r w:rsidR="00960BE9" w:rsidRPr="00590E17">
        <w:rPr>
          <w:szCs w:val="24"/>
          <w:lang w:val="fr-FR"/>
        </w:rPr>
        <w:t>fiduciales</w:t>
      </w:r>
      <w:proofErr w:type="spellEnd"/>
      <w:r w:rsidR="00960BE9" w:rsidRPr="00590E17">
        <w:rPr>
          <w:szCs w:val="24"/>
          <w:lang w:val="fr-FR"/>
        </w:rPr>
        <w:t xml:space="preserve"> envers M. </w:t>
      </w:r>
      <w:proofErr w:type="spellStart"/>
      <w:r w:rsidR="00960BE9" w:rsidRPr="00590E17">
        <w:rPr>
          <w:szCs w:val="24"/>
          <w:lang w:val="fr-FR"/>
        </w:rPr>
        <w:t>Manuge</w:t>
      </w:r>
      <w:proofErr w:type="spellEnd"/>
      <w:r w:rsidR="00960BE9" w:rsidRPr="00590E17">
        <w:rPr>
          <w:szCs w:val="24"/>
          <w:lang w:val="fr-FR"/>
        </w:rPr>
        <w:t xml:space="preserve"> et le groupe; </w:t>
      </w:r>
    </w:p>
    <w:p w:rsidR="00960BE9" w:rsidRPr="00590E17" w:rsidRDefault="00960BE9" w:rsidP="00820055">
      <w:pPr>
        <w:pStyle w:val="Citation-AltC"/>
        <w:tabs>
          <w:tab w:val="left" w:pos="1710"/>
        </w:tabs>
        <w:spacing w:after="240" w:line="480" w:lineRule="auto"/>
        <w:rPr>
          <w:lang w:val="fr-FR"/>
        </w:rPr>
      </w:pPr>
    </w:p>
    <w:p w:rsidR="00960BE9" w:rsidRPr="00590E17" w:rsidRDefault="00D61605" w:rsidP="001C48F9">
      <w:pPr>
        <w:tabs>
          <w:tab w:val="left" w:pos="1170"/>
        </w:tabs>
        <w:spacing w:after="720" w:line="480" w:lineRule="auto"/>
        <w:ind w:left="1166" w:hanging="1166"/>
        <w:rPr>
          <w:lang w:val="fr-FR"/>
        </w:rPr>
      </w:pPr>
      <w:r>
        <w:rPr>
          <w:lang w:val="fr-FR"/>
        </w:rPr>
        <w:t>(vi)</w:t>
      </w:r>
      <w:r>
        <w:rPr>
          <w:lang w:val="fr-FR"/>
        </w:rPr>
        <w:tab/>
      </w:r>
      <w:r w:rsidR="00960BE9" w:rsidRPr="00590E17">
        <w:rPr>
          <w:lang w:val="fr-FR"/>
        </w:rPr>
        <w:t>la Couronne a agi de mauvaise foi.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sollicite des </w:t>
      </w:r>
      <w:r w:rsidRPr="008F5A08">
        <w:rPr>
          <w:lang w:val="fr-FR"/>
        </w:rPr>
        <w:t>jugements</w:t>
      </w:r>
      <w:r w:rsidRPr="00590E17">
        <w:rPr>
          <w:szCs w:val="24"/>
          <w:lang w:val="fr-FR"/>
        </w:rPr>
        <w:t xml:space="preserve"> déclaratoires et des dommages-intérêts fondés sur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art. 24 de la </w:t>
      </w:r>
      <w:r w:rsidRPr="00590E17">
        <w:rPr>
          <w:i/>
          <w:szCs w:val="24"/>
          <w:lang w:val="fr-FR"/>
        </w:rPr>
        <w:t>Charte</w:t>
      </w:r>
      <w:r w:rsidRPr="00590E17">
        <w:rPr>
          <w:szCs w:val="24"/>
          <w:lang w:val="fr-FR"/>
        </w:rPr>
        <w:t xml:space="preserve"> équivalant au montant </w:t>
      </w:r>
      <w:r w:rsidRPr="00590E17">
        <w:rPr>
          <w:smallCaps/>
          <w:szCs w:val="24"/>
          <w:lang w:val="fr-FR"/>
        </w:rPr>
        <w:t>[traduction]</w:t>
      </w:r>
      <w:r w:rsidRPr="00590E17">
        <w:rPr>
          <w:szCs w:val="24"/>
          <w:lang w:val="fr-FR"/>
        </w:rPr>
        <w:t xml:space="preserve"> « déduit illégalement et injustement » en application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 xml:space="preserve">iv) des prestations versées au groupe au titre du RARM IP. Subsidiairement, il réclame des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 de ce montant ou, à défaut, une ordonnance de restitution. Enfin,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réclame une </w:t>
      </w:r>
      <w:r w:rsidRPr="00590E17">
        <w:rPr>
          <w:smallCaps/>
          <w:szCs w:val="24"/>
          <w:lang w:val="fr-FR"/>
        </w:rPr>
        <w:t>[traduction] « </w:t>
      </w:r>
      <w:r w:rsidRPr="00590E17">
        <w:rPr>
          <w:szCs w:val="24"/>
          <w:lang w:val="fr-FR"/>
        </w:rPr>
        <w:t xml:space="preserve">déclaration de responsabilité et des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 généraux » pour discrimination, manquement à des obligations </w:t>
      </w:r>
      <w:proofErr w:type="spellStart"/>
      <w:r w:rsidRPr="00590E17">
        <w:rPr>
          <w:szCs w:val="24"/>
          <w:lang w:val="fr-FR"/>
        </w:rPr>
        <w:t>fiduciales</w:t>
      </w:r>
      <w:proofErr w:type="spellEnd"/>
      <w:r w:rsidRPr="00590E17">
        <w:rPr>
          <w:szCs w:val="24"/>
          <w:lang w:val="fr-FR"/>
        </w:rPr>
        <w:t xml:space="preserve"> et mauvaise foi, ainsi que des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 punitifs, exemplaires et majorés, les intérêts et les dépens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action. 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se fonde sur différents documents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administration publique pour appuyer sa prétention que le régime dans son ensemble est inéquitable et que le RARM IP a été </w:t>
      </w:r>
      <w:r w:rsidRPr="008F5A08">
        <w:rPr>
          <w:lang w:val="fr-FR"/>
        </w:rPr>
        <w:t>modifié</w:t>
      </w:r>
      <w:r w:rsidRPr="00590E17">
        <w:rPr>
          <w:szCs w:val="24"/>
          <w:lang w:val="fr-FR"/>
        </w:rPr>
        <w:t xml:space="preserve"> de mauvaise foi. Au nombre de ces documents figure un rapport spécial achevé par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ombudsman du ministère de la Défense nationale et des Forces canadiennes en octobre 2003 qui a pour titre </w:t>
      </w:r>
      <w:r w:rsidRPr="00590E17">
        <w:rPr>
          <w:i/>
          <w:szCs w:val="24"/>
          <w:lang w:val="fr-FR"/>
        </w:rPr>
        <w:t>Déductions injustes des paiements du RARM effectués à d</w:t>
      </w:r>
      <w:r w:rsidR="00AF0EE2">
        <w:rPr>
          <w:i/>
          <w:szCs w:val="24"/>
          <w:lang w:val="fr-FR"/>
        </w:rPr>
        <w:t>’</w:t>
      </w:r>
      <w:proofErr w:type="spellStart"/>
      <w:r w:rsidRPr="00590E17">
        <w:rPr>
          <w:i/>
          <w:szCs w:val="24"/>
          <w:lang w:val="fr-FR"/>
        </w:rPr>
        <w:t>ex</w:t>
      </w:r>
      <w:r w:rsidRPr="00590E17">
        <w:rPr>
          <w:i/>
          <w:szCs w:val="24"/>
          <w:lang w:val="fr-FR"/>
        </w:rPr>
        <w:noBreakHyphen/>
        <w:t>membres</w:t>
      </w:r>
      <w:proofErr w:type="spellEnd"/>
      <w:r w:rsidRPr="00590E17">
        <w:rPr>
          <w:i/>
          <w:szCs w:val="24"/>
          <w:lang w:val="fr-FR"/>
        </w:rPr>
        <w:t xml:space="preserve"> des FC</w:t>
      </w:r>
      <w:r w:rsidRPr="00590E17">
        <w:rPr>
          <w:szCs w:val="24"/>
          <w:lang w:val="fr-FR"/>
        </w:rPr>
        <w:t>.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ombudsman </w:t>
      </w:r>
      <w:r w:rsidRPr="00590E17">
        <w:rPr>
          <w:szCs w:val="24"/>
          <w:lang w:val="fr-FR"/>
        </w:rPr>
        <w:lastRenderedPageBreak/>
        <w:t xml:space="preserve">souligne comme suit dans ce rapport la différence de traitement entre les membres actifs des Forces canadiennes et ceux qui ont été libérés pour raisons médicales : </w:t>
      </w:r>
    </w:p>
    <w:p w:rsidR="00960BE9" w:rsidRPr="00590E17" w:rsidRDefault="00960BE9" w:rsidP="00960BE9">
      <w:pPr>
        <w:pStyle w:val="Citation1"/>
        <w:ind w:left="1170"/>
        <w:contextualSpacing w:val="0"/>
        <w:rPr>
          <w:lang w:val="fr-FR"/>
        </w:rPr>
      </w:pPr>
      <w:r w:rsidRPr="00590E17">
        <w:rPr>
          <w:szCs w:val="24"/>
          <w:lang w:val="fr-FR"/>
        </w:rPr>
        <w:t>Les membres actifs des FC qui touchent une pension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invalidité par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entremise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ACC aux termes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ne voient pas leur revenu réduit en raison de la pension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ils reçoivent en guise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indemnisation pour leur invalidité.  Que les membres des FC blessés ou malades libérés pour des raisons médicales voient leur prestation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assurance invalidité, laquelle vise à remplacer leur revenu à titre de membres des FC, réduite en raison des mêmes prestations de retraite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appar</w:t>
      </w:r>
      <w:r w:rsidR="002556C5">
        <w:rPr>
          <w:szCs w:val="24"/>
          <w:lang w:val="fr-FR"/>
        </w:rPr>
        <w:t>aît tout simplement pas juste. [</w:t>
      </w:r>
      <w:r w:rsidRPr="00590E17">
        <w:rPr>
          <w:szCs w:val="24"/>
          <w:lang w:val="fr-FR"/>
        </w:rPr>
        <w:t>p. 1</w:t>
      </w:r>
      <w:r w:rsidR="00234D0C">
        <w:rPr>
          <w:szCs w:val="24"/>
          <w:lang w:val="fr-FR"/>
        </w:rPr>
        <w:t>7</w:t>
      </w:r>
      <w:r w:rsidR="002556C5">
        <w:rPr>
          <w:szCs w:val="24"/>
          <w:lang w:val="fr-FR"/>
        </w:rPr>
        <w:t>]</w:t>
      </w:r>
    </w:p>
    <w:p w:rsidR="00960BE9" w:rsidRPr="00590E17" w:rsidRDefault="00960BE9" w:rsidP="008F5A08">
      <w:pPr>
        <w:pStyle w:val="SCCNormalDoubleSpacing"/>
        <w:spacing w:after="480"/>
        <w:rPr>
          <w:lang w:val="fr-FR"/>
        </w:rPr>
      </w:pPr>
      <w:r w:rsidRPr="00590E17">
        <w:rPr>
          <w:lang w:val="fr-FR"/>
        </w:rPr>
        <w:t>Dans des lettres de suivi envoyées au ministre de la Défense nationale respectivement en 2005 et en 2007, l</w:t>
      </w:r>
      <w:r w:rsidR="00AF0EE2">
        <w:rPr>
          <w:lang w:val="fr-FR"/>
        </w:rPr>
        <w:t>’</w:t>
      </w:r>
      <w:r w:rsidRPr="00590E17">
        <w:rPr>
          <w:lang w:val="fr-FR"/>
        </w:rPr>
        <w:t>ombudsman affirmait que la réduction des prestations du RARM IP d</w:t>
      </w:r>
      <w:r w:rsidR="00AF0EE2">
        <w:rPr>
          <w:lang w:val="fr-FR"/>
        </w:rPr>
        <w:t>’</w:t>
      </w:r>
      <w:r w:rsidRPr="00590E17">
        <w:rPr>
          <w:lang w:val="fr-FR"/>
        </w:rPr>
        <w:t xml:space="preserve">un montant correspondant aux prestations reçues en vertu de la </w:t>
      </w:r>
      <w:r w:rsidRPr="00590E17">
        <w:rPr>
          <w:i/>
          <w:lang w:val="fr-FR"/>
        </w:rPr>
        <w:t>Loi sur les pensions</w:t>
      </w:r>
      <w:r w:rsidRPr="00590E17">
        <w:rPr>
          <w:lang w:val="fr-FR"/>
        </w:rPr>
        <w:t xml:space="preserve"> était inéquitable envers les anciens membres des Forces canadiennes comme M. </w:t>
      </w:r>
      <w:proofErr w:type="spellStart"/>
      <w:r w:rsidRPr="00590E17">
        <w:rPr>
          <w:lang w:val="fr-FR"/>
        </w:rPr>
        <w:t>Manuge</w:t>
      </w:r>
      <w:proofErr w:type="spellEnd"/>
      <w:r w:rsidRPr="00590E17">
        <w:rPr>
          <w:lang w:val="fr-FR"/>
        </w:rPr>
        <w:t>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La Couronne s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est opposée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autorisation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comme recours collectif. Se </w:t>
      </w:r>
      <w:r w:rsidRPr="008F5A08">
        <w:rPr>
          <w:lang w:val="fr-FR"/>
        </w:rPr>
        <w:t>fondant</w:t>
      </w:r>
      <w:r w:rsidRPr="00590E17">
        <w:rPr>
          <w:szCs w:val="24"/>
          <w:lang w:val="fr-FR"/>
        </w:rPr>
        <w:t xml:space="preserve"> sur </w:t>
      </w:r>
      <w:r w:rsidRPr="00590E17">
        <w:rPr>
          <w:i/>
          <w:iCs/>
          <w:szCs w:val="24"/>
          <w:lang w:val="fr-FR"/>
        </w:rPr>
        <w:t>Canada c. Grenier</w:t>
      </w:r>
      <w:r w:rsidRPr="00590E17">
        <w:rPr>
          <w:szCs w:val="24"/>
          <w:lang w:val="fr-FR"/>
        </w:rPr>
        <w:t>, 2005 CAF 348, [2006] 2 R.C.F. 287, la Couronne a fait valoir que la validité ou la légalité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décision administrative fédérale ne pouvait pas être attaquée par voie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action, mais uniquement par voie de contrôle judiciaire.  La Couronne affirme que le chef d</w:t>
      </w:r>
      <w:r w:rsidR="00AF0EE2">
        <w:rPr>
          <w:szCs w:val="24"/>
          <w:lang w:val="fr-FR"/>
        </w:rPr>
        <w:t>’</w:t>
      </w:r>
      <w:proofErr w:type="spellStart"/>
      <w:r w:rsidRPr="00590E17">
        <w:rPr>
          <w:szCs w:val="24"/>
          <w:lang w:val="fr-FR"/>
        </w:rPr>
        <w:t>état</w:t>
      </w:r>
      <w:r w:rsidRPr="00590E17">
        <w:rPr>
          <w:szCs w:val="24"/>
          <w:lang w:val="fr-FR"/>
        </w:rPr>
        <w:noBreakHyphen/>
        <w:t>major</w:t>
      </w:r>
      <w:proofErr w:type="spellEnd"/>
      <w:r w:rsidRPr="00590E17">
        <w:rPr>
          <w:szCs w:val="24"/>
          <w:lang w:val="fr-FR"/>
        </w:rPr>
        <w:t xml:space="preserve"> de la </w:t>
      </w:r>
      <w:r w:rsidR="00611FCD">
        <w:rPr>
          <w:szCs w:val="24"/>
          <w:lang w:val="fr-FR"/>
        </w:rPr>
        <w:t>d</w:t>
      </w:r>
      <w:r w:rsidRPr="00590E17">
        <w:rPr>
          <w:szCs w:val="24"/>
          <w:lang w:val="fr-FR"/>
        </w:rPr>
        <w:t>éfense agissait à titre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« office fédéral » au sens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art. 2 de la </w:t>
      </w:r>
      <w:r w:rsidRPr="00590E17">
        <w:rPr>
          <w:i/>
          <w:szCs w:val="24"/>
          <w:lang w:val="fr-FR"/>
        </w:rPr>
        <w:t>Loi sur les Cours fédérales</w:t>
      </w:r>
      <w:r w:rsidRPr="00590E17">
        <w:rPr>
          <w:szCs w:val="24"/>
          <w:lang w:val="fr-FR"/>
        </w:rPr>
        <w:t xml:space="preserve">, L.R.C. </w:t>
      </w:r>
      <w:r w:rsidR="002556C5">
        <w:rPr>
          <w:szCs w:val="24"/>
          <w:lang w:val="fr-FR"/>
        </w:rPr>
        <w:t xml:space="preserve">1985, </w:t>
      </w:r>
      <w:r w:rsidRPr="00590E17">
        <w:rPr>
          <w:szCs w:val="24"/>
          <w:lang w:val="fr-FR"/>
        </w:rPr>
        <w:t>ch. F</w:t>
      </w:r>
      <w:r w:rsidRPr="00590E17">
        <w:rPr>
          <w:szCs w:val="24"/>
          <w:lang w:val="fr-FR"/>
        </w:rPr>
        <w:noBreakHyphen/>
        <w:t>7,</w:t>
      </w:r>
      <w:r w:rsidRPr="00590E17">
        <w:rPr>
          <w:i/>
          <w:szCs w:val="24"/>
          <w:lang w:val="fr-FR"/>
        </w:rPr>
        <w:t xml:space="preserve"> </w:t>
      </w:r>
      <w:r w:rsidRPr="00590E17">
        <w:rPr>
          <w:szCs w:val="24"/>
          <w:lang w:val="fr-FR"/>
        </w:rPr>
        <w:t>lorsqu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a établi et modifié le RARM IP.  Selon la Couronne, le sort de chacune des allégations faites dans la déclaration dépend de la validité de la décision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inclure les prestations reçues en </w:t>
      </w:r>
      <w:r w:rsidRPr="00590E17">
        <w:rPr>
          <w:szCs w:val="24"/>
          <w:lang w:val="fr-FR"/>
        </w:rPr>
        <w:lastRenderedPageBreak/>
        <w:t xml:space="preserve">vertu de la </w:t>
      </w:r>
      <w:r w:rsidRPr="00590E17">
        <w:rPr>
          <w:i/>
          <w:szCs w:val="24"/>
          <w:lang w:val="fr-FR"/>
        </w:rPr>
        <w:t>Loi sur les pensions</w:t>
      </w:r>
      <w:r w:rsidRPr="00590E17">
        <w:rPr>
          <w:szCs w:val="24"/>
          <w:lang w:val="fr-FR"/>
        </w:rPr>
        <w:t xml:space="preserve"> dans la liste des déductions aux prestations du RARM IP prévues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Lors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examen de la demande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autorisation du recours collectif présentée par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à la Cour fédérale, le juge Barnes a signalé que la décision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ajouter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 au RARM IP avait été prise de nombreuses années auparavant par le chef d</w:t>
      </w:r>
      <w:r w:rsidR="00AF0EE2">
        <w:rPr>
          <w:szCs w:val="24"/>
          <w:lang w:val="fr-FR"/>
        </w:rPr>
        <w:t>’</w:t>
      </w:r>
      <w:proofErr w:type="spellStart"/>
      <w:r w:rsidRPr="00590E17">
        <w:rPr>
          <w:szCs w:val="24"/>
          <w:lang w:val="fr-FR"/>
        </w:rPr>
        <w:t>état</w:t>
      </w:r>
      <w:r w:rsidRPr="00590E17">
        <w:rPr>
          <w:szCs w:val="24"/>
          <w:lang w:val="fr-FR"/>
        </w:rPr>
        <w:noBreakHyphen/>
        <w:t>major</w:t>
      </w:r>
      <w:proofErr w:type="spellEnd"/>
      <w:r w:rsidRPr="00590E17">
        <w:rPr>
          <w:szCs w:val="24"/>
          <w:lang w:val="fr-FR"/>
        </w:rPr>
        <w:t xml:space="preserve"> de la </w:t>
      </w:r>
      <w:r w:rsidR="00611FCD">
        <w:rPr>
          <w:szCs w:val="24"/>
          <w:lang w:val="fr-FR"/>
        </w:rPr>
        <w:t>d</w:t>
      </w:r>
      <w:r w:rsidRPr="00590E17">
        <w:rPr>
          <w:szCs w:val="24"/>
          <w:lang w:val="fr-FR"/>
        </w:rPr>
        <w:t>éfense, et que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contestait en fait la légalité de la politique </w:t>
      </w:r>
      <w:proofErr w:type="spellStart"/>
      <w:r w:rsidRPr="00590E17">
        <w:rPr>
          <w:szCs w:val="24"/>
          <w:lang w:val="fr-FR"/>
        </w:rPr>
        <w:t>sous</w:t>
      </w:r>
      <w:r w:rsidRPr="00590E17">
        <w:rPr>
          <w:szCs w:val="24"/>
          <w:lang w:val="fr-FR"/>
        </w:rPr>
        <w:noBreakHyphen/>
        <w:t>jacente</w:t>
      </w:r>
      <w:proofErr w:type="spellEnd"/>
      <w:r w:rsidRPr="00590E17">
        <w:rPr>
          <w:szCs w:val="24"/>
          <w:lang w:val="fr-FR"/>
        </w:rPr>
        <w:t xml:space="preserve">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 xml:space="preserve">iv) et la réduction correspondante de son revenu mensuel dans le cadre du régime (2008 CF 624, [2009] 1 R.C.F. 416). Le </w:t>
      </w:r>
      <w:r w:rsidRPr="008F5A08">
        <w:rPr>
          <w:lang w:val="fr-FR"/>
        </w:rPr>
        <w:t>juge</w:t>
      </w:r>
      <w:r w:rsidRPr="00590E17">
        <w:rPr>
          <w:szCs w:val="24"/>
          <w:lang w:val="fr-FR"/>
        </w:rPr>
        <w:t xml:space="preserve"> Barnes a admis que le recours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relève « à première vue » </w:t>
      </w:r>
      <w:r w:rsidR="006A3DB0">
        <w:rPr>
          <w:szCs w:val="24"/>
          <w:lang w:val="fr-FR"/>
        </w:rPr>
        <w:t xml:space="preserve">(par. 15) </w:t>
      </w:r>
      <w:r w:rsidRPr="00590E17">
        <w:rPr>
          <w:szCs w:val="24"/>
          <w:lang w:val="fr-FR"/>
        </w:rPr>
        <w:t xml:space="preserve">du par. 18(3) de la </w:t>
      </w:r>
      <w:r w:rsidRPr="00590E17">
        <w:rPr>
          <w:i/>
          <w:szCs w:val="24"/>
          <w:lang w:val="fr-FR"/>
        </w:rPr>
        <w:t>Loi sur les Cours fédérales</w:t>
      </w:r>
      <w:r w:rsidRPr="00590E17">
        <w:rPr>
          <w:szCs w:val="24"/>
          <w:lang w:val="fr-FR"/>
        </w:rPr>
        <w:t xml:space="preserve"> et que « chaque fois que les prestations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et des autres membres du groupe proposé sont déduites de leur revenu du RARM, lui et les autres membres du groupe disposent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 nouveau recours et du droit correspondant de contester en justice la légalité de la politique donnant lieu à la diminution de leurs prestations » (par. 18).  Il a cependant conclu que la présente affaire se distingue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affaire </w:t>
      </w:r>
      <w:r w:rsidRPr="00590E17">
        <w:rPr>
          <w:i/>
          <w:szCs w:val="24"/>
          <w:lang w:val="fr-FR"/>
        </w:rPr>
        <w:t>Grenier</w:t>
      </w:r>
      <w:r w:rsidRPr="00590E17">
        <w:rPr>
          <w:szCs w:val="24"/>
          <w:lang w:val="fr-FR"/>
        </w:rPr>
        <w:t xml:space="preserve"> pour deux raisons : en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espèce, la décision en litige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est pas figée dans le temps et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ne peut être perçue comme une véritable contestation indirecte visant à éluder le court délai fixé pour le dépôt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une demande de contrôle judiciaire (par. 15 et 18). Il est donc arrivé à la conclusion que les préoccupations relatives aux contestations indirectes, au caractère définitif des décisions administratives et à la déférence dont il faut faire preuve envers les décideurs administratifs, sur lesquelles repose </w:t>
      </w:r>
      <w:r w:rsidRPr="00590E17">
        <w:rPr>
          <w:i/>
          <w:szCs w:val="24"/>
          <w:lang w:val="fr-FR"/>
        </w:rPr>
        <w:t>Grenier</w:t>
      </w:r>
      <w:r w:rsidRPr="00590E17">
        <w:rPr>
          <w:szCs w:val="24"/>
          <w:lang w:val="fr-FR"/>
        </w:rPr>
        <w:t>, « 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interviennent pas naturellement » dans la présente affaire (par. 21).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lastRenderedPageBreak/>
        <w:t xml:space="preserve">Il a ajouté que « la rigueur du </w:t>
      </w:r>
      <w:r w:rsidRPr="00590E17">
        <w:rPr>
          <w:i/>
          <w:szCs w:val="24"/>
          <w:lang w:val="fr-FR"/>
        </w:rPr>
        <w:t xml:space="preserve">ratio </w:t>
      </w:r>
      <w:proofErr w:type="spellStart"/>
      <w:r w:rsidRPr="00590E17">
        <w:rPr>
          <w:i/>
          <w:szCs w:val="24"/>
          <w:lang w:val="fr-FR"/>
        </w:rPr>
        <w:t>decidendi</w:t>
      </w:r>
      <w:proofErr w:type="spellEnd"/>
      <w:r w:rsidRPr="00590E17">
        <w:rPr>
          <w:szCs w:val="24"/>
          <w:lang w:val="fr-FR"/>
        </w:rPr>
        <w:t xml:space="preserve"> d</w:t>
      </w:r>
      <w:r w:rsidR="002556C5">
        <w:rPr>
          <w:szCs w:val="24"/>
          <w:lang w:val="fr-FR"/>
        </w:rPr>
        <w:t>e</w:t>
      </w:r>
      <w:r w:rsidRPr="00590E17">
        <w:rPr>
          <w:szCs w:val="24"/>
          <w:lang w:val="fr-FR"/>
        </w:rPr>
        <w:t xml:space="preserve">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arrêt </w:t>
      </w:r>
      <w:r w:rsidRPr="00590E17">
        <w:rPr>
          <w:i/>
          <w:szCs w:val="24"/>
          <w:lang w:val="fr-FR"/>
        </w:rPr>
        <w:t>Grenier</w:t>
      </w:r>
      <w:r w:rsidRPr="00590E17">
        <w:rPr>
          <w:szCs w:val="24"/>
          <w:lang w:val="fr-FR"/>
        </w:rPr>
        <w:t xml:space="preserve"> </w:t>
      </w:r>
      <w:r w:rsidRPr="00590E17">
        <w:rPr>
          <w:iCs/>
          <w:szCs w:val="24"/>
          <w:lang w:val="fr-FR"/>
        </w:rPr>
        <w:t>peut être atténuée, dans les cas qui s</w:t>
      </w:r>
      <w:r w:rsidR="00AF0EE2">
        <w:rPr>
          <w:iCs/>
          <w:szCs w:val="24"/>
          <w:lang w:val="fr-FR"/>
        </w:rPr>
        <w:t>’</w:t>
      </w:r>
      <w:r w:rsidRPr="00590E17">
        <w:rPr>
          <w:iCs/>
          <w:szCs w:val="24"/>
          <w:lang w:val="fr-FR"/>
        </w:rPr>
        <w:t>y prêtent, par le pouvoir de convertir en action une demande de contrôle judiciaire » en vertu du par. </w:t>
      </w:r>
      <w:r w:rsidRPr="00590E17">
        <w:rPr>
          <w:szCs w:val="24"/>
          <w:lang w:val="fr-FR"/>
        </w:rPr>
        <w:t xml:space="preserve">18.4(2) de la </w:t>
      </w:r>
      <w:r w:rsidRPr="00590E17">
        <w:rPr>
          <w:i/>
          <w:szCs w:val="24"/>
          <w:lang w:val="fr-FR"/>
        </w:rPr>
        <w:t>Loi sur les Cours fédérales</w:t>
      </w:r>
      <w:r w:rsidRPr="00590E17">
        <w:rPr>
          <w:szCs w:val="24"/>
          <w:lang w:val="fr-FR"/>
        </w:rPr>
        <w:t xml:space="preserve"> (par. 21).  </w:t>
      </w:r>
      <w:r w:rsidRPr="008F5A08">
        <w:rPr>
          <w:lang w:val="fr-FR"/>
        </w:rPr>
        <w:t>Appliquant</w:t>
      </w:r>
      <w:r w:rsidRPr="00590E17">
        <w:rPr>
          <w:szCs w:val="24"/>
          <w:lang w:val="fr-FR"/>
        </w:rPr>
        <w:t xml:space="preserve"> le critère établi dans </w:t>
      </w:r>
      <w:r w:rsidRPr="00590E17">
        <w:rPr>
          <w:i/>
          <w:szCs w:val="24"/>
          <w:lang w:val="fr-FR"/>
        </w:rPr>
        <w:t>Hunt c. Carey Canada Inc.</w:t>
      </w:r>
      <w:r w:rsidRPr="00590E17">
        <w:rPr>
          <w:szCs w:val="24"/>
          <w:lang w:val="fr-FR"/>
        </w:rPr>
        <w:t>, [1990] 2 R.C.S. 959, le juge Barnes a conclu que les actes de procédure révélaient une cause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valable et a autorisé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comme recours collectif.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Appliquant </w:t>
      </w:r>
      <w:r w:rsidRPr="00590E17">
        <w:rPr>
          <w:i/>
          <w:szCs w:val="24"/>
          <w:lang w:val="fr-FR"/>
        </w:rPr>
        <w:t>Grenier</w:t>
      </w:r>
      <w:r w:rsidRPr="00590E17">
        <w:rPr>
          <w:szCs w:val="24"/>
          <w:lang w:val="fr-FR"/>
        </w:rPr>
        <w:t>, la Cour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appel fédérale a accueilli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appel de la Couronne.  </w:t>
      </w:r>
      <w:proofErr w:type="gramStart"/>
      <w:r w:rsidRPr="00590E17">
        <w:rPr>
          <w:szCs w:val="24"/>
          <w:lang w:val="fr-FR"/>
        </w:rPr>
        <w:t>Elle a</w:t>
      </w:r>
      <w:proofErr w:type="gramEnd"/>
      <w:r w:rsidRPr="00590E17">
        <w:rPr>
          <w:szCs w:val="24"/>
          <w:lang w:val="fr-FR"/>
        </w:rPr>
        <w:t xml:space="preserve"> conclu que la légalité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décision ou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activité administrative telle celle prévue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 du RARM IP ne peut être contestée que par voie de contrôle judiciaire (2009 CAF 29, [2009] 4 R.C.F. 478).  La décision mensuelle de diminuer les prestations pouvait être déclarée nulle ou illégale dans une instance de contrôle judiciaire.  La responsabilité découlant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décision illégale pouvait être examinée séparément, dans le cadre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une action en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.  La </w:t>
      </w:r>
      <w:r w:rsidRPr="008F5A08">
        <w:rPr>
          <w:lang w:val="fr-FR"/>
        </w:rPr>
        <w:t>Cour</w:t>
      </w:r>
      <w:r w:rsidRPr="00590E17">
        <w:rPr>
          <w:szCs w:val="24"/>
          <w:lang w:val="fr-FR"/>
        </w:rPr>
        <w:t xml:space="preserve">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appel a aussi décidé que le juge Barnes ne pouvait pas utiliser le par. 18.4(2) de la </w:t>
      </w:r>
      <w:r w:rsidRPr="00590E17">
        <w:rPr>
          <w:i/>
          <w:szCs w:val="24"/>
          <w:lang w:val="fr-FR"/>
        </w:rPr>
        <w:t xml:space="preserve">Loi sur les Cours fédérales </w:t>
      </w:r>
      <w:r w:rsidRPr="00590E17">
        <w:rPr>
          <w:szCs w:val="24"/>
          <w:lang w:val="fr-FR"/>
        </w:rPr>
        <w:t>pour jouer avec les notions de façon à transformer le recours en action.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La Cour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appel fédérale a donné 30 jours à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pour signifier et déposer une demande de contrôle judiciaire et elle a suspendu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jusqu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à ce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décision définitive soit rendue sur cette demande.  Elle a fait remarquer que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pouvait demander, s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il le voulait, que sa demande de contrôle judiciaire soit </w:t>
      </w:r>
      <w:r w:rsidRPr="008F5A08">
        <w:rPr>
          <w:lang w:val="fr-FR"/>
        </w:rPr>
        <w:t>autorisée</w:t>
      </w:r>
      <w:r w:rsidRPr="00590E17">
        <w:rPr>
          <w:szCs w:val="24"/>
          <w:lang w:val="fr-FR"/>
        </w:rPr>
        <w:t xml:space="preserve"> comme recours collectif (voir les règles 334.1 et </w:t>
      </w:r>
      <w:r w:rsidRPr="00590E17">
        <w:rPr>
          <w:szCs w:val="24"/>
          <w:lang w:val="fr-FR"/>
        </w:rPr>
        <w:lastRenderedPageBreak/>
        <w:t xml:space="preserve">334.12 des </w:t>
      </w:r>
      <w:r w:rsidRPr="00590E17">
        <w:rPr>
          <w:i/>
          <w:szCs w:val="24"/>
          <w:lang w:val="fr-FR"/>
        </w:rPr>
        <w:t>Règles des Cours fédérales</w:t>
      </w:r>
      <w:r w:rsidRPr="00590E17">
        <w:rPr>
          <w:szCs w:val="24"/>
          <w:lang w:val="fr-FR"/>
        </w:rPr>
        <w:t>). 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a présenté une demande de contrôle judiciaire le 4 mars 2009.  Il a aussi interjeté appel devant notre Cour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arrêt de la Cour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appel fédérale.</w:t>
      </w:r>
    </w:p>
    <w:p w:rsidR="00960BE9" w:rsidRPr="00590E17" w:rsidRDefault="00960BE9" w:rsidP="00960BE9">
      <w:pPr>
        <w:keepNext/>
        <w:tabs>
          <w:tab w:val="left" w:pos="1170"/>
        </w:tabs>
        <w:spacing w:after="480" w:line="480" w:lineRule="auto"/>
        <w:jc w:val="both"/>
        <w:rPr>
          <w:b/>
        </w:rPr>
      </w:pPr>
      <w:r w:rsidRPr="00590E17">
        <w:rPr>
          <w:b/>
        </w:rPr>
        <w:t>Analyse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Suivant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arrêt </w:t>
      </w:r>
      <w:proofErr w:type="spellStart"/>
      <w:r w:rsidRPr="00590E17">
        <w:rPr>
          <w:i/>
          <w:szCs w:val="24"/>
          <w:lang w:val="fr-FR"/>
        </w:rPr>
        <w:t>TeleZone</w:t>
      </w:r>
      <w:proofErr w:type="spellEnd"/>
      <w:r w:rsidRPr="00590E17">
        <w:rPr>
          <w:szCs w:val="24"/>
          <w:lang w:val="fr-FR"/>
        </w:rPr>
        <w:t>, il ne fait aucun doute que la Cour fédérale a compétence pour instruire le recours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sous forme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action en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 : </w:t>
      </w:r>
      <w:r w:rsidRPr="00590E17">
        <w:rPr>
          <w:i/>
          <w:szCs w:val="24"/>
          <w:lang w:val="fr-FR"/>
        </w:rPr>
        <w:t>Loi sur les Cours fédérales</w:t>
      </w:r>
      <w:r w:rsidRPr="00590E17">
        <w:rPr>
          <w:szCs w:val="24"/>
          <w:lang w:val="fr-FR"/>
        </w:rPr>
        <w:t xml:space="preserve">, par. 17(1); </w:t>
      </w:r>
      <w:r w:rsidRPr="00590E17">
        <w:rPr>
          <w:i/>
          <w:szCs w:val="24"/>
          <w:lang w:val="fr-FR"/>
        </w:rPr>
        <w:t>Loi sur la responsabilité civile de</w:t>
      </w:r>
      <w:r w:rsidRPr="00590E17">
        <w:rPr>
          <w:szCs w:val="24"/>
          <w:lang w:val="fr-FR"/>
        </w:rPr>
        <w:t xml:space="preserve"> </w:t>
      </w:r>
      <w:r w:rsidRPr="00590E17">
        <w:rPr>
          <w:i/>
          <w:szCs w:val="24"/>
          <w:lang w:val="fr-FR"/>
        </w:rPr>
        <w:t>l</w:t>
      </w:r>
      <w:r w:rsidR="00AF0EE2">
        <w:rPr>
          <w:i/>
          <w:szCs w:val="24"/>
          <w:lang w:val="fr-FR"/>
        </w:rPr>
        <w:t>’</w:t>
      </w:r>
      <w:r w:rsidRPr="00590E17">
        <w:rPr>
          <w:i/>
          <w:szCs w:val="24"/>
          <w:lang w:val="fr-FR"/>
        </w:rPr>
        <w:t>État</w:t>
      </w:r>
      <w:r w:rsidRPr="00590E17">
        <w:rPr>
          <w:szCs w:val="24"/>
          <w:lang w:val="fr-FR"/>
        </w:rPr>
        <w:t xml:space="preserve"> </w:t>
      </w:r>
      <w:r w:rsidRPr="00590E17">
        <w:rPr>
          <w:i/>
          <w:szCs w:val="24"/>
          <w:lang w:val="fr-FR"/>
        </w:rPr>
        <w:t>et le contentieux administratif</w:t>
      </w:r>
      <w:r w:rsidRPr="00590E17">
        <w:rPr>
          <w:szCs w:val="24"/>
          <w:lang w:val="fr-FR"/>
        </w:rPr>
        <w:t>, L.R.C. 1985, ch. C</w:t>
      </w:r>
      <w:r w:rsidRPr="00590E17">
        <w:rPr>
          <w:szCs w:val="24"/>
          <w:lang w:val="fr-FR"/>
        </w:rPr>
        <w:noBreakHyphen/>
        <w:t xml:space="preserve">50, art. 21; </w:t>
      </w:r>
      <w:proofErr w:type="spellStart"/>
      <w:r w:rsidRPr="00590E17">
        <w:rPr>
          <w:i/>
          <w:iCs/>
          <w:szCs w:val="24"/>
          <w:lang w:val="fr-FR"/>
        </w:rPr>
        <w:t>TeleZone</w:t>
      </w:r>
      <w:proofErr w:type="spellEnd"/>
      <w:r w:rsidRPr="00590E17">
        <w:rPr>
          <w:szCs w:val="24"/>
          <w:lang w:val="fr-FR"/>
        </w:rPr>
        <w:t>, par. 19</w:t>
      </w:r>
      <w:r w:rsidRPr="00590E17">
        <w:rPr>
          <w:szCs w:val="24"/>
          <w:lang w:val="fr-FR"/>
        </w:rPr>
        <w:noBreakHyphen/>
        <w:t>23 et 43</w:t>
      </w:r>
      <w:r w:rsidRPr="00590E17">
        <w:rPr>
          <w:szCs w:val="24"/>
          <w:lang w:val="fr-FR"/>
        </w:rPr>
        <w:noBreakHyphen/>
        <w:t xml:space="preserve">46; </w:t>
      </w:r>
      <w:r w:rsidRPr="00590E17">
        <w:rPr>
          <w:i/>
          <w:szCs w:val="24"/>
          <w:lang w:val="fr-FR"/>
        </w:rPr>
        <w:t xml:space="preserve">Canada (Procureur général) c. </w:t>
      </w:r>
      <w:proofErr w:type="spellStart"/>
      <w:r w:rsidRPr="00590E17">
        <w:rPr>
          <w:i/>
          <w:iCs/>
          <w:szCs w:val="24"/>
          <w:lang w:val="fr-FR"/>
        </w:rPr>
        <w:t>McArthur</w:t>
      </w:r>
      <w:proofErr w:type="spellEnd"/>
      <w:r w:rsidRPr="00590E17">
        <w:rPr>
          <w:szCs w:val="24"/>
          <w:lang w:val="fr-FR"/>
        </w:rPr>
        <w:t>, 2010 CSC 63</w:t>
      </w:r>
      <w:r w:rsidR="002556C5">
        <w:rPr>
          <w:szCs w:val="24"/>
          <w:lang w:val="fr-FR"/>
        </w:rPr>
        <w:t xml:space="preserve">, [2010] 3 R.C.S. </w:t>
      </w:r>
      <w:r w:rsidR="00611FCD">
        <w:rPr>
          <w:szCs w:val="24"/>
          <w:lang w:val="fr-FR"/>
        </w:rPr>
        <w:t>626</w:t>
      </w:r>
      <w:r w:rsidRPr="00590E17">
        <w:rPr>
          <w:szCs w:val="24"/>
          <w:lang w:val="fr-FR"/>
        </w:rPr>
        <w:t xml:space="preserve">, par. 17; </w:t>
      </w:r>
      <w:proofErr w:type="spellStart"/>
      <w:r w:rsidRPr="00590E17">
        <w:rPr>
          <w:i/>
          <w:iCs/>
          <w:szCs w:val="24"/>
          <w:lang w:val="fr-FR"/>
        </w:rPr>
        <w:t>Nu</w:t>
      </w:r>
      <w:r w:rsidRPr="00590E17">
        <w:rPr>
          <w:i/>
          <w:iCs/>
          <w:szCs w:val="24"/>
          <w:lang w:val="fr-FR"/>
        </w:rPr>
        <w:noBreakHyphen/>
        <w:t>Pharm</w:t>
      </w:r>
      <w:proofErr w:type="spellEnd"/>
      <w:r w:rsidRPr="00590E17">
        <w:rPr>
          <w:i/>
          <w:iCs/>
          <w:szCs w:val="24"/>
          <w:lang w:val="fr-FR"/>
        </w:rPr>
        <w:t xml:space="preserve"> Inc. c. Canada (Procureur général)</w:t>
      </w:r>
      <w:r w:rsidRPr="00590E17">
        <w:rPr>
          <w:szCs w:val="24"/>
          <w:lang w:val="fr-FR"/>
        </w:rPr>
        <w:t>, 2010 CSC 65</w:t>
      </w:r>
      <w:r w:rsidR="002556C5">
        <w:rPr>
          <w:szCs w:val="24"/>
          <w:lang w:val="fr-FR"/>
        </w:rPr>
        <w:t xml:space="preserve">, [2010] 3 R.C.S. </w:t>
      </w:r>
      <w:r w:rsidR="00611FCD">
        <w:rPr>
          <w:szCs w:val="24"/>
          <w:lang w:val="fr-FR"/>
        </w:rPr>
        <w:t>648</w:t>
      </w:r>
      <w:r w:rsidRPr="00590E17">
        <w:rPr>
          <w:szCs w:val="24"/>
          <w:lang w:val="fr-FR"/>
        </w:rPr>
        <w:t>, par. 16.  Les actes de procédure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révèlent des causes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action contre la Couronne, et la Cour fédérale </w:t>
      </w:r>
      <w:proofErr w:type="gramStart"/>
      <w:r w:rsidRPr="00590E17">
        <w:rPr>
          <w:szCs w:val="24"/>
          <w:lang w:val="fr-FR"/>
        </w:rPr>
        <w:t>a</w:t>
      </w:r>
      <w:proofErr w:type="gramEnd"/>
      <w:r w:rsidRPr="00590E17">
        <w:rPr>
          <w:szCs w:val="24"/>
          <w:lang w:val="fr-FR"/>
        </w:rPr>
        <w:t xml:space="preserve"> le pouvoir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accorder les réparations demandées dans le cadre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action.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proofErr w:type="spellStart"/>
      <w:r w:rsidRPr="00590E17">
        <w:rPr>
          <w:i/>
          <w:szCs w:val="24"/>
          <w:lang w:val="fr-FR"/>
        </w:rPr>
        <w:t>TeleZone</w:t>
      </w:r>
      <w:proofErr w:type="spellEnd"/>
      <w:r w:rsidRPr="00590E17">
        <w:rPr>
          <w:i/>
          <w:szCs w:val="24"/>
          <w:lang w:val="fr-FR"/>
        </w:rPr>
        <w:t xml:space="preserve"> </w:t>
      </w:r>
      <w:r w:rsidRPr="00590E17">
        <w:rPr>
          <w:szCs w:val="24"/>
          <w:lang w:val="fr-FR"/>
        </w:rPr>
        <w:t xml:space="preserve">reconnaît toutefois </w:t>
      </w:r>
      <w:r w:rsidRPr="008F5A08">
        <w:rPr>
          <w:lang w:val="fr-FR"/>
        </w:rPr>
        <w:t>l</w:t>
      </w:r>
      <w:r w:rsidR="00AF0EE2">
        <w:rPr>
          <w:lang w:val="fr-FR"/>
        </w:rPr>
        <w:t>’</w:t>
      </w:r>
      <w:r w:rsidRPr="008F5A08">
        <w:rPr>
          <w:lang w:val="fr-FR"/>
        </w:rPr>
        <w:t>existence</w:t>
      </w:r>
      <w:r w:rsidRPr="00590E17">
        <w:rPr>
          <w:szCs w:val="24"/>
          <w:lang w:val="fr-FR"/>
        </w:rPr>
        <w:t xml:space="preserve"> du pouvoir discrétionnaire résiduel de suspendre une action qui repose sur des considérations de droit public à un point tel que, pour reprendre les propos du juge </w:t>
      </w:r>
      <w:proofErr w:type="spellStart"/>
      <w:r w:rsidRPr="00590E17">
        <w:rPr>
          <w:szCs w:val="24"/>
          <w:lang w:val="fr-FR"/>
        </w:rPr>
        <w:t>Binnie</w:t>
      </w:r>
      <w:proofErr w:type="spellEnd"/>
      <w:r w:rsidRPr="00590E17">
        <w:rPr>
          <w:szCs w:val="24"/>
          <w:lang w:val="fr-FR"/>
        </w:rPr>
        <w:t>, «</w:t>
      </w:r>
      <w:r w:rsidR="00A33596" w:rsidRPr="00590E17">
        <w:rPr>
          <w:szCs w:val="24"/>
        </w:rPr>
        <w:fldChar w:fldCharType="begin"/>
      </w:r>
      <w:r w:rsidRPr="00590E17">
        <w:rPr>
          <w:szCs w:val="24"/>
          <w:lang w:val="fr-FR"/>
        </w:rPr>
        <w:instrText xml:space="preserve"> SEQ CHAPTER \h \r 1</w:instrText>
      </w:r>
      <w:r w:rsidR="00A33596" w:rsidRPr="00590E17">
        <w:rPr>
          <w:szCs w:val="24"/>
        </w:rPr>
        <w:fldChar w:fldCharType="end"/>
      </w:r>
      <w:r w:rsidRPr="00590E17">
        <w:rPr>
          <w:szCs w:val="24"/>
          <w:lang w:val="fr-FR"/>
        </w:rPr>
        <w:t> </w:t>
      </w:r>
      <w:r w:rsidRPr="00590E17">
        <w:rPr>
          <w:szCs w:val="24"/>
          <w:lang w:val="fr-CA"/>
        </w:rPr>
        <w:t>il s</w:t>
      </w:r>
      <w:r w:rsidR="00AF0EE2">
        <w:rPr>
          <w:szCs w:val="24"/>
          <w:lang w:val="fr-CA"/>
        </w:rPr>
        <w:t>’</w:t>
      </w:r>
      <w:r w:rsidRPr="00590E17">
        <w:rPr>
          <w:szCs w:val="24"/>
          <w:lang w:val="fr-CA"/>
        </w:rPr>
        <w:t>agit essentiellement d</w:t>
      </w:r>
      <w:r w:rsidR="00AF0EE2">
        <w:rPr>
          <w:szCs w:val="24"/>
          <w:lang w:val="fr-CA"/>
        </w:rPr>
        <w:t>’</w:t>
      </w:r>
      <w:r w:rsidRPr="00590E17">
        <w:rPr>
          <w:szCs w:val="24"/>
          <w:lang w:val="fr-CA"/>
        </w:rPr>
        <w:t xml:space="preserve">une demande de contrôle judiciaire </w:t>
      </w:r>
      <w:r w:rsidRPr="00590E17">
        <w:rPr>
          <w:color w:val="000000"/>
          <w:lang w:val="fr-CA"/>
        </w:rPr>
        <w:t>qui n</w:t>
      </w:r>
      <w:r w:rsidR="00AF0EE2">
        <w:rPr>
          <w:color w:val="000000"/>
          <w:lang w:val="fr-CA"/>
        </w:rPr>
        <w:t>’</w:t>
      </w:r>
      <w:r w:rsidRPr="00590E17">
        <w:rPr>
          <w:color w:val="000000"/>
          <w:lang w:val="fr-CA"/>
        </w:rPr>
        <w:t>a que superficiellement l</w:t>
      </w:r>
      <w:r w:rsidR="00AF0EE2">
        <w:rPr>
          <w:color w:val="000000"/>
          <w:lang w:val="fr-CA"/>
        </w:rPr>
        <w:t>’</w:t>
      </w:r>
      <w:r w:rsidRPr="00590E17">
        <w:rPr>
          <w:color w:val="000000"/>
          <w:lang w:val="fr-CA"/>
        </w:rPr>
        <w:t>apparence d</w:t>
      </w:r>
      <w:r w:rsidR="00AF0EE2">
        <w:rPr>
          <w:color w:val="000000"/>
          <w:lang w:val="fr-CA"/>
        </w:rPr>
        <w:t>’</w:t>
      </w:r>
      <w:r w:rsidRPr="00590E17">
        <w:rPr>
          <w:color w:val="000000"/>
          <w:lang w:val="fr-CA"/>
        </w:rPr>
        <w:t>un recours délictuel de droit privé</w:t>
      </w:r>
      <w:r w:rsidR="002556C5">
        <w:rPr>
          <w:color w:val="000000"/>
          <w:lang w:val="fr-CA"/>
        </w:rPr>
        <w:t xml:space="preserve"> </w:t>
      </w:r>
      <w:r w:rsidRPr="00590E17">
        <w:rPr>
          <w:szCs w:val="24"/>
          <w:lang w:val="fr-CA"/>
        </w:rPr>
        <w:t xml:space="preserve">» </w:t>
      </w:r>
      <w:r w:rsidRPr="00590E17">
        <w:rPr>
          <w:szCs w:val="24"/>
          <w:lang w:val="fr-FR"/>
        </w:rPr>
        <w:t>(par. 78).  La Couronne soutient essentiellement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y a lieu de suspendre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pour cette raison. 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lastRenderedPageBreak/>
        <w:t>La décision du tribunal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exercer ou non son pouvoir discrétionnaire de suspendre une action dans ce contexte dépend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essence du recours selon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s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agit de la revendication de droits relevant du droit privé ou du droit public.  Je suis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accord avec la Couronne que certaines des prétentions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soulèvent des questions qui se </w:t>
      </w:r>
      <w:r w:rsidRPr="008F5A08">
        <w:rPr>
          <w:lang w:val="fr-FR"/>
        </w:rPr>
        <w:t>prêtent</w:t>
      </w:r>
      <w:r w:rsidRPr="00590E17">
        <w:rPr>
          <w:szCs w:val="24"/>
          <w:lang w:val="fr-FR"/>
        </w:rPr>
        <w:t xml:space="preserve"> au contrôle judiciaire.  Cependant, il ne s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agit pas seulement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établir si certains éléments plaidés par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peuvent être examinés sous le régime </w:t>
      </w:r>
      <w:proofErr w:type="gramStart"/>
      <w:r w:rsidRPr="00590E17">
        <w:rPr>
          <w:szCs w:val="24"/>
          <w:lang w:val="fr-FR"/>
        </w:rPr>
        <w:t>des art</w:t>
      </w:r>
      <w:proofErr w:type="gramEnd"/>
      <w:r w:rsidRPr="00590E17">
        <w:rPr>
          <w:szCs w:val="24"/>
          <w:lang w:val="fr-FR"/>
        </w:rPr>
        <w:t xml:space="preserve">. 18 et 18.1 de la </w:t>
      </w:r>
      <w:r w:rsidRPr="00590E17">
        <w:rPr>
          <w:i/>
          <w:szCs w:val="24"/>
          <w:lang w:val="fr-FR"/>
        </w:rPr>
        <w:t>Loi sur les Cours fédérales</w:t>
      </w:r>
      <w:r w:rsidRPr="00590E17">
        <w:rPr>
          <w:szCs w:val="24"/>
          <w:lang w:val="fr-FR"/>
        </w:rPr>
        <w:t>, mais de déterminer quelle est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essence de ses demandes.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Je suis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avis, </w:t>
      </w:r>
      <w:r w:rsidR="002556C5">
        <w:rPr>
          <w:szCs w:val="24"/>
          <w:lang w:val="fr-FR"/>
        </w:rPr>
        <w:t>avec égards</w:t>
      </w:r>
      <w:r w:rsidRPr="00590E17">
        <w:rPr>
          <w:szCs w:val="24"/>
          <w:lang w:val="fr-FR"/>
        </w:rPr>
        <w:t>, que le pouvoir discrétionnaire de suspendre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ne doit pas être exercé en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espèce.  Lors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examen de la requête en autorisation du recours collectif, le juge Barnes a traité la question de savoir si les demandes révélaient des causes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valables (par. 39</w:t>
      </w:r>
      <w:r w:rsidRPr="00590E17">
        <w:rPr>
          <w:szCs w:val="24"/>
          <w:lang w:val="fr-FR"/>
        </w:rPr>
        <w:noBreakHyphen/>
        <w:t>41).  Il a conclu que les « allégations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illégalité,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invalidité et de violation du paragraphe 15(1) de la</w:t>
      </w:r>
      <w:r w:rsidRPr="00611FCD">
        <w:rPr>
          <w:szCs w:val="24"/>
          <w:lang w:val="fr-FR"/>
        </w:rPr>
        <w:t xml:space="preserve"> Charte</w:t>
      </w:r>
      <w:r w:rsidRPr="00590E17">
        <w:rPr>
          <w:szCs w:val="24"/>
          <w:lang w:val="fr-FR"/>
        </w:rPr>
        <w:t xml:space="preserve"> satisfont facilement</w:t>
      </w:r>
      <w:r w:rsidRPr="008F5A08">
        <w:rPr>
          <w:lang w:val="fr-FR"/>
        </w:rPr>
        <w:t xml:space="preserve"> </w:t>
      </w:r>
      <w:r w:rsidRPr="00590E17">
        <w:rPr>
          <w:szCs w:val="24"/>
          <w:lang w:val="fr-FR"/>
        </w:rPr>
        <w:t>au seuil juridique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une cause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action valable » (par. 39).  En outre, le juge Barnes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était pas disposé à conclure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 était manifeste et évident que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ne parviendrait pas à établir ses allégations « plutôt clairsemées » de manquement aux obligations </w:t>
      </w:r>
      <w:proofErr w:type="spellStart"/>
      <w:r w:rsidRPr="00590E17">
        <w:rPr>
          <w:szCs w:val="24"/>
          <w:lang w:val="fr-FR"/>
        </w:rPr>
        <w:t>fiduciales</w:t>
      </w:r>
      <w:proofErr w:type="spellEnd"/>
      <w:r w:rsidRPr="00590E17">
        <w:rPr>
          <w:szCs w:val="24"/>
          <w:lang w:val="fr-FR"/>
        </w:rPr>
        <w:t xml:space="preserve"> et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enrichissement injustifié (par. 40</w:t>
      </w:r>
      <w:r w:rsidRPr="00590E17">
        <w:rPr>
          <w:szCs w:val="24"/>
          <w:lang w:val="fr-FR"/>
        </w:rPr>
        <w:noBreakHyphen/>
        <w:t>41).  La Couronne ne nous demande pas de modifier ces conclusions.  Si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on tient pour acquis que de telles causes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action valables existent, leur présence réfute la prétention de la Couronne que les demandes de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 xml:space="preserve">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n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ont « </w:t>
      </w:r>
      <w:r w:rsidRPr="00590E17">
        <w:rPr>
          <w:lang w:val="fr-CA"/>
        </w:rPr>
        <w:t>que superficiellement l</w:t>
      </w:r>
      <w:r w:rsidR="00AF0EE2">
        <w:rPr>
          <w:lang w:val="fr-CA"/>
        </w:rPr>
        <w:t>’</w:t>
      </w:r>
      <w:r w:rsidRPr="00590E17">
        <w:rPr>
          <w:lang w:val="fr-CA"/>
        </w:rPr>
        <w:t>apparence d</w:t>
      </w:r>
      <w:r w:rsidR="00AF0EE2">
        <w:rPr>
          <w:lang w:val="fr-CA"/>
        </w:rPr>
        <w:t>’</w:t>
      </w:r>
      <w:r w:rsidRPr="00590E17">
        <w:rPr>
          <w:lang w:val="fr-CA"/>
        </w:rPr>
        <w:t>un recours délictuel de droit privé</w:t>
      </w:r>
      <w:r w:rsidRPr="00590E17">
        <w:rPr>
          <w:szCs w:val="24"/>
          <w:lang w:val="fr-FR"/>
        </w:rPr>
        <w:t> » (</w:t>
      </w:r>
      <w:proofErr w:type="spellStart"/>
      <w:r w:rsidRPr="00590E17">
        <w:rPr>
          <w:i/>
          <w:iCs/>
          <w:szCs w:val="24"/>
          <w:lang w:val="fr-FR"/>
        </w:rPr>
        <w:t>TeleZone</w:t>
      </w:r>
      <w:proofErr w:type="spellEnd"/>
      <w:r w:rsidRPr="00590E17">
        <w:rPr>
          <w:szCs w:val="24"/>
          <w:lang w:val="fr-FR"/>
        </w:rPr>
        <w:t>, par. 78).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lastRenderedPageBreak/>
        <w:t>Au fond, les prétentions de M. </w:t>
      </w:r>
      <w:proofErr w:type="spellStart"/>
      <w:r w:rsidRPr="008F5A08">
        <w:rPr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ne concernent pas tant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appréciation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exercice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 pouvoir délégué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origine législative ou du processus décisionnel ayant mené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adoption ou à « 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application mensuelle »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 xml:space="preserve">iv) </w:t>
      </w:r>
      <w:proofErr w:type="spellStart"/>
      <w:r w:rsidRPr="00590E17">
        <w:rPr>
          <w:szCs w:val="24"/>
          <w:lang w:val="fr-FR"/>
        </w:rPr>
        <w:t>qu</w:t>
      </w:r>
      <w:proofErr w:type="spellEnd"/>
      <w:r w:rsidR="00AF0EE2">
        <w:rPr>
          <w:szCs w:val="24"/>
          <w:lang w:val="fr-CA"/>
        </w:rPr>
        <w:t>’</w:t>
      </w:r>
      <w:r w:rsidRPr="00590E17">
        <w:rPr>
          <w:szCs w:val="24"/>
          <w:lang w:val="fr-CA"/>
        </w:rPr>
        <w:t xml:space="preserve">une prétendue violation du </w:t>
      </w:r>
      <w:r w:rsidRPr="00590E17">
        <w:rPr>
          <w:szCs w:val="24"/>
          <w:lang w:val="fr-FR"/>
        </w:rPr>
        <w:t xml:space="preserve">par. 15(1) de la </w:t>
      </w:r>
      <w:r w:rsidRPr="00590E17">
        <w:rPr>
          <w:i/>
          <w:szCs w:val="24"/>
          <w:lang w:val="fr-FR"/>
        </w:rPr>
        <w:t>Charte</w:t>
      </w:r>
      <w:r w:rsidRPr="00590E17">
        <w:rPr>
          <w:szCs w:val="24"/>
          <w:lang w:val="fr-FR"/>
        </w:rPr>
        <w:t>. 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fait valoir que le régime enfreint ce paragraphe en établissant une distinction, fondée sur la gravité et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étendue de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invalidité, entre les membres du groupe demandeur ― qui seraient lésés parce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ils ne sont plus en mesure de servir et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ils subissent de ce fait la déduction prévue à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al. 24a</w:t>
      </w:r>
      <w:proofErr w:type="gramStart"/>
      <w:r w:rsidRPr="00590E17">
        <w:rPr>
          <w:szCs w:val="24"/>
          <w:lang w:val="fr-FR"/>
        </w:rPr>
        <w:t>)(</w:t>
      </w:r>
      <w:proofErr w:type="gramEnd"/>
      <w:r w:rsidRPr="00590E17">
        <w:rPr>
          <w:szCs w:val="24"/>
          <w:lang w:val="fr-FR"/>
        </w:rPr>
        <w:t>iv) ― et ceux qui sont toujours aptes au service et ne sont pas assujettis à la déduction.  Il allègue aussi que le régime viole le par. 15(1) en réservant aux militaires blessés avant le 1</w:t>
      </w:r>
      <w:r w:rsidRPr="00590E17">
        <w:rPr>
          <w:szCs w:val="24"/>
          <w:vertAlign w:val="superscript"/>
          <w:lang w:val="fr-FR"/>
        </w:rPr>
        <w:t>er</w:t>
      </w:r>
      <w:r w:rsidRPr="00590E17">
        <w:rPr>
          <w:szCs w:val="24"/>
          <w:lang w:val="fr-FR"/>
        </w:rPr>
        <w:t xml:space="preserve"> avril 2006 un traitement moins avantageux qu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à ceux blessés le 1</w:t>
      </w:r>
      <w:r w:rsidRPr="00590E17">
        <w:rPr>
          <w:szCs w:val="24"/>
          <w:vertAlign w:val="superscript"/>
          <w:lang w:val="fr-FR"/>
        </w:rPr>
        <w:t>er</w:t>
      </w:r>
      <w:r w:rsidRPr="00590E17">
        <w:rPr>
          <w:szCs w:val="24"/>
          <w:lang w:val="fr-FR"/>
        </w:rPr>
        <w:t> avril 2006 ou après cette date.  C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est essentiellement en raison de ces prétendues violations que M.</w:t>
      </w:r>
      <w:r w:rsidRPr="00590E17">
        <w:rPr>
          <w:lang w:val="fr-FR"/>
        </w:rPr>
        <w:t>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sollicite des réparations constitutionnelles et des </w:t>
      </w:r>
      <w:proofErr w:type="spellStart"/>
      <w:r w:rsidRPr="00590E17">
        <w:rPr>
          <w:szCs w:val="24"/>
          <w:lang w:val="fr-FR"/>
        </w:rPr>
        <w:t>dommages</w:t>
      </w:r>
      <w:r w:rsidRPr="00590E17">
        <w:rPr>
          <w:szCs w:val="24"/>
          <w:lang w:val="fr-FR"/>
        </w:rPr>
        <w:noBreakHyphen/>
        <w:t>intérêts</w:t>
      </w:r>
      <w:proofErr w:type="spellEnd"/>
      <w:r w:rsidRPr="00590E17">
        <w:rPr>
          <w:szCs w:val="24"/>
          <w:lang w:val="fr-FR"/>
        </w:rPr>
        <w:t>.  Comme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indique </w:t>
      </w:r>
      <w:proofErr w:type="spellStart"/>
      <w:r w:rsidRPr="00590E17">
        <w:rPr>
          <w:i/>
          <w:szCs w:val="24"/>
          <w:lang w:val="fr-FR"/>
        </w:rPr>
        <w:t>TeleZone</w:t>
      </w:r>
      <w:proofErr w:type="spellEnd"/>
      <w:r w:rsidRPr="00590E17">
        <w:rPr>
          <w:szCs w:val="24"/>
          <w:lang w:val="fr-FR"/>
        </w:rPr>
        <w:t>, «</w:t>
      </w:r>
      <w:r w:rsidRPr="00590E17">
        <w:rPr>
          <w:color w:val="000000"/>
          <w:lang w:val="fr-FR"/>
        </w:rPr>
        <w:t> [s]i le demandeur a une cause d</w:t>
      </w:r>
      <w:r w:rsidR="00AF0EE2">
        <w:rPr>
          <w:color w:val="000000"/>
          <w:lang w:val="fr-FR"/>
        </w:rPr>
        <w:t>’</w:t>
      </w:r>
      <w:r w:rsidRPr="00590E17">
        <w:rPr>
          <w:color w:val="000000"/>
          <w:lang w:val="fr-FR"/>
        </w:rPr>
        <w:t>action valide en dommages-intérêts, il est normalement admis à exercer son recours à ce titre » (par. 76)</w:t>
      </w:r>
      <w:r w:rsidRPr="00590E17">
        <w:rPr>
          <w:szCs w:val="24"/>
          <w:lang w:val="fr-FR"/>
        </w:rPr>
        <w:t>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Je suis donc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avis que le pouvoir discrétionnaire résiduel de suspendre le recours collectif intenté par M. </w:t>
      </w:r>
      <w:proofErr w:type="spellStart"/>
      <w:r w:rsidRPr="008F5A08">
        <w:rPr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 en Cour fédérale ne devrait pas être exercé. 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 xml:space="preserve">Il faut souligner que les actes de </w:t>
      </w:r>
      <w:r w:rsidRPr="008F5A08">
        <w:rPr>
          <w:lang w:val="fr-FR"/>
        </w:rPr>
        <w:t>procédure</w:t>
      </w:r>
      <w:r w:rsidRPr="00590E17">
        <w:rPr>
          <w:szCs w:val="24"/>
          <w:lang w:val="fr-FR"/>
        </w:rPr>
        <w:t xml:space="preserve"> sont loin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être des modèles de clarté juridique.  Par conséquent, je tiens à préciser que les présents motifs ne sauraient être interprétés comme empêchant la Couronne de contester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un ou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 xml:space="preserve">autre </w:t>
      </w:r>
      <w:r w:rsidRPr="00590E17">
        <w:rPr>
          <w:szCs w:val="24"/>
          <w:lang w:val="fr-FR"/>
        </w:rPr>
        <w:lastRenderedPageBreak/>
        <w:t>de ces actes de procédure de la manière habituelle en demandant, notamment, des précisions ou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autres éclaircissements.</w:t>
      </w:r>
    </w:p>
    <w:p w:rsidR="00960BE9" w:rsidRPr="00590E17" w:rsidRDefault="00960BE9" w:rsidP="008F5A08">
      <w:pPr>
        <w:pStyle w:val="ReasonsNumbering-AltN"/>
        <w:rPr>
          <w:lang w:val="fr-FR"/>
        </w:rPr>
      </w:pPr>
      <w:r w:rsidRPr="00590E17">
        <w:rPr>
          <w:szCs w:val="24"/>
          <w:lang w:val="fr-FR"/>
        </w:rPr>
        <w:t>Je suis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avis d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accueillir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appel et de rétablir l</w:t>
      </w:r>
      <w:r w:rsidR="00AF0EE2">
        <w:rPr>
          <w:szCs w:val="24"/>
          <w:lang w:val="fr-FR"/>
        </w:rPr>
        <w:t>’</w:t>
      </w:r>
      <w:r w:rsidRPr="00590E17">
        <w:rPr>
          <w:szCs w:val="24"/>
          <w:lang w:val="fr-FR"/>
        </w:rPr>
        <w:t>ordonnance du juge Barnes autorisant le recours collectif de M. </w:t>
      </w:r>
      <w:proofErr w:type="spellStart"/>
      <w:r w:rsidRPr="00590E17">
        <w:rPr>
          <w:szCs w:val="24"/>
          <w:lang w:val="fr-FR"/>
        </w:rPr>
        <w:t>Manuge</w:t>
      </w:r>
      <w:proofErr w:type="spellEnd"/>
      <w:r w:rsidRPr="00590E17">
        <w:rPr>
          <w:szCs w:val="24"/>
          <w:lang w:val="fr-FR"/>
        </w:rPr>
        <w:t xml:space="preserve">. </w:t>
      </w:r>
    </w:p>
    <w:p w:rsidR="0033393C" w:rsidRPr="008F5A08" w:rsidRDefault="0033393C" w:rsidP="00691BE6">
      <w:pPr>
        <w:pStyle w:val="SCCNormalDoubleSpacing"/>
        <w:tabs>
          <w:tab w:val="left" w:pos="1170"/>
        </w:tabs>
        <w:rPr>
          <w:i/>
          <w:lang w:val="fr-CA"/>
        </w:rPr>
      </w:pPr>
      <w:r w:rsidRPr="008F5A08">
        <w:rPr>
          <w:lang w:val="fr-CA"/>
        </w:rPr>
        <w:tab/>
      </w:r>
      <w:r w:rsidR="00A719D8" w:rsidRPr="008F5A08">
        <w:rPr>
          <w:i/>
          <w:lang w:val="fr-CA"/>
        </w:rPr>
        <w:t>Pourvoi accueilli</w:t>
      </w:r>
      <w:r w:rsidR="00E42C55" w:rsidRPr="008F5A08">
        <w:rPr>
          <w:i/>
          <w:lang w:val="fr-CA"/>
        </w:rPr>
        <w:t>.</w:t>
      </w:r>
    </w:p>
    <w:p w:rsidR="00E42C55" w:rsidRPr="008F5A08" w:rsidRDefault="00E42C55" w:rsidP="00691BE6">
      <w:pPr>
        <w:tabs>
          <w:tab w:val="left" w:pos="1170"/>
        </w:tabs>
        <w:rPr>
          <w:lang w:val="fr-CA"/>
        </w:rPr>
      </w:pPr>
    </w:p>
    <w:p w:rsidR="00E42C55" w:rsidRPr="008F5A08" w:rsidRDefault="00E42C55" w:rsidP="00691BE6">
      <w:pPr>
        <w:pStyle w:val="SCCLawFirm"/>
        <w:tabs>
          <w:tab w:val="left" w:pos="1170"/>
        </w:tabs>
        <w:rPr>
          <w:lang w:val="fr-CA"/>
        </w:rPr>
      </w:pPr>
      <w:r w:rsidRPr="008F5A08">
        <w:rPr>
          <w:lang w:val="fr-CA"/>
        </w:rPr>
        <w:tab/>
        <w:t>Procureurs de l</w:t>
      </w:r>
      <w:r w:rsidR="00AF0EE2">
        <w:rPr>
          <w:lang w:val="fr-CA"/>
        </w:rPr>
        <w:t>’</w:t>
      </w:r>
      <w:r w:rsidRPr="008F5A08">
        <w:rPr>
          <w:lang w:val="fr-CA"/>
        </w:rPr>
        <w:t>appelant :</w:t>
      </w:r>
      <w:r w:rsidR="00691BE6" w:rsidRPr="008F5A08">
        <w:rPr>
          <w:lang w:val="fr-CA"/>
        </w:rPr>
        <w:t> </w:t>
      </w:r>
      <w:r w:rsidRPr="008F5A08">
        <w:rPr>
          <w:lang w:val="fr-CA"/>
        </w:rPr>
        <w:t>McInnes Cooper, Halifax.</w:t>
      </w:r>
    </w:p>
    <w:p w:rsidR="00E42C55" w:rsidRPr="008F5A08" w:rsidRDefault="00E42C55" w:rsidP="00691BE6">
      <w:pPr>
        <w:pStyle w:val="SCCLawFirm"/>
        <w:tabs>
          <w:tab w:val="left" w:pos="1170"/>
        </w:tabs>
        <w:rPr>
          <w:lang w:val="fr-CA"/>
        </w:rPr>
      </w:pPr>
    </w:p>
    <w:p w:rsidR="00E42C55" w:rsidRPr="008F5A08" w:rsidRDefault="00E42C55" w:rsidP="00691BE6">
      <w:pPr>
        <w:pStyle w:val="SCCLawFirm"/>
        <w:tabs>
          <w:tab w:val="left" w:pos="1170"/>
        </w:tabs>
        <w:rPr>
          <w:lang w:val="fr-CA"/>
        </w:rPr>
      </w:pPr>
      <w:r w:rsidRPr="008F5A08">
        <w:rPr>
          <w:lang w:val="fr-CA"/>
        </w:rPr>
        <w:tab/>
      </w:r>
      <w:r w:rsidR="00691BE6" w:rsidRPr="008F5A08">
        <w:rPr>
          <w:lang w:val="fr-CA"/>
        </w:rPr>
        <w:t>Procureur de l</w:t>
      </w:r>
      <w:r w:rsidR="00AF0EE2">
        <w:rPr>
          <w:lang w:val="fr-CA"/>
        </w:rPr>
        <w:t>’</w:t>
      </w:r>
      <w:r w:rsidR="00691BE6" w:rsidRPr="008F5A08">
        <w:rPr>
          <w:lang w:val="fr-CA"/>
        </w:rPr>
        <w:t>intimée : </w:t>
      </w:r>
      <w:r w:rsidRPr="008F5A08">
        <w:rPr>
          <w:lang w:val="fr-CA"/>
        </w:rPr>
        <w:t>Ministère de la Justice, Ottawa.</w:t>
      </w:r>
    </w:p>
    <w:sectPr w:rsidR="00E42C55" w:rsidRPr="008F5A08" w:rsidSect="00B436D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C" w:rsidRDefault="00545E7C">
      <w:r>
        <w:separator/>
      </w:r>
    </w:p>
  </w:endnote>
  <w:endnote w:type="continuationSeparator" w:id="0">
    <w:p w:rsidR="00545E7C" w:rsidRDefault="0054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7C" w:rsidRDefault="00545E7C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7C" w:rsidRDefault="00545E7C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C" w:rsidRDefault="00545E7C">
      <w:r>
        <w:separator/>
      </w:r>
    </w:p>
  </w:footnote>
  <w:footnote w:type="continuationSeparator" w:id="0">
    <w:p w:rsidR="00545E7C" w:rsidRDefault="0054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7C" w:rsidRDefault="00545E7C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7C" w:rsidRDefault="00545E7C">
    <w:pPr>
      <w:pStyle w:val="Header"/>
      <w:jc w:val="center"/>
    </w:pPr>
    <w:r>
      <w:t xml:space="preserve">- </w:t>
    </w:r>
    <w:sdt>
      <w:sdtPr>
        <w:id w:val="4489881"/>
        <w:docPartObj>
          <w:docPartGallery w:val="Page Numbers (Top of Page)"/>
          <w:docPartUnique/>
        </w:docPartObj>
      </w:sdtPr>
      <w:sdtContent>
        <w:r w:rsidR="00A33596">
          <w:fldChar w:fldCharType="begin"/>
        </w:r>
        <w:r w:rsidR="00C01A08">
          <w:instrText xml:space="preserve"> PAGE   \* MERGEFORMAT </w:instrText>
        </w:r>
        <w:r w:rsidR="00A33596">
          <w:fldChar w:fldCharType="separate"/>
        </w:r>
        <w:r w:rsidR="00697895">
          <w:rPr>
            <w:noProof/>
          </w:rPr>
          <w:t>15</w:t>
        </w:r>
        <w:r w:rsidR="00A33596">
          <w:fldChar w:fldCharType="end"/>
        </w:r>
        <w:r>
          <w:t xml:space="preserve"> -</w:t>
        </w:r>
      </w:sdtContent>
    </w:sdt>
  </w:p>
  <w:p w:rsidR="00545E7C" w:rsidRDefault="00545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6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BA7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C4D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A6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248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03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2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2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64FE2"/>
    <w:multiLevelType w:val="hybridMultilevel"/>
    <w:tmpl w:val="F380FE5C"/>
    <w:lvl w:ilvl="0" w:tplc="92184F8A">
      <w:start w:val="1"/>
      <w:numFmt w:val="decimal"/>
      <w:pStyle w:val="ReasonsNumbering-AltN"/>
      <w:lvlText w:val="[%1]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555"/>
    <w:multiLevelType w:val="hybridMultilevel"/>
    <w:tmpl w:val="48D69BE2"/>
    <w:lvl w:ilvl="0" w:tplc="8C5871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linkStyl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6D18"/>
    <w:rsid w:val="00025198"/>
    <w:rsid w:val="00035F9E"/>
    <w:rsid w:val="00052761"/>
    <w:rsid w:val="00055248"/>
    <w:rsid w:val="00055A36"/>
    <w:rsid w:val="000578A3"/>
    <w:rsid w:val="00064563"/>
    <w:rsid w:val="000648CC"/>
    <w:rsid w:val="0007178C"/>
    <w:rsid w:val="0009221B"/>
    <w:rsid w:val="00094DE0"/>
    <w:rsid w:val="000A1EB4"/>
    <w:rsid w:val="000A5321"/>
    <w:rsid w:val="000C3E95"/>
    <w:rsid w:val="000C59B8"/>
    <w:rsid w:val="00111DE2"/>
    <w:rsid w:val="00116B38"/>
    <w:rsid w:val="0012768D"/>
    <w:rsid w:val="0013109F"/>
    <w:rsid w:val="00135406"/>
    <w:rsid w:val="00135972"/>
    <w:rsid w:val="00140667"/>
    <w:rsid w:val="001426A9"/>
    <w:rsid w:val="001516A8"/>
    <w:rsid w:val="00152527"/>
    <w:rsid w:val="00153FEE"/>
    <w:rsid w:val="00154D7C"/>
    <w:rsid w:val="001570B0"/>
    <w:rsid w:val="001616C0"/>
    <w:rsid w:val="00172A04"/>
    <w:rsid w:val="00174BE6"/>
    <w:rsid w:val="00175A97"/>
    <w:rsid w:val="00185394"/>
    <w:rsid w:val="001A451D"/>
    <w:rsid w:val="001B33E0"/>
    <w:rsid w:val="001B4573"/>
    <w:rsid w:val="001B6FA1"/>
    <w:rsid w:val="001C48F9"/>
    <w:rsid w:val="001C779F"/>
    <w:rsid w:val="001D2AC1"/>
    <w:rsid w:val="001F7673"/>
    <w:rsid w:val="00211E4F"/>
    <w:rsid w:val="0021768E"/>
    <w:rsid w:val="00217F87"/>
    <w:rsid w:val="00220FC2"/>
    <w:rsid w:val="00224FC0"/>
    <w:rsid w:val="00225EA4"/>
    <w:rsid w:val="00226EAF"/>
    <w:rsid w:val="00231F3A"/>
    <w:rsid w:val="00234D0C"/>
    <w:rsid w:val="00235920"/>
    <w:rsid w:val="002406EE"/>
    <w:rsid w:val="002556C5"/>
    <w:rsid w:val="002745CC"/>
    <w:rsid w:val="002B3AD6"/>
    <w:rsid w:val="002C1331"/>
    <w:rsid w:val="002D39A4"/>
    <w:rsid w:val="002E6705"/>
    <w:rsid w:val="002F696C"/>
    <w:rsid w:val="0030329A"/>
    <w:rsid w:val="00305079"/>
    <w:rsid w:val="00307AFD"/>
    <w:rsid w:val="0031086F"/>
    <w:rsid w:val="00310E05"/>
    <w:rsid w:val="0031414C"/>
    <w:rsid w:val="00314E01"/>
    <w:rsid w:val="0032089D"/>
    <w:rsid w:val="0033393C"/>
    <w:rsid w:val="003351D0"/>
    <w:rsid w:val="0034770C"/>
    <w:rsid w:val="003502F9"/>
    <w:rsid w:val="0035259D"/>
    <w:rsid w:val="00363642"/>
    <w:rsid w:val="00375E4F"/>
    <w:rsid w:val="003866EC"/>
    <w:rsid w:val="00394476"/>
    <w:rsid w:val="003A4C70"/>
    <w:rsid w:val="003A4E15"/>
    <w:rsid w:val="003C799C"/>
    <w:rsid w:val="003E1C71"/>
    <w:rsid w:val="003F327B"/>
    <w:rsid w:val="004059A7"/>
    <w:rsid w:val="00406166"/>
    <w:rsid w:val="00411300"/>
    <w:rsid w:val="00426659"/>
    <w:rsid w:val="0043088E"/>
    <w:rsid w:val="004439D8"/>
    <w:rsid w:val="00465132"/>
    <w:rsid w:val="00480C90"/>
    <w:rsid w:val="0048396F"/>
    <w:rsid w:val="00493C18"/>
    <w:rsid w:val="00494CDC"/>
    <w:rsid w:val="004A600C"/>
    <w:rsid w:val="004C478D"/>
    <w:rsid w:val="004E6A2C"/>
    <w:rsid w:val="00521AE8"/>
    <w:rsid w:val="00527180"/>
    <w:rsid w:val="00531E5E"/>
    <w:rsid w:val="00536719"/>
    <w:rsid w:val="00545E7C"/>
    <w:rsid w:val="005564A7"/>
    <w:rsid w:val="0058603E"/>
    <w:rsid w:val="005A0A8F"/>
    <w:rsid w:val="005A5E47"/>
    <w:rsid w:val="005C4527"/>
    <w:rsid w:val="005E4698"/>
    <w:rsid w:val="005F3C58"/>
    <w:rsid w:val="00606881"/>
    <w:rsid w:val="00611FCD"/>
    <w:rsid w:val="00621BA8"/>
    <w:rsid w:val="00625C35"/>
    <w:rsid w:val="00634E1B"/>
    <w:rsid w:val="00645057"/>
    <w:rsid w:val="006519A8"/>
    <w:rsid w:val="00654858"/>
    <w:rsid w:val="006565F4"/>
    <w:rsid w:val="00666757"/>
    <w:rsid w:val="00681AD1"/>
    <w:rsid w:val="00690A29"/>
    <w:rsid w:val="00691BE6"/>
    <w:rsid w:val="00697895"/>
    <w:rsid w:val="006A3DB0"/>
    <w:rsid w:val="006A56F1"/>
    <w:rsid w:val="006B1107"/>
    <w:rsid w:val="006B464A"/>
    <w:rsid w:val="006B5FF5"/>
    <w:rsid w:val="006C5661"/>
    <w:rsid w:val="006D4790"/>
    <w:rsid w:val="006E3862"/>
    <w:rsid w:val="006F51B5"/>
    <w:rsid w:val="00701759"/>
    <w:rsid w:val="00702C6F"/>
    <w:rsid w:val="00747288"/>
    <w:rsid w:val="00747DD3"/>
    <w:rsid w:val="00752F4E"/>
    <w:rsid w:val="007549C8"/>
    <w:rsid w:val="00762D30"/>
    <w:rsid w:val="00763377"/>
    <w:rsid w:val="00766D14"/>
    <w:rsid w:val="00767A0F"/>
    <w:rsid w:val="007834A8"/>
    <w:rsid w:val="007905C4"/>
    <w:rsid w:val="007A05F6"/>
    <w:rsid w:val="007B2053"/>
    <w:rsid w:val="007B6F4A"/>
    <w:rsid w:val="007E1C47"/>
    <w:rsid w:val="007E337A"/>
    <w:rsid w:val="007E4194"/>
    <w:rsid w:val="007E5C70"/>
    <w:rsid w:val="007F20B8"/>
    <w:rsid w:val="007F2FF5"/>
    <w:rsid w:val="00811076"/>
    <w:rsid w:val="00817190"/>
    <w:rsid w:val="00820055"/>
    <w:rsid w:val="008322BD"/>
    <w:rsid w:val="00855307"/>
    <w:rsid w:val="00862CF3"/>
    <w:rsid w:val="00864CF8"/>
    <w:rsid w:val="00866C26"/>
    <w:rsid w:val="00874914"/>
    <w:rsid w:val="00882EC7"/>
    <w:rsid w:val="00892E1A"/>
    <w:rsid w:val="008958F5"/>
    <w:rsid w:val="008A6558"/>
    <w:rsid w:val="008A727C"/>
    <w:rsid w:val="008C01DA"/>
    <w:rsid w:val="008C0E83"/>
    <w:rsid w:val="008C5033"/>
    <w:rsid w:val="008D03AF"/>
    <w:rsid w:val="008F0BB4"/>
    <w:rsid w:val="008F16D9"/>
    <w:rsid w:val="008F5A08"/>
    <w:rsid w:val="008F78E9"/>
    <w:rsid w:val="00902462"/>
    <w:rsid w:val="009403F3"/>
    <w:rsid w:val="00957FA2"/>
    <w:rsid w:val="00960BE9"/>
    <w:rsid w:val="00966913"/>
    <w:rsid w:val="00967374"/>
    <w:rsid w:val="0097543E"/>
    <w:rsid w:val="00983F3F"/>
    <w:rsid w:val="00985C69"/>
    <w:rsid w:val="0099079B"/>
    <w:rsid w:val="009B2F23"/>
    <w:rsid w:val="009B53E2"/>
    <w:rsid w:val="009B57B3"/>
    <w:rsid w:val="009C5F87"/>
    <w:rsid w:val="009D5AEB"/>
    <w:rsid w:val="009F383F"/>
    <w:rsid w:val="00A05F0E"/>
    <w:rsid w:val="00A1559B"/>
    <w:rsid w:val="00A21107"/>
    <w:rsid w:val="00A21B90"/>
    <w:rsid w:val="00A24E15"/>
    <w:rsid w:val="00A33596"/>
    <w:rsid w:val="00A548CB"/>
    <w:rsid w:val="00A6242E"/>
    <w:rsid w:val="00A63760"/>
    <w:rsid w:val="00A643E7"/>
    <w:rsid w:val="00A719D8"/>
    <w:rsid w:val="00A73C38"/>
    <w:rsid w:val="00AA61F6"/>
    <w:rsid w:val="00AC7437"/>
    <w:rsid w:val="00AC7A44"/>
    <w:rsid w:val="00AE3C14"/>
    <w:rsid w:val="00AF03C5"/>
    <w:rsid w:val="00AF0EE2"/>
    <w:rsid w:val="00B000D8"/>
    <w:rsid w:val="00B00F75"/>
    <w:rsid w:val="00B145B6"/>
    <w:rsid w:val="00B158A1"/>
    <w:rsid w:val="00B436D2"/>
    <w:rsid w:val="00B50C81"/>
    <w:rsid w:val="00B557F8"/>
    <w:rsid w:val="00B64972"/>
    <w:rsid w:val="00B65761"/>
    <w:rsid w:val="00B66DD8"/>
    <w:rsid w:val="00B8145D"/>
    <w:rsid w:val="00B815FC"/>
    <w:rsid w:val="00B93FBC"/>
    <w:rsid w:val="00B96151"/>
    <w:rsid w:val="00BB03EE"/>
    <w:rsid w:val="00BC5288"/>
    <w:rsid w:val="00BF5D2F"/>
    <w:rsid w:val="00C01A08"/>
    <w:rsid w:val="00C02092"/>
    <w:rsid w:val="00C020E1"/>
    <w:rsid w:val="00C057F7"/>
    <w:rsid w:val="00C101C9"/>
    <w:rsid w:val="00C24C8C"/>
    <w:rsid w:val="00C24D91"/>
    <w:rsid w:val="00C423B5"/>
    <w:rsid w:val="00C52532"/>
    <w:rsid w:val="00C53F14"/>
    <w:rsid w:val="00C55C2E"/>
    <w:rsid w:val="00C600CF"/>
    <w:rsid w:val="00C6084F"/>
    <w:rsid w:val="00C62A66"/>
    <w:rsid w:val="00C62A6F"/>
    <w:rsid w:val="00C67CA5"/>
    <w:rsid w:val="00C71458"/>
    <w:rsid w:val="00C71F58"/>
    <w:rsid w:val="00C77613"/>
    <w:rsid w:val="00C77C58"/>
    <w:rsid w:val="00C828E7"/>
    <w:rsid w:val="00C921DD"/>
    <w:rsid w:val="00CA4D82"/>
    <w:rsid w:val="00CA6391"/>
    <w:rsid w:val="00CB242E"/>
    <w:rsid w:val="00CB7327"/>
    <w:rsid w:val="00CC0F0E"/>
    <w:rsid w:val="00CE3171"/>
    <w:rsid w:val="00CF1601"/>
    <w:rsid w:val="00D32086"/>
    <w:rsid w:val="00D37A3F"/>
    <w:rsid w:val="00D41119"/>
    <w:rsid w:val="00D45FCF"/>
    <w:rsid w:val="00D4667A"/>
    <w:rsid w:val="00D510BB"/>
    <w:rsid w:val="00D5435D"/>
    <w:rsid w:val="00D61605"/>
    <w:rsid w:val="00D74F2E"/>
    <w:rsid w:val="00D836A0"/>
    <w:rsid w:val="00D96D54"/>
    <w:rsid w:val="00DA0590"/>
    <w:rsid w:val="00DB5A45"/>
    <w:rsid w:val="00DC1788"/>
    <w:rsid w:val="00DC2DDA"/>
    <w:rsid w:val="00DF0CA8"/>
    <w:rsid w:val="00DF49A7"/>
    <w:rsid w:val="00E01106"/>
    <w:rsid w:val="00E07EE2"/>
    <w:rsid w:val="00E24573"/>
    <w:rsid w:val="00E30DE9"/>
    <w:rsid w:val="00E377A1"/>
    <w:rsid w:val="00E42C55"/>
    <w:rsid w:val="00E45109"/>
    <w:rsid w:val="00E51291"/>
    <w:rsid w:val="00E54B02"/>
    <w:rsid w:val="00E95FAD"/>
    <w:rsid w:val="00E97830"/>
    <w:rsid w:val="00EA03E5"/>
    <w:rsid w:val="00EB186C"/>
    <w:rsid w:val="00EE0FAF"/>
    <w:rsid w:val="00EE2312"/>
    <w:rsid w:val="00EE57B5"/>
    <w:rsid w:val="00EF3B75"/>
    <w:rsid w:val="00F00EB7"/>
    <w:rsid w:val="00F146A3"/>
    <w:rsid w:val="00F2258E"/>
    <w:rsid w:val="00F33658"/>
    <w:rsid w:val="00F36AB6"/>
    <w:rsid w:val="00F409CE"/>
    <w:rsid w:val="00F5645D"/>
    <w:rsid w:val="00F721BA"/>
    <w:rsid w:val="00F832F3"/>
    <w:rsid w:val="00F84DF4"/>
    <w:rsid w:val="00F853FB"/>
    <w:rsid w:val="00F85C97"/>
    <w:rsid w:val="00F87723"/>
    <w:rsid w:val="00F947F9"/>
    <w:rsid w:val="00F96FDB"/>
    <w:rsid w:val="00FA2FE1"/>
    <w:rsid w:val="00FC205C"/>
    <w:rsid w:val="00FC606D"/>
    <w:rsid w:val="00FD00DD"/>
    <w:rsid w:val="00FD068D"/>
    <w:rsid w:val="00FD4F28"/>
    <w:rsid w:val="00FD5AD0"/>
    <w:rsid w:val="00FE4545"/>
    <w:rsid w:val="00FE6784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E2"/>
    <w:rPr>
      <w:sz w:val="24"/>
    </w:rPr>
  </w:style>
  <w:style w:type="paragraph" w:styleId="Heading1">
    <w:name w:val="heading 1"/>
    <w:next w:val="ReasonsNumbering-AltN"/>
    <w:link w:val="Heading1Char"/>
    <w:uiPriority w:val="2"/>
    <w:qFormat/>
    <w:rsid w:val="00AF0EE2"/>
    <w:pPr>
      <w:tabs>
        <w:tab w:val="left" w:pos="360"/>
      </w:tabs>
      <w:spacing w:before="480" w:after="480"/>
      <w:ind w:left="360" w:hanging="360"/>
      <w:jc w:val="both"/>
      <w:outlineLvl w:val="0"/>
    </w:pPr>
    <w:rPr>
      <w:rFonts w:eastAsiaTheme="majorEastAsia" w:cstheme="majorBidi"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0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3866EC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3866EC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F0E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E2"/>
    <w:rPr>
      <w:rFonts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E2"/>
    <w:rPr>
      <w:rFonts w:cs="Tahoma"/>
      <w:sz w:val="28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E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0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EE2"/>
    <w:rPr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AF0EE2"/>
    <w:pPr>
      <w:spacing w:after="480"/>
      <w:jc w:val="both"/>
    </w:pPr>
    <w:rPr>
      <w:rFonts w:eastAsiaTheme="minorHAnsi" w:cstheme="minorBidi"/>
      <w:szCs w:val="22"/>
      <w:lang w:eastAsia="en-US"/>
    </w:rPr>
  </w:style>
  <w:style w:type="character" w:customStyle="1" w:styleId="SCCLsocPartyChar">
    <w:name w:val="SCC.Lsoc.Party Char"/>
    <w:basedOn w:val="DefaultParagraphFont"/>
    <w:link w:val="SCCLsocParty"/>
    <w:rsid w:val="00AF0EE2"/>
    <w:rPr>
      <w:rFonts w:eastAsiaTheme="minorHAnsi" w:cstheme="minorBidi"/>
      <w:sz w:val="24"/>
      <w:szCs w:val="22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AF0EE2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VersusChar">
    <w:name w:val="SCC.Lsoc.Versus Char"/>
    <w:basedOn w:val="DefaultParagraphFont"/>
    <w:link w:val="SCCLsocVersus"/>
    <w:rsid w:val="00AF0EE2"/>
    <w:rPr>
      <w:rFonts w:eastAsiaTheme="minorHAnsi" w:cstheme="minorBidi"/>
      <w:sz w:val="24"/>
      <w:szCs w:val="22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25EA4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225EA4"/>
    <w:rPr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AF0EE2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AF0EE2"/>
    <w:rPr>
      <w:rFonts w:eastAsiaTheme="minorHAnsi" w:cstheme="minorBidi"/>
      <w:sz w:val="24"/>
      <w:szCs w:val="22"/>
      <w:lang w:eastAsia="en-US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AF0EE2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AF0EE2"/>
    <w:rPr>
      <w:rFonts w:eastAsiaTheme="minorHAnsi" w:cstheme="minorBidi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AF0EE2"/>
    <w:rPr>
      <w:rFonts w:eastAsiaTheme="majorEastAsia" w:cstheme="majorBidi"/>
      <w:bCs/>
      <w:sz w:val="24"/>
      <w:szCs w:val="28"/>
      <w:lang w:eastAsia="en-US"/>
    </w:rPr>
  </w:style>
  <w:style w:type="paragraph" w:customStyle="1" w:styleId="SCCBanSummary">
    <w:name w:val="SCC.BanSummary"/>
    <w:basedOn w:val="Normal"/>
    <w:next w:val="Normal"/>
    <w:link w:val="SCCBanSummaryChar"/>
    <w:rsid w:val="00AF0EE2"/>
    <w:pPr>
      <w:jc w:val="right"/>
    </w:pPr>
    <w:rPr>
      <w:rFonts w:eastAsiaTheme="minorEastAsia"/>
      <w:b/>
      <w:szCs w:val="24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C62A6F"/>
    <w:rPr>
      <w:i/>
    </w:rPr>
  </w:style>
  <w:style w:type="character" w:customStyle="1" w:styleId="SCCLawFirmChar">
    <w:name w:val="SCC.LawFirm Char"/>
    <w:basedOn w:val="SCCNormalDoubleSpacingChar"/>
    <w:link w:val="SCCLawFirm"/>
    <w:rsid w:val="00C62A6F"/>
    <w:rPr>
      <w:i/>
      <w:lang w:val="fr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4439D8"/>
  </w:style>
  <w:style w:type="character" w:customStyle="1" w:styleId="SCCCounselPartyRoleChar">
    <w:name w:val="SCC.CounselPartyRole Char"/>
    <w:basedOn w:val="SCCNormalDoubleSpacingChar"/>
    <w:link w:val="SCCCounselPartyRole"/>
    <w:rsid w:val="004439D8"/>
    <w:rPr>
      <w:lang w:val="fr-CA"/>
    </w:rPr>
  </w:style>
  <w:style w:type="paragraph" w:styleId="ListParagraph">
    <w:name w:val="List Paragraph"/>
    <w:basedOn w:val="Normal"/>
    <w:qFormat/>
    <w:rsid w:val="00960BE9"/>
    <w:pPr>
      <w:ind w:left="720"/>
    </w:pPr>
  </w:style>
  <w:style w:type="paragraph" w:customStyle="1" w:styleId="SCCCoram">
    <w:name w:val="SCC.Coram"/>
    <w:basedOn w:val="Normal"/>
    <w:next w:val="Normal"/>
    <w:link w:val="SCCCoramChar"/>
    <w:rsid w:val="00AF0EE2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DefaultParagraphFont"/>
    <w:link w:val="SCCCoram"/>
    <w:rsid w:val="00AF0EE2"/>
    <w:rPr>
      <w:rFonts w:eastAsia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AF0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1">
    <w:name w:val="Citation1"/>
    <w:basedOn w:val="Normal"/>
    <w:qFormat/>
    <w:rsid w:val="00960BE9"/>
    <w:pPr>
      <w:spacing w:after="720"/>
      <w:ind w:left="1166"/>
      <w:contextualSpacing/>
      <w:jc w:val="both"/>
    </w:pPr>
  </w:style>
  <w:style w:type="paragraph" w:customStyle="1" w:styleId="Default">
    <w:name w:val="Default"/>
    <w:rsid w:val="00960BE9"/>
    <w:pPr>
      <w:tabs>
        <w:tab w:val="left" w:pos="709"/>
      </w:tabs>
      <w:suppressAutoHyphens/>
      <w:spacing w:line="200" w:lineRule="atLeast"/>
    </w:pPr>
    <w:rPr>
      <w:sz w:val="24"/>
    </w:rPr>
  </w:style>
  <w:style w:type="paragraph" w:customStyle="1" w:styleId="ContinueReasonsNo-AltP">
    <w:name w:val="Continue Reasons No # - Alt P"/>
    <w:next w:val="ReasonsNumbering-AltN"/>
    <w:uiPriority w:val="1"/>
    <w:qFormat/>
    <w:rsid w:val="00AF0EE2"/>
    <w:pPr>
      <w:spacing w:before="480" w:after="480" w:line="48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AF0EE2"/>
    <w:pPr>
      <w:spacing w:after="480"/>
    </w:pPr>
    <w:rPr>
      <w:rFonts w:eastAsiaTheme="minorHAnsi" w:cstheme="minorBidi"/>
      <w:szCs w:val="22"/>
      <w:lang w:eastAsia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AF0EE2"/>
    <w:rPr>
      <w:rFonts w:eastAsiaTheme="minorHAnsi" w:cstheme="minorBidi"/>
      <w:sz w:val="24"/>
      <w:szCs w:val="22"/>
      <w:lang w:eastAsia="en-US"/>
    </w:rPr>
  </w:style>
  <w:style w:type="character" w:customStyle="1" w:styleId="SCCBanSummaryChar">
    <w:name w:val="SCC.BanSummary Char"/>
    <w:basedOn w:val="DefaultParagraphFont"/>
    <w:link w:val="SCCBanSummary"/>
    <w:rsid w:val="00AF0EE2"/>
    <w:rPr>
      <w:rFonts w:eastAsiaTheme="minorEastAsia"/>
      <w:b/>
      <w:sz w:val="24"/>
      <w:szCs w:val="24"/>
    </w:rPr>
  </w:style>
  <w:style w:type="paragraph" w:customStyle="1" w:styleId="ReasonsNumbering-AltN">
    <w:name w:val="Reasons Numbering - Alt N"/>
    <w:qFormat/>
    <w:rsid w:val="00AF0EE2"/>
    <w:pPr>
      <w:numPr>
        <w:numId w:val="7"/>
      </w:numPr>
      <w:tabs>
        <w:tab w:val="left" w:pos="1152"/>
      </w:tabs>
      <w:spacing w:after="480" w:line="480" w:lineRule="auto"/>
      <w:ind w:left="0" w:firstLine="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itation-AltC">
    <w:name w:val="Citation - Alt C"/>
    <w:uiPriority w:val="2"/>
    <w:qFormat/>
    <w:rsid w:val="00AF0EE2"/>
    <w:pPr>
      <w:spacing w:after="720"/>
      <w:ind w:left="1166"/>
      <w:contextualSpacing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E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3748">
      <w:bodyDiv w:val="1"/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639">
          <w:marLeft w:val="15"/>
          <w:marRight w:val="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yolai\Desktop\Ltr_J18_f%20-%20revised%20Feb%2021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FF9E-CE18-4FD0-8175-148C148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Ltr_J18_f - revised Feb 21 2011.dotx</Template>
  <TotalTime>0</TotalTime>
  <Pages>18</Pages>
  <Words>3847</Words>
  <Characters>19849</Characters>
  <Application>Microsoft Office Word</Application>
  <DocSecurity>0</DocSecurity>
  <Lines>165</Lines>
  <Paragraphs>47</Paragraphs>
  <ScaleCrop>false</ScaleCrop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2011-02-24T14:30:00Z</dcterms:created>
  <dcterms:modified xsi:type="dcterms:W3CDTF">2011-06-07T17:14:00Z</dcterms:modified>
</cp:coreProperties>
</file>