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36" w:rsidRDefault="00CA0936" w:rsidP="00CA0936">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6pt;height:64.8pt" o:ole="">
            <v:imagedata r:id="rId8" o:title=""/>
          </v:shape>
          <o:OLEObject Type="Embed" ProgID="Presentations.Drawing.13" ShapeID="_x0000_i1025" DrawAspect="Content" ObjectID="_1362570694" r:id="rId9"/>
        </w:object>
      </w:r>
      <w:r>
        <w:t xml:space="preserve"> </w:t>
      </w:r>
      <w:r>
        <w:ptab w:relativeTo="margin" w:alignment="right" w:leader="none"/>
      </w:r>
    </w:p>
    <w:p w:rsidR="00CA0936" w:rsidRDefault="00CA0936" w:rsidP="00CA0936">
      <w:pPr>
        <w:pStyle w:val="Header"/>
      </w:pPr>
    </w:p>
    <w:p w:rsidR="00CA0936" w:rsidRPr="001E12E2" w:rsidRDefault="00CA0936" w:rsidP="00CA0936">
      <w:pPr>
        <w:jc w:val="center"/>
        <w:rPr>
          <w:b/>
        </w:rPr>
      </w:pPr>
      <w:r w:rsidRPr="001E12E2">
        <w:rPr>
          <w:b/>
        </w:rPr>
        <w:t>COUR SUPRÊME DU CANADA</w:t>
      </w:r>
    </w:p>
    <w:p w:rsidR="00CA0936" w:rsidRDefault="00CA0936" w:rsidP="00CA0936"/>
    <w:p w:rsidR="00CA0936" w:rsidRDefault="00CA0936"/>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CA0936" w:rsidRPr="001E12E2" w:rsidTr="00EB3E9F">
        <w:trPr>
          <w:cantSplit/>
        </w:trPr>
        <w:tc>
          <w:tcPr>
            <w:tcW w:w="6768" w:type="dxa"/>
          </w:tcPr>
          <w:p w:rsidR="00CA0936" w:rsidRPr="001E12E2" w:rsidRDefault="00CA0936" w:rsidP="00EB3E9F">
            <w:r>
              <w:rPr>
                <w:b/>
                <w:smallCaps/>
              </w:rPr>
              <w:t>Référence</w:t>
            </w:r>
            <w:r w:rsidRPr="001E12E2">
              <w:rPr>
                <w:b/>
                <w:smallCaps/>
              </w:rPr>
              <w:t xml:space="preserve"> </w:t>
            </w:r>
            <w:proofErr w:type="gramStart"/>
            <w:r w:rsidRPr="001E12E2">
              <w:t xml:space="preserve">: </w:t>
            </w:r>
            <w:r>
              <w:t xml:space="preserve"> </w:t>
            </w:r>
            <w:r w:rsidRPr="004E7A6A">
              <w:rPr>
                <w:rStyle w:val="SCCAppellantForIndexChar"/>
                <w:b w:val="0"/>
              </w:rPr>
              <w:t>R</w:t>
            </w:r>
            <w:proofErr w:type="gramEnd"/>
            <w:r w:rsidRPr="004E7A6A">
              <w:rPr>
                <w:rStyle w:val="SCCAppellantForIndexChar"/>
                <w:b w:val="0"/>
              </w:rPr>
              <w:t>.</w:t>
            </w:r>
            <w:r w:rsidRPr="004E7A6A">
              <w:rPr>
                <w:b/>
              </w:rPr>
              <w:t xml:space="preserve"> </w:t>
            </w:r>
            <w:r w:rsidRPr="004E7A6A">
              <w:rPr>
                <w:i/>
              </w:rPr>
              <w:t>c.</w:t>
            </w:r>
            <w:r w:rsidRPr="004E7A6A">
              <w:rPr>
                <w:b/>
              </w:rPr>
              <w:t xml:space="preserve"> </w:t>
            </w:r>
            <w:r>
              <w:t>Lutoslawski</w:t>
            </w:r>
            <w:r>
              <w:rPr>
                <w:rStyle w:val="SCCRespondentForIndexChar"/>
                <w:b w:val="0"/>
              </w:rPr>
              <w:t>, 2010 CSC 49, [2010] 3 R.C.S. 60</w:t>
            </w:r>
          </w:p>
        </w:tc>
        <w:tc>
          <w:tcPr>
            <w:tcW w:w="2808" w:type="dxa"/>
          </w:tcPr>
          <w:p w:rsidR="00CA0936" w:rsidRPr="001E12E2" w:rsidRDefault="00CA0936" w:rsidP="00EB3E9F">
            <w:r w:rsidRPr="001E12E2">
              <w:rPr>
                <w:b/>
                <w:smallCaps/>
              </w:rPr>
              <w:t xml:space="preserve">Date </w:t>
            </w:r>
            <w:r w:rsidRPr="001E12E2">
              <w:t xml:space="preserve">: </w:t>
            </w:r>
            <w:r>
              <w:t>20101105</w:t>
            </w:r>
          </w:p>
          <w:p w:rsidR="00CA0936" w:rsidRPr="001E12E2" w:rsidRDefault="00CA0936" w:rsidP="00EB3E9F">
            <w:r w:rsidRPr="001E12E2">
              <w:rPr>
                <w:b/>
                <w:smallCaps/>
              </w:rPr>
              <w:t>Do</w:t>
            </w:r>
            <w:r>
              <w:rPr>
                <w:b/>
                <w:smallCaps/>
              </w:rPr>
              <w:t>ssier</w:t>
            </w:r>
            <w:r w:rsidRPr="001E12E2">
              <w:rPr>
                <w:b/>
                <w:smallCaps/>
              </w:rPr>
              <w:t xml:space="preserve"> </w:t>
            </w:r>
            <w:r w:rsidRPr="001E12E2">
              <w:t xml:space="preserve">: </w:t>
            </w:r>
            <w:r>
              <w:t>33723</w:t>
            </w:r>
          </w:p>
        </w:tc>
      </w:tr>
    </w:tbl>
    <w:p w:rsidR="00CA0936" w:rsidRPr="001E12E2" w:rsidRDefault="00CA0936" w:rsidP="00CA0936"/>
    <w:p w:rsidR="00CA0936" w:rsidRDefault="00CA0936" w:rsidP="00CA0936">
      <w:pPr>
        <w:pStyle w:val="SCCLsocPrefix"/>
      </w:pPr>
      <w:r>
        <w:t>Entre :</w:t>
      </w:r>
    </w:p>
    <w:p w:rsidR="00CA0936" w:rsidRDefault="00CA0936" w:rsidP="00CA0936">
      <w:pPr>
        <w:pStyle w:val="SCCLsocParty"/>
        <w:jc w:val="center"/>
      </w:pPr>
      <w:r>
        <w:t>Jaroslaw Lutoslawski</w:t>
      </w:r>
    </w:p>
    <w:p w:rsidR="00CA0936" w:rsidRPr="00CA0936" w:rsidRDefault="00CA0936" w:rsidP="00CA0936">
      <w:pPr>
        <w:pStyle w:val="SCCLsocPartyRole"/>
        <w:jc w:val="center"/>
        <w:rPr>
          <w:i w:val="0"/>
        </w:rPr>
      </w:pPr>
      <w:r w:rsidRPr="00CA0936">
        <w:rPr>
          <w:i w:val="0"/>
        </w:rPr>
        <w:t>Appelant</w:t>
      </w:r>
    </w:p>
    <w:p w:rsidR="00CA0936" w:rsidRPr="00CA0936" w:rsidRDefault="00CA0936" w:rsidP="00CA0936">
      <w:pPr>
        <w:pStyle w:val="SCCLsocVersus"/>
        <w:jc w:val="center"/>
        <w:rPr>
          <w:i w:val="0"/>
        </w:rPr>
      </w:pPr>
      <w:proofErr w:type="gramStart"/>
      <w:r w:rsidRPr="00CA0936">
        <w:rPr>
          <w:i w:val="0"/>
        </w:rPr>
        <w:t>et</w:t>
      </w:r>
      <w:proofErr w:type="gramEnd"/>
    </w:p>
    <w:p w:rsidR="00CA0936" w:rsidRDefault="00CA0936" w:rsidP="00CA0936">
      <w:pPr>
        <w:pStyle w:val="SCCLsocParty"/>
        <w:jc w:val="center"/>
      </w:pPr>
      <w:r>
        <w:t>Sa Majesté la Reine</w:t>
      </w:r>
    </w:p>
    <w:p w:rsidR="00CA0936" w:rsidRPr="00CA0936" w:rsidRDefault="00CA0936" w:rsidP="00CA0936">
      <w:pPr>
        <w:pStyle w:val="SCCLsocPartyRole"/>
        <w:jc w:val="center"/>
        <w:rPr>
          <w:i w:val="0"/>
        </w:rPr>
      </w:pPr>
      <w:r w:rsidRPr="00CA0936">
        <w:rPr>
          <w:i w:val="0"/>
        </w:rPr>
        <w:t>Intimée</w:t>
      </w:r>
    </w:p>
    <w:p w:rsidR="00CA0936" w:rsidRDefault="00CA0936" w:rsidP="00CA0936"/>
    <w:p w:rsidR="00CA0936" w:rsidRPr="001E12E2" w:rsidRDefault="00CA0936" w:rsidP="00CA0936">
      <w:pPr>
        <w:jc w:val="center"/>
        <w:rPr>
          <w:b/>
          <w:smallCaps/>
        </w:rPr>
      </w:pPr>
      <w:r>
        <w:rPr>
          <w:b/>
          <w:smallCaps/>
        </w:rPr>
        <w:t>Traduction française o</w:t>
      </w:r>
      <w:r w:rsidRPr="001E12E2">
        <w:rPr>
          <w:b/>
          <w:smallCaps/>
        </w:rPr>
        <w:t>ffici</w:t>
      </w:r>
      <w:r>
        <w:rPr>
          <w:b/>
          <w:smallCaps/>
        </w:rPr>
        <w:t>elle</w:t>
      </w:r>
    </w:p>
    <w:p w:rsidR="00CA0936" w:rsidRPr="001E12E2" w:rsidRDefault="00CA0936" w:rsidP="00CA0936"/>
    <w:p w:rsidR="00CA0936" w:rsidRPr="001E12E2" w:rsidRDefault="00CA0936" w:rsidP="00CA0936">
      <w:r w:rsidRPr="001E12E2">
        <w:rPr>
          <w:b/>
          <w:smallCaps/>
        </w:rPr>
        <w:t xml:space="preserve">Coram </w:t>
      </w:r>
      <w:r w:rsidRPr="001E12E2">
        <w:t xml:space="preserve">: </w:t>
      </w:r>
      <w:r>
        <w:t xml:space="preserve">Les juges </w:t>
      </w:r>
      <w:proofErr w:type="spellStart"/>
      <w:r>
        <w:t>Binnie</w:t>
      </w:r>
      <w:proofErr w:type="spellEnd"/>
      <w:r>
        <w:t xml:space="preserve">, </w:t>
      </w:r>
      <w:proofErr w:type="spellStart"/>
      <w:r>
        <w:t>LeBel</w:t>
      </w:r>
      <w:proofErr w:type="spellEnd"/>
      <w:r>
        <w:t xml:space="preserve">, Deschamps, Fish, Abella, Charron et </w:t>
      </w:r>
      <w:proofErr w:type="spellStart"/>
      <w:r>
        <w:t>Rothstein</w:t>
      </w:r>
      <w:proofErr w:type="spellEnd"/>
    </w:p>
    <w:p w:rsidR="00CA0936" w:rsidRPr="001E12E2" w:rsidRDefault="00CA0936" w:rsidP="00CA09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CA0936" w:rsidRPr="001E12E2" w:rsidTr="00EB3E9F">
        <w:trPr>
          <w:cantSplit/>
        </w:trPr>
        <w:tc>
          <w:tcPr>
            <w:tcW w:w="3618" w:type="dxa"/>
          </w:tcPr>
          <w:p w:rsidR="00CA0936" w:rsidRDefault="00CA0936" w:rsidP="00EB3E9F">
            <w:r>
              <w:rPr>
                <w:b/>
                <w:smallCaps/>
              </w:rPr>
              <w:t>Motifs</w:t>
            </w:r>
            <w:r w:rsidRPr="001E12E2">
              <w:rPr>
                <w:b/>
                <w:smallCaps/>
              </w:rPr>
              <w:t xml:space="preserve"> </w:t>
            </w:r>
            <w:r>
              <w:rPr>
                <w:b/>
                <w:smallCaps/>
              </w:rPr>
              <w:t>de</w:t>
            </w:r>
            <w:r w:rsidRPr="001E12E2">
              <w:rPr>
                <w:b/>
                <w:smallCaps/>
              </w:rPr>
              <w:t xml:space="preserve"> </w:t>
            </w:r>
            <w:r>
              <w:rPr>
                <w:b/>
                <w:smallCaps/>
              </w:rPr>
              <w:t>j</w:t>
            </w:r>
            <w:r w:rsidRPr="001E12E2">
              <w:rPr>
                <w:b/>
                <w:smallCaps/>
              </w:rPr>
              <w:t>ug</w:t>
            </w:r>
            <w:r>
              <w:rPr>
                <w:b/>
                <w:smallCaps/>
              </w:rPr>
              <w:t>e</w:t>
            </w:r>
            <w:r w:rsidRPr="001E12E2">
              <w:rPr>
                <w:b/>
                <w:smallCaps/>
              </w:rPr>
              <w:t>ment</w:t>
            </w:r>
            <w:r w:rsidRPr="001E12E2">
              <w:t xml:space="preserve"> :</w:t>
            </w:r>
          </w:p>
          <w:p w:rsidR="00CA0936" w:rsidRPr="001E12E2" w:rsidRDefault="00CA0936" w:rsidP="00EB3E9F">
            <w:r>
              <w:t>(par. 1)</w:t>
            </w:r>
          </w:p>
        </w:tc>
        <w:tc>
          <w:tcPr>
            <w:tcW w:w="5958" w:type="dxa"/>
          </w:tcPr>
          <w:p w:rsidR="00CA0936" w:rsidRDefault="00CA0936" w:rsidP="00EB3E9F">
            <w:r>
              <w:t xml:space="preserve">Le juge </w:t>
            </w:r>
            <w:proofErr w:type="spellStart"/>
            <w:r>
              <w:t>Binnie</w:t>
            </w:r>
            <w:proofErr w:type="spellEnd"/>
            <w:r>
              <w:t xml:space="preserve"> (avec l’accord des juges </w:t>
            </w:r>
            <w:proofErr w:type="spellStart"/>
            <w:r>
              <w:t>LeBel</w:t>
            </w:r>
            <w:proofErr w:type="spellEnd"/>
            <w:r>
              <w:t xml:space="preserve">, Deschamps, Fish, Abella, Charron et </w:t>
            </w:r>
            <w:proofErr w:type="spellStart"/>
            <w:r>
              <w:t>Rothstein</w:t>
            </w:r>
            <w:proofErr w:type="spellEnd"/>
            <w:r>
              <w:t>)</w:t>
            </w:r>
          </w:p>
          <w:p w:rsidR="00CA0936" w:rsidRPr="001E12E2" w:rsidRDefault="00CA0936" w:rsidP="00EB3E9F"/>
        </w:tc>
      </w:tr>
    </w:tbl>
    <w:p w:rsidR="00CA0936" w:rsidRPr="001E12E2" w:rsidRDefault="00075AD6" w:rsidP="00CA0936">
      <w:r>
        <w:rPr>
          <w:noProof/>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mso-position-horizontal-relative:text;mso-position-vertical-relative:text" o:connectortype="straight"/>
        </w:pict>
      </w:r>
    </w:p>
    <w:p w:rsidR="00CA0936" w:rsidRDefault="00CA0936">
      <w:r>
        <w:br w:type="page"/>
      </w:r>
    </w:p>
    <w:p w:rsidR="008322BD" w:rsidRDefault="00DC48A3" w:rsidP="0030197A">
      <w:pPr>
        <w:tabs>
          <w:tab w:val="right" w:pos="8190"/>
        </w:tabs>
        <w:spacing w:line="480" w:lineRule="auto"/>
        <w:jc w:val="both"/>
        <w:rPr>
          <w:rStyle w:val="SCCAppellantForRunningHeadChar"/>
        </w:rPr>
      </w:pPr>
      <w:r w:rsidRPr="00DC48A3">
        <w:lastRenderedPageBreak/>
        <w:t xml:space="preserve">R. </w:t>
      </w:r>
      <w:r w:rsidRPr="00DC48A3">
        <w:rPr>
          <w:i/>
        </w:rPr>
        <w:t>c.</w:t>
      </w:r>
      <w:r w:rsidRPr="00DC48A3">
        <w:t xml:space="preserve"> </w:t>
      </w:r>
      <w:r w:rsidRPr="00DC48A3">
        <w:rPr>
          <w:rStyle w:val="SCCAppellantForIndexChar"/>
          <w:b w:val="0"/>
        </w:rPr>
        <w:t>Lutoslawski</w:t>
      </w:r>
      <w:r>
        <w:rPr>
          <w:rStyle w:val="SCCAppellantForRunningHeadChar"/>
        </w:rPr>
        <w:t xml:space="preserve">, </w:t>
      </w:r>
      <w:r>
        <w:rPr>
          <w:rStyle w:val="SCCRespondentForIndexChar"/>
          <w:b w:val="0"/>
        </w:rPr>
        <w:t>2010 CSC 49, [2010] 3 R.C.S. 60</w:t>
      </w:r>
    </w:p>
    <w:p w:rsidR="0030197A" w:rsidRDefault="0030197A" w:rsidP="0030197A">
      <w:pPr>
        <w:tabs>
          <w:tab w:val="right" w:pos="8190"/>
        </w:tabs>
        <w:spacing w:line="480" w:lineRule="auto"/>
        <w:jc w:val="both"/>
        <w:rPr>
          <w:rStyle w:val="SCCAppellantForRunningHeadChar"/>
        </w:rPr>
      </w:pPr>
    </w:p>
    <w:p w:rsidR="0030197A" w:rsidRDefault="0030197A" w:rsidP="0030197A">
      <w:pPr>
        <w:pStyle w:val="SCCLsocParty"/>
        <w:tabs>
          <w:tab w:val="right" w:pos="8280"/>
        </w:tabs>
        <w:spacing w:line="480" w:lineRule="auto"/>
      </w:pPr>
      <w:r>
        <w:t>Jaroslaw Lutoslawski</w:t>
      </w:r>
      <w:r>
        <w:tab/>
      </w:r>
      <w:r w:rsidRPr="0030197A">
        <w:rPr>
          <w:b w:val="0"/>
          <w:i/>
        </w:rPr>
        <w:t>Appelant</w:t>
      </w:r>
    </w:p>
    <w:p w:rsidR="0030197A" w:rsidRDefault="0030197A" w:rsidP="0030197A">
      <w:pPr>
        <w:tabs>
          <w:tab w:val="right" w:pos="8190"/>
        </w:tabs>
        <w:spacing w:line="480" w:lineRule="auto"/>
        <w:jc w:val="both"/>
        <w:rPr>
          <w:rStyle w:val="SCCAppellantForRunningHeadChar"/>
        </w:rPr>
      </w:pPr>
    </w:p>
    <w:p w:rsidR="00223077" w:rsidRPr="00223077" w:rsidRDefault="00223077" w:rsidP="0030197A">
      <w:pPr>
        <w:pStyle w:val="SCCLsocVersus"/>
        <w:spacing w:line="480" w:lineRule="auto"/>
      </w:pPr>
      <w:proofErr w:type="gramStart"/>
      <w:r>
        <w:t>c</w:t>
      </w:r>
      <w:proofErr w:type="gramEnd"/>
      <w:r>
        <w:t>.</w:t>
      </w:r>
      <w:r>
        <w:br/>
      </w:r>
    </w:p>
    <w:p w:rsidR="0030197A" w:rsidRPr="0030197A" w:rsidRDefault="00223077" w:rsidP="0030197A">
      <w:pPr>
        <w:pStyle w:val="SCCLsocParty"/>
        <w:tabs>
          <w:tab w:val="right" w:pos="8190"/>
        </w:tabs>
        <w:spacing w:line="480" w:lineRule="auto"/>
      </w:pPr>
      <w:r>
        <w:t>Sa Majesté la Reine</w:t>
      </w:r>
      <w:r w:rsidR="0030197A">
        <w:t xml:space="preserve"> </w:t>
      </w:r>
      <w:r w:rsidR="0030197A">
        <w:tab/>
      </w:r>
      <w:r w:rsidR="0030197A" w:rsidRPr="0030197A">
        <w:rPr>
          <w:b w:val="0"/>
          <w:i/>
        </w:rPr>
        <w:t>Intimée</w:t>
      </w:r>
    </w:p>
    <w:p w:rsidR="007834A8" w:rsidRPr="00A24E15" w:rsidRDefault="007834A8" w:rsidP="0030197A">
      <w:pPr>
        <w:spacing w:line="480" w:lineRule="auto"/>
        <w:jc w:val="both"/>
      </w:pPr>
    </w:p>
    <w:p w:rsidR="00426659" w:rsidRPr="00A24E15" w:rsidRDefault="0043088E" w:rsidP="0030197A">
      <w:pPr>
        <w:spacing w:line="480" w:lineRule="auto"/>
        <w:jc w:val="both"/>
        <w:rPr>
          <w:b/>
        </w:rPr>
      </w:pPr>
      <w:r w:rsidRPr="00A24E15">
        <w:rPr>
          <w:b/>
        </w:rPr>
        <w:t>Répertorié</w:t>
      </w:r>
      <w:r w:rsidR="00C67CA5" w:rsidRPr="00A24E15">
        <w:rPr>
          <w:b/>
        </w:rPr>
        <w:t> </w:t>
      </w:r>
      <w:r w:rsidR="00426659" w:rsidRPr="00A24E15">
        <w:rPr>
          <w:b/>
        </w:rPr>
        <w:t>:</w:t>
      </w:r>
      <w:r w:rsidR="00C67CA5" w:rsidRPr="00A24E15">
        <w:rPr>
          <w:b/>
        </w:rPr>
        <w:t> </w:t>
      </w:r>
      <w:r w:rsidR="0030197A">
        <w:rPr>
          <w:b/>
        </w:rPr>
        <w:t xml:space="preserve">R. </w:t>
      </w:r>
      <w:r w:rsidR="0030197A" w:rsidRPr="0030197A">
        <w:rPr>
          <w:b/>
          <w:i/>
        </w:rPr>
        <w:t>c.</w:t>
      </w:r>
      <w:r w:rsidR="0030197A">
        <w:rPr>
          <w:b/>
        </w:rPr>
        <w:t xml:space="preserve"> </w:t>
      </w:r>
      <w:r>
        <w:rPr>
          <w:rStyle w:val="SCCAppellantForIndexChar"/>
        </w:rPr>
        <w:t>Lutoslawski</w:t>
      </w:r>
    </w:p>
    <w:p w:rsidR="00426659" w:rsidRPr="00A24E15" w:rsidRDefault="00426659" w:rsidP="0030197A">
      <w:pPr>
        <w:spacing w:line="480" w:lineRule="auto"/>
        <w:jc w:val="both"/>
      </w:pPr>
    </w:p>
    <w:p w:rsidR="00426659" w:rsidRPr="00A24E15" w:rsidRDefault="00F853FB" w:rsidP="0030197A">
      <w:pPr>
        <w:pStyle w:val="SCCSystemYear"/>
        <w:spacing w:line="480" w:lineRule="auto"/>
        <w:jc w:val="both"/>
      </w:pPr>
      <w:r>
        <w:t>2010</w:t>
      </w:r>
      <w:r w:rsidR="00EE0FAF" w:rsidRPr="00A24E15">
        <w:t xml:space="preserve"> </w:t>
      </w:r>
      <w:r w:rsidR="00C71F58" w:rsidRPr="00A24E15">
        <w:t>C</w:t>
      </w:r>
      <w:r w:rsidR="0030197A">
        <w:t>SC </w:t>
      </w:r>
      <w:r w:rsidR="00E22ECE">
        <w:t>49</w:t>
      </w:r>
    </w:p>
    <w:p w:rsidR="007834A8" w:rsidRPr="00A24E15" w:rsidRDefault="007834A8" w:rsidP="0030197A">
      <w:pPr>
        <w:spacing w:line="480" w:lineRule="auto"/>
        <w:jc w:val="both"/>
      </w:pPr>
    </w:p>
    <w:p w:rsidR="008322BD" w:rsidRPr="00A24E15" w:rsidRDefault="009B57B3" w:rsidP="0030197A">
      <w:pPr>
        <w:spacing w:line="480" w:lineRule="auto"/>
        <w:jc w:val="both"/>
      </w:pPr>
      <w:r w:rsidRPr="00A24E15">
        <w:t>N</w:t>
      </w:r>
      <w:r w:rsidRPr="00A24E15">
        <w:rPr>
          <w:vertAlign w:val="superscript"/>
        </w:rPr>
        <w:t>o</w:t>
      </w:r>
      <w:r w:rsidR="0043088E" w:rsidRPr="00A24E15">
        <w:t xml:space="preserve"> du greffe</w:t>
      </w:r>
      <w:r w:rsidR="00C67CA5" w:rsidRPr="00A24E15">
        <w:t> </w:t>
      </w:r>
      <w:r w:rsidRPr="00A24E15">
        <w:t>:</w:t>
      </w:r>
      <w:r w:rsidR="00C67CA5" w:rsidRPr="00A24E15">
        <w:t> </w:t>
      </w:r>
      <w:r>
        <w:t>33723</w:t>
      </w:r>
      <w:r w:rsidRPr="00A24E15">
        <w:t>.</w:t>
      </w:r>
    </w:p>
    <w:p w:rsidR="007834A8" w:rsidRPr="00A24E15" w:rsidRDefault="007834A8" w:rsidP="0030197A">
      <w:pPr>
        <w:spacing w:line="480" w:lineRule="auto"/>
        <w:jc w:val="both"/>
      </w:pPr>
    </w:p>
    <w:p w:rsidR="008322BD" w:rsidRPr="00A24E15" w:rsidRDefault="00F853FB" w:rsidP="0030197A">
      <w:pPr>
        <w:spacing w:line="480" w:lineRule="auto"/>
        <w:jc w:val="both"/>
      </w:pPr>
      <w:r>
        <w:t>2010 : 5 novembre</w:t>
      </w:r>
      <w:r w:rsidR="009B57B3" w:rsidRPr="00A24E15">
        <w:t>.</w:t>
      </w:r>
    </w:p>
    <w:p w:rsidR="00E97830" w:rsidRPr="00A24E15" w:rsidRDefault="00E97830" w:rsidP="0030197A">
      <w:pPr>
        <w:spacing w:line="480" w:lineRule="auto"/>
        <w:jc w:val="both"/>
      </w:pPr>
    </w:p>
    <w:p w:rsidR="008322BD" w:rsidRPr="00A24E15" w:rsidRDefault="009B57B3" w:rsidP="0030197A">
      <w:pPr>
        <w:spacing w:line="480" w:lineRule="auto"/>
        <w:jc w:val="both"/>
      </w:pPr>
      <w:r w:rsidRPr="00A24E15">
        <w:t>Pr</w:t>
      </w:r>
      <w:r w:rsidR="0043088E" w:rsidRPr="00A24E15">
        <w:t>é</w:t>
      </w:r>
      <w:r w:rsidRPr="00A24E15">
        <w:t>sent</w:t>
      </w:r>
      <w:r w:rsidR="008A6558" w:rsidRPr="00A24E15">
        <w:t>s</w:t>
      </w:r>
      <w:r w:rsidR="00C67CA5" w:rsidRPr="00A24E15">
        <w:t> </w:t>
      </w:r>
      <w:r w:rsidRPr="00A24E15">
        <w:t>:</w:t>
      </w:r>
      <w:r w:rsidR="00756884">
        <w:t xml:space="preserve"> Les juges</w:t>
      </w:r>
      <w:r w:rsidR="00C67CA5" w:rsidRPr="00A24E15">
        <w:t> </w:t>
      </w:r>
      <w:proofErr w:type="spellStart"/>
      <w:r>
        <w:t>Binnie</w:t>
      </w:r>
      <w:proofErr w:type="spellEnd"/>
      <w:r>
        <w:t xml:space="preserve">, </w:t>
      </w:r>
      <w:proofErr w:type="spellStart"/>
      <w:r>
        <w:t>LeBel</w:t>
      </w:r>
      <w:proofErr w:type="spellEnd"/>
      <w:r>
        <w:t>, Deschamps, Fish, Abella, Charron et Rothstein</w:t>
      </w:r>
      <w:r w:rsidRPr="00A24E15">
        <w:t>.</w:t>
      </w:r>
    </w:p>
    <w:p w:rsidR="007834A8" w:rsidRPr="00A24E15" w:rsidRDefault="007834A8" w:rsidP="0030197A">
      <w:pPr>
        <w:spacing w:line="480" w:lineRule="auto"/>
        <w:jc w:val="both"/>
      </w:pPr>
    </w:p>
    <w:p w:rsidR="008322BD" w:rsidRPr="00A24E15" w:rsidRDefault="00AC7437" w:rsidP="0030197A">
      <w:pPr>
        <w:pStyle w:val="SCCLowerCourtNameLowercase"/>
      </w:pPr>
      <w:r w:rsidRPr="00A24E15">
        <w:t>e</w:t>
      </w:r>
      <w:r w:rsidR="00855307" w:rsidRPr="00A24E15">
        <w:t>n</w:t>
      </w:r>
      <w:r w:rsidR="00224FC0" w:rsidRPr="00A24E15">
        <w:t xml:space="preserve"> </w:t>
      </w:r>
      <w:r w:rsidR="00855307" w:rsidRPr="00A24E15">
        <w:t>appel</w:t>
      </w:r>
      <w:r w:rsidR="00224FC0" w:rsidRPr="00A24E15">
        <w:t xml:space="preserve"> </w:t>
      </w:r>
      <w:r w:rsidR="00855307" w:rsidRPr="00A24E15">
        <w:t>de</w:t>
      </w:r>
      <w:r w:rsidR="0043088E" w:rsidRPr="00A24E15">
        <w:t xml:space="preserve"> </w:t>
      </w:r>
      <w:r w:rsidR="00855307" w:rsidRPr="00A24E15">
        <w:t>la</w:t>
      </w:r>
      <w:r w:rsidR="00224FC0" w:rsidRPr="00A24E15">
        <w:t xml:space="preserve"> </w:t>
      </w:r>
      <w:r w:rsidR="009B57B3">
        <w:t>cour d’appel de l’</w:t>
      </w:r>
      <w:proofErr w:type="spellStart"/>
      <w:r w:rsidR="009B57B3">
        <w:t>ontario</w:t>
      </w:r>
      <w:proofErr w:type="spellEnd"/>
    </w:p>
    <w:p w:rsidR="003A4C70" w:rsidRPr="00A24E15" w:rsidRDefault="003A4C70" w:rsidP="00D74F2E">
      <w:pPr>
        <w:pStyle w:val="SCCNormalDoubleSpacing"/>
      </w:pPr>
    </w:p>
    <w:p w:rsidR="008322BD" w:rsidRPr="009F7C01" w:rsidRDefault="009B57B3" w:rsidP="00D74F2E">
      <w:pPr>
        <w:pStyle w:val="SCCNormalDoubleSpacing"/>
        <w:rPr>
          <w:lang w:val="fr-FR"/>
        </w:rPr>
      </w:pPr>
      <w:r w:rsidRPr="00A24E15">
        <w:tab/>
      </w:r>
      <w:r w:rsidR="00756884" w:rsidRPr="00F373F1">
        <w:rPr>
          <w:i/>
        </w:rPr>
        <w:t xml:space="preserve">Droit criminel </w:t>
      </w:r>
      <w:r w:rsidR="00FA19B8" w:rsidRPr="00FB1E9C">
        <w:rPr>
          <w:i/>
        </w:rPr>
        <w:t>––</w:t>
      </w:r>
      <w:r w:rsidR="00756884" w:rsidRPr="00F373F1">
        <w:rPr>
          <w:i/>
        </w:rPr>
        <w:t xml:space="preserve"> Po</w:t>
      </w:r>
      <w:r w:rsidR="009F7C01" w:rsidRPr="00F373F1">
        <w:rPr>
          <w:i/>
        </w:rPr>
        <w:t xml:space="preserve">uvoirs de la </w:t>
      </w:r>
      <w:r w:rsidR="00FA19B8">
        <w:rPr>
          <w:i/>
        </w:rPr>
        <w:t>C</w:t>
      </w:r>
      <w:r w:rsidR="009F7C01" w:rsidRPr="00F373F1">
        <w:rPr>
          <w:i/>
        </w:rPr>
        <w:t>our d’appel</w:t>
      </w:r>
      <w:r w:rsidR="00756884" w:rsidRPr="00F373F1">
        <w:rPr>
          <w:i/>
        </w:rPr>
        <w:t xml:space="preserve"> </w:t>
      </w:r>
      <w:r w:rsidR="00FA19B8" w:rsidRPr="00FB1E9C">
        <w:rPr>
          <w:i/>
        </w:rPr>
        <w:t>––</w:t>
      </w:r>
      <w:r w:rsidR="00FA19B8">
        <w:rPr>
          <w:i/>
        </w:rPr>
        <w:t xml:space="preserve"> </w:t>
      </w:r>
      <w:r w:rsidR="00F373F1" w:rsidRPr="00F373F1">
        <w:rPr>
          <w:i/>
        </w:rPr>
        <w:t>Le juge du proc</w:t>
      </w:r>
      <w:r w:rsidR="00F373F1">
        <w:rPr>
          <w:i/>
        </w:rPr>
        <w:t>è</w:t>
      </w:r>
      <w:r w:rsidR="00F373F1" w:rsidRPr="00F373F1">
        <w:rPr>
          <w:i/>
        </w:rPr>
        <w:t>s s’est fondé sur des consid</w:t>
      </w:r>
      <w:r w:rsidR="00F373F1">
        <w:rPr>
          <w:i/>
        </w:rPr>
        <w:t>é</w:t>
      </w:r>
      <w:r w:rsidR="00F373F1" w:rsidRPr="00F373F1">
        <w:rPr>
          <w:i/>
        </w:rPr>
        <w:t>rations erronées sur une question de dro</w:t>
      </w:r>
      <w:r w:rsidR="00F373F1">
        <w:rPr>
          <w:i/>
        </w:rPr>
        <w:t>it</w:t>
      </w:r>
      <w:r w:rsidR="00756884" w:rsidRPr="00F373F1">
        <w:rPr>
          <w:i/>
        </w:rPr>
        <w:t xml:space="preserve"> –– </w:t>
      </w:r>
      <w:r w:rsidR="00F373F1">
        <w:rPr>
          <w:i/>
        </w:rPr>
        <w:t xml:space="preserve">La </w:t>
      </w:r>
      <w:r w:rsidR="00FA19B8">
        <w:rPr>
          <w:i/>
        </w:rPr>
        <w:t>C</w:t>
      </w:r>
      <w:r w:rsidR="00F373F1">
        <w:rPr>
          <w:i/>
        </w:rPr>
        <w:t xml:space="preserve">our d’appel </w:t>
      </w:r>
      <w:r w:rsidR="00F373F1">
        <w:rPr>
          <w:i/>
        </w:rPr>
        <w:lastRenderedPageBreak/>
        <w:t>n’a pas fait erreur en consignant un verdict de culpabilité au lieu d’ordonner la tenue d’un nouveau procès</w:t>
      </w:r>
      <w:r w:rsidR="00756884" w:rsidRPr="00F373F1">
        <w:rPr>
          <w:i/>
        </w:rPr>
        <w:t xml:space="preserve"> </w:t>
      </w:r>
      <w:r w:rsidR="00FA19B8" w:rsidRPr="00FB1E9C">
        <w:rPr>
          <w:i/>
        </w:rPr>
        <w:t>––</w:t>
      </w:r>
      <w:r w:rsidR="00756884" w:rsidRPr="00F373F1">
        <w:rPr>
          <w:i/>
        </w:rPr>
        <w:t xml:space="preserve"> C</w:t>
      </w:r>
      <w:r w:rsidR="009F7C01" w:rsidRPr="00F373F1">
        <w:rPr>
          <w:i/>
        </w:rPr>
        <w:t>ode c</w:t>
      </w:r>
      <w:r w:rsidR="00756884" w:rsidRPr="00F373F1">
        <w:rPr>
          <w:i/>
        </w:rPr>
        <w:t>rimin</w:t>
      </w:r>
      <w:r w:rsidR="009F7C01" w:rsidRPr="00F373F1">
        <w:rPr>
          <w:i/>
        </w:rPr>
        <w:t>e</w:t>
      </w:r>
      <w:r w:rsidR="00756884" w:rsidRPr="00F373F1">
        <w:rPr>
          <w:i/>
        </w:rPr>
        <w:t xml:space="preserve">l, </w:t>
      </w:r>
      <w:r w:rsidR="009F7C01" w:rsidRPr="00F373F1">
        <w:rPr>
          <w:i/>
        </w:rPr>
        <w:t>L.R.</w:t>
      </w:r>
      <w:r w:rsidR="00756884" w:rsidRPr="00F373F1">
        <w:rPr>
          <w:i/>
        </w:rPr>
        <w:t>C. 1985, c</w:t>
      </w:r>
      <w:r w:rsidR="009F7C01" w:rsidRPr="00F373F1">
        <w:rPr>
          <w:i/>
        </w:rPr>
        <w:t xml:space="preserve">h. </w:t>
      </w:r>
      <w:r w:rsidR="009F7C01" w:rsidRPr="009F7C01">
        <w:rPr>
          <w:i/>
          <w:lang w:val="fr-FR"/>
        </w:rPr>
        <w:t>C-46, art. 686(4)</w:t>
      </w:r>
      <w:r w:rsidR="00756884" w:rsidRPr="009F7C01">
        <w:rPr>
          <w:i/>
          <w:lang w:val="fr-FR"/>
        </w:rPr>
        <w:t>b</w:t>
      </w:r>
      <w:proofErr w:type="gramStart"/>
      <w:r w:rsidR="00756884" w:rsidRPr="009F7C01">
        <w:rPr>
          <w:i/>
          <w:lang w:val="fr-FR"/>
        </w:rPr>
        <w:t>)(</w:t>
      </w:r>
      <w:proofErr w:type="gramEnd"/>
      <w:r w:rsidR="00756884" w:rsidRPr="009F7C01">
        <w:rPr>
          <w:i/>
          <w:lang w:val="fr-FR"/>
        </w:rPr>
        <w:t>ii).</w:t>
      </w:r>
      <w:r w:rsidR="00756884" w:rsidRPr="009F7C01">
        <w:rPr>
          <w:lang w:val="fr-FR"/>
        </w:rPr>
        <w:t xml:space="preserve"> </w:t>
      </w:r>
    </w:p>
    <w:p w:rsidR="007834A8" w:rsidRPr="009F7C01" w:rsidRDefault="007834A8" w:rsidP="00D74F2E">
      <w:pPr>
        <w:pStyle w:val="SCCNormalDoubleSpacing"/>
        <w:rPr>
          <w:lang w:val="fr-FR"/>
        </w:rPr>
      </w:pPr>
    </w:p>
    <w:p w:rsidR="007E1C47" w:rsidRPr="001961DA" w:rsidRDefault="0043088E" w:rsidP="007F4DA2">
      <w:pPr>
        <w:pStyle w:val="SCCNormalDoubleSpacing"/>
        <w:rPr>
          <w:b/>
        </w:rPr>
      </w:pPr>
      <w:r w:rsidRPr="001961DA">
        <w:rPr>
          <w:b/>
        </w:rPr>
        <w:t>Jurisprudence</w:t>
      </w:r>
    </w:p>
    <w:p w:rsidR="007834A8" w:rsidRPr="001961DA" w:rsidRDefault="007834A8" w:rsidP="00D74F2E">
      <w:pPr>
        <w:pStyle w:val="SCCNormalDoubleSpacing"/>
        <w:keepNext/>
        <w:keepLines/>
        <w:rPr>
          <w:b/>
        </w:rPr>
      </w:pPr>
    </w:p>
    <w:p w:rsidR="002E6705" w:rsidRPr="001125F1" w:rsidRDefault="002E6705" w:rsidP="00D74F2E">
      <w:pPr>
        <w:pStyle w:val="SCCNormalDoubleSpacing"/>
        <w:keepNext/>
        <w:keepLines/>
        <w:rPr>
          <w:b/>
        </w:rPr>
      </w:pPr>
      <w:r w:rsidRPr="001961DA">
        <w:rPr>
          <w:b/>
        </w:rPr>
        <w:tab/>
      </w:r>
      <w:r w:rsidR="0043088E" w:rsidRPr="001961DA">
        <w:rPr>
          <w:b/>
        </w:rPr>
        <w:t xml:space="preserve">Arrêts </w:t>
      </w:r>
      <w:r w:rsidR="007F4DA2">
        <w:rPr>
          <w:b/>
        </w:rPr>
        <w:t>appliqués</w:t>
      </w:r>
      <w:r w:rsidR="00F33658" w:rsidRPr="001961DA">
        <w:rPr>
          <w:b/>
        </w:rPr>
        <w:t> </w:t>
      </w:r>
      <w:r w:rsidRPr="001961DA">
        <w:rPr>
          <w:b/>
        </w:rPr>
        <w:t>:</w:t>
      </w:r>
      <w:r w:rsidR="00172A04" w:rsidRPr="001961DA">
        <w:rPr>
          <w:b/>
        </w:rPr>
        <w:t xml:space="preserve"> </w:t>
      </w:r>
      <w:r w:rsidR="001125F1" w:rsidRPr="001125F1">
        <w:rPr>
          <w:i/>
        </w:rPr>
        <w:t>R. c. Chase</w:t>
      </w:r>
      <w:r w:rsidR="001125F1" w:rsidRPr="001125F1">
        <w:t xml:space="preserve">, [1987] 2 R.C.S. 293; </w:t>
      </w:r>
      <w:r w:rsidR="001125F1" w:rsidRPr="001125F1">
        <w:rPr>
          <w:i/>
        </w:rPr>
        <w:t xml:space="preserve">R. c. </w:t>
      </w:r>
      <w:proofErr w:type="spellStart"/>
      <w:r w:rsidR="001125F1" w:rsidRPr="001125F1">
        <w:rPr>
          <w:i/>
        </w:rPr>
        <w:t>Cassidy</w:t>
      </w:r>
      <w:proofErr w:type="spellEnd"/>
      <w:r w:rsidR="00661D85">
        <w:t>, [1989] </w:t>
      </w:r>
      <w:r w:rsidR="007F4DA2">
        <w:t>2 </w:t>
      </w:r>
      <w:r w:rsidR="001125F1" w:rsidRPr="001125F1">
        <w:t>R.C.S. 345.</w:t>
      </w:r>
    </w:p>
    <w:p w:rsidR="007834A8" w:rsidRPr="001961DA" w:rsidRDefault="007834A8" w:rsidP="00172A04">
      <w:pPr>
        <w:pStyle w:val="SCCNormalDoubleSpacing"/>
        <w:rPr>
          <w:b/>
        </w:rPr>
      </w:pPr>
    </w:p>
    <w:p w:rsidR="00231F3A" w:rsidRPr="001961DA" w:rsidRDefault="0043088E" w:rsidP="00F12FB3">
      <w:pPr>
        <w:pStyle w:val="SCCNormalDoubleSpacing"/>
        <w:rPr>
          <w:b/>
        </w:rPr>
      </w:pPr>
      <w:r w:rsidRPr="001961DA">
        <w:rPr>
          <w:b/>
        </w:rPr>
        <w:t>Lois</w:t>
      </w:r>
      <w:r w:rsidR="002E6705" w:rsidRPr="001961DA">
        <w:rPr>
          <w:b/>
        </w:rPr>
        <w:t xml:space="preserve"> </w:t>
      </w:r>
      <w:r w:rsidR="008A6558" w:rsidRPr="001961DA">
        <w:rPr>
          <w:b/>
        </w:rPr>
        <w:t>et</w:t>
      </w:r>
      <w:r w:rsidR="002E6705" w:rsidRPr="001961DA">
        <w:rPr>
          <w:b/>
        </w:rPr>
        <w:t xml:space="preserve"> </w:t>
      </w:r>
      <w:r w:rsidRPr="001961DA">
        <w:rPr>
          <w:b/>
        </w:rPr>
        <w:t>rè</w:t>
      </w:r>
      <w:r w:rsidR="002E6705" w:rsidRPr="001961DA">
        <w:rPr>
          <w:b/>
        </w:rPr>
        <w:t>gl</w:t>
      </w:r>
      <w:r w:rsidRPr="001961DA">
        <w:rPr>
          <w:b/>
        </w:rPr>
        <w:t>ements</w:t>
      </w:r>
      <w:r w:rsidR="002E6705" w:rsidRPr="001961DA">
        <w:rPr>
          <w:b/>
        </w:rPr>
        <w:t xml:space="preserve"> </w:t>
      </w:r>
      <w:r w:rsidRPr="001961DA">
        <w:rPr>
          <w:b/>
        </w:rPr>
        <w:t>c</w:t>
      </w:r>
      <w:r w:rsidR="002E6705" w:rsidRPr="001961DA">
        <w:rPr>
          <w:b/>
        </w:rPr>
        <w:t>it</w:t>
      </w:r>
      <w:r w:rsidRPr="001961DA">
        <w:rPr>
          <w:b/>
        </w:rPr>
        <w:t>és</w:t>
      </w:r>
    </w:p>
    <w:p w:rsidR="000A5321" w:rsidRPr="001961DA" w:rsidRDefault="000A5321" w:rsidP="00F12FB3">
      <w:pPr>
        <w:pStyle w:val="SCCNormalDoubleSpacing"/>
        <w:ind w:left="540" w:hanging="540"/>
        <w:rPr>
          <w:b/>
        </w:rPr>
      </w:pPr>
    </w:p>
    <w:p w:rsidR="000A5321" w:rsidRPr="001961DA" w:rsidRDefault="00F12FB3" w:rsidP="00F12FB3">
      <w:pPr>
        <w:pStyle w:val="SCCNormalDoubleSpacing"/>
        <w:ind w:left="540" w:hanging="540"/>
        <w:rPr>
          <w:b/>
        </w:rPr>
      </w:pPr>
      <w:r w:rsidRPr="0030197A">
        <w:rPr>
          <w:i/>
        </w:rPr>
        <w:t>Code criminel</w:t>
      </w:r>
      <w:r w:rsidRPr="00F12FB3">
        <w:t>, L.R.C. 1985, ch. C-46</w:t>
      </w:r>
      <w:r>
        <w:t xml:space="preserve">, </w:t>
      </w:r>
      <w:r w:rsidR="007F4DA2">
        <w:t xml:space="preserve">art. </w:t>
      </w:r>
      <w:r w:rsidRPr="00F12FB3">
        <w:t>686(4)</w:t>
      </w:r>
      <w:r w:rsidRPr="007F4DA2">
        <w:rPr>
          <w:i/>
        </w:rPr>
        <w:t>b</w:t>
      </w:r>
      <w:proofErr w:type="gramStart"/>
      <w:r w:rsidRPr="00F12FB3">
        <w:t>)</w:t>
      </w:r>
      <w:r w:rsidR="0081795A">
        <w:t>(</w:t>
      </w:r>
      <w:proofErr w:type="gramEnd"/>
      <w:r w:rsidRPr="00F12FB3">
        <w:t>ii).</w:t>
      </w:r>
    </w:p>
    <w:p w:rsidR="000A5321" w:rsidRDefault="000A5321" w:rsidP="00F12FB3">
      <w:pPr>
        <w:pStyle w:val="SCCNormalDoubleSpacing"/>
        <w:ind w:left="540" w:hanging="540"/>
        <w:rPr>
          <w:b/>
        </w:rPr>
      </w:pPr>
    </w:p>
    <w:p w:rsidR="00D5435D" w:rsidRPr="00A24E15" w:rsidRDefault="001961DA" w:rsidP="00D74F2E">
      <w:pPr>
        <w:pStyle w:val="SCCNormalDoubleSpacing"/>
      </w:pPr>
      <w:r>
        <w:tab/>
      </w:r>
      <w:r w:rsidR="009B57B3" w:rsidRPr="00A24E15">
        <w:t>P</w:t>
      </w:r>
      <w:r w:rsidR="0043088E" w:rsidRPr="00A24E15">
        <w:t>OURVOI contre un arrêt de la</w:t>
      </w:r>
      <w:r w:rsidR="009B57B3" w:rsidRPr="00A24E15">
        <w:t xml:space="preserve"> </w:t>
      </w:r>
      <w:r w:rsidR="009B57B3">
        <w:t>Cour d’appel de l’Ontario</w:t>
      </w:r>
      <w:r w:rsidR="00C43ADB">
        <w:t xml:space="preserve"> (les juges Doherty, Blair et Watt), 2010 ONCA 207, 260 O.A.C. 161, 258 C.C.C. (3d) 1, [2010] O.J. </w:t>
      </w:r>
      <w:r w:rsidR="00FA19B8">
        <w:t>No.</w:t>
      </w:r>
      <w:r w:rsidR="00EA7870">
        <w:t> </w:t>
      </w:r>
      <w:r w:rsidR="00C43ADB">
        <w:t xml:space="preserve">1094 (QL), 2010 </w:t>
      </w:r>
      <w:proofErr w:type="spellStart"/>
      <w:r w:rsidR="00C43ADB">
        <w:t>CarswellOnt</w:t>
      </w:r>
      <w:proofErr w:type="spellEnd"/>
      <w:r w:rsidR="00C43ADB">
        <w:t xml:space="preserve"> 1544,</w:t>
      </w:r>
      <w:r w:rsidR="001125F1">
        <w:t xml:space="preserve"> </w:t>
      </w:r>
      <w:r w:rsidR="0082620E">
        <w:t>qui a infirmé l’acquittement de l’accusé relativement à des accusations d’agression sexuelle et consigné un verdict de culpabilité</w:t>
      </w:r>
      <w:r w:rsidR="001125F1">
        <w:t>.</w:t>
      </w:r>
      <w:r w:rsidR="009D0E66">
        <w:t xml:space="preserve">   Pourvoi rejeté.</w:t>
      </w:r>
    </w:p>
    <w:p w:rsidR="00966913" w:rsidRPr="00A24E15" w:rsidRDefault="00966913" w:rsidP="00D74F2E">
      <w:pPr>
        <w:pStyle w:val="SCCNormalDoubleSpacing"/>
      </w:pPr>
    </w:p>
    <w:p w:rsidR="003F3590" w:rsidRDefault="00223077">
      <w:pPr>
        <w:pStyle w:val="SCCNormalDoubleSpacing"/>
      </w:pPr>
      <w:r>
        <w:rPr>
          <w:rStyle w:val="SCCCounselNameChar"/>
        </w:rPr>
        <w:tab/>
        <w:t>Anil K. Kapoor</w:t>
      </w:r>
      <w:r>
        <w:rPr>
          <w:rStyle w:val="SCCCounselSeparatorChar"/>
        </w:rPr>
        <w:t xml:space="preserve"> et </w:t>
      </w:r>
      <w:proofErr w:type="spellStart"/>
      <w:r>
        <w:rPr>
          <w:rStyle w:val="SCCCounselNameChar"/>
        </w:rPr>
        <w:t>Senem</w:t>
      </w:r>
      <w:proofErr w:type="spellEnd"/>
      <w:r>
        <w:rPr>
          <w:rStyle w:val="SCCCounselNameChar"/>
        </w:rPr>
        <w:t xml:space="preserve"> </w:t>
      </w:r>
      <w:proofErr w:type="spellStart"/>
      <w:r>
        <w:rPr>
          <w:rStyle w:val="SCCCounselNameChar"/>
        </w:rPr>
        <w:t>Ozkin</w:t>
      </w:r>
      <w:proofErr w:type="spellEnd"/>
      <w:r w:rsidR="00D24518">
        <w:rPr>
          <w:rStyle w:val="SCCCounselPartyRoleChar"/>
        </w:rPr>
        <w:t>, pour l’</w:t>
      </w:r>
      <w:r>
        <w:rPr>
          <w:rStyle w:val="SCCCounselPartyRoleChar"/>
        </w:rPr>
        <w:t>appelant.</w:t>
      </w:r>
    </w:p>
    <w:p w:rsidR="003F3590" w:rsidRDefault="003F3590">
      <w:pPr>
        <w:pStyle w:val="SCCNormalDoubleSpacing"/>
      </w:pPr>
    </w:p>
    <w:p w:rsidR="003F3590" w:rsidRDefault="00223077">
      <w:pPr>
        <w:pStyle w:val="SCCNormalDoubleSpacing"/>
      </w:pPr>
      <w:r>
        <w:rPr>
          <w:rStyle w:val="SCCCounselNameChar"/>
        </w:rPr>
        <w:tab/>
        <w:t xml:space="preserve">Christine </w:t>
      </w:r>
      <w:proofErr w:type="spellStart"/>
      <w:r>
        <w:rPr>
          <w:rStyle w:val="SCCCounselNameChar"/>
        </w:rPr>
        <w:t>Tier</w:t>
      </w:r>
      <w:proofErr w:type="spellEnd"/>
      <w:r w:rsidR="00D24518">
        <w:rPr>
          <w:rStyle w:val="SCCCounselPartyRoleChar"/>
        </w:rPr>
        <w:t>, pour l’</w:t>
      </w:r>
      <w:r w:rsidR="001961DA">
        <w:rPr>
          <w:rStyle w:val="SCCCounselPartyRoleChar"/>
        </w:rPr>
        <w:t>intimé</w:t>
      </w:r>
      <w:r>
        <w:rPr>
          <w:rStyle w:val="SCCCounselPartyRoleChar"/>
        </w:rPr>
        <w:t>e.</w:t>
      </w:r>
    </w:p>
    <w:p w:rsidR="00D24518" w:rsidRDefault="00D24518" w:rsidP="00D24518">
      <w:pPr>
        <w:pStyle w:val="SCCNormalDoubleSpacing"/>
      </w:pPr>
    </w:p>
    <w:p w:rsidR="002F3928" w:rsidRDefault="002F3928" w:rsidP="00D24518">
      <w:pPr>
        <w:pStyle w:val="SCCNormalDoubleSpacing"/>
      </w:pPr>
      <w:r>
        <w:tab/>
        <w:t>Version française du jugement de la Cour rendu oralement par</w:t>
      </w:r>
    </w:p>
    <w:p w:rsidR="002F3928" w:rsidRDefault="002F3928" w:rsidP="00D24518">
      <w:pPr>
        <w:pStyle w:val="SCCNormalDoubleSpacing"/>
      </w:pPr>
    </w:p>
    <w:p w:rsidR="002F3928" w:rsidRPr="004558FC" w:rsidRDefault="002F3928" w:rsidP="00A60415">
      <w:pPr>
        <w:pStyle w:val="ListParagraph"/>
        <w:numPr>
          <w:ilvl w:val="0"/>
          <w:numId w:val="2"/>
        </w:numPr>
        <w:tabs>
          <w:tab w:val="left" w:pos="1170"/>
        </w:tabs>
        <w:spacing w:after="480" w:line="480" w:lineRule="auto"/>
        <w:ind w:left="0" w:firstLine="0"/>
      </w:pPr>
      <w:r w:rsidRPr="002F3928">
        <w:rPr>
          <w:smallCaps/>
          <w:lang w:val="fr-CA"/>
        </w:rPr>
        <w:t xml:space="preserve">Le juge </w:t>
      </w:r>
      <w:proofErr w:type="spellStart"/>
      <w:r w:rsidRPr="002F3928">
        <w:rPr>
          <w:smallCaps/>
          <w:lang w:val="fr-CA"/>
        </w:rPr>
        <w:t>Binnie</w:t>
      </w:r>
      <w:proofErr w:type="spellEnd"/>
      <w:r w:rsidRPr="002F3928">
        <w:rPr>
          <w:lang w:val="fr-CA"/>
        </w:rPr>
        <w:t xml:space="preserve"> — La seule question en litige dans le présent pourvoi consiste à décider si la Cour d’appel de l’Ontario a fait erreur en consignant un verdict de culpabilité au lieu d’ordonner la tenue d’un nouveau procès à l’égard de trois chefs d’accusation d’agression sexuelle. Depuis l’arrêt </w:t>
      </w:r>
      <w:r w:rsidRPr="0020037B">
        <w:rPr>
          <w:i/>
          <w:lang w:val="fr-CA"/>
        </w:rPr>
        <w:t>R. c. Chase</w:t>
      </w:r>
      <w:r w:rsidRPr="002F3928">
        <w:rPr>
          <w:lang w:val="fr-CA"/>
        </w:rPr>
        <w:t>, [1987] 2 R.C.S. 293, « [l]e critère qui doit être appliqué pour déterminer si la conduite reprochée comporte la nature sexuelle requise est objectif : “Compte tenu de toutes les circonstances, une personne raisonnable peut-elle percevoir le contexte sexuel ou charnel de l’agression?” » (p. 302).  Comme a conclu la Cour d’appel, le juge du procès s’est fondé sur des considérations erronées sur cette question de droit.  Pour faire la preuve d’une agression sexuelle, il n’est pas nécessaire de démontrer un but illégitime ou inavoué.  Au procès, le ministère public a établi hors de tout doute raisonnable que les attouchements ont été commis sur les plaignantes dans des circonstances de nature sexuelle de manière à porter atteinte à l’intégrité sexuell</w:t>
      </w:r>
      <w:r w:rsidR="00A60415">
        <w:rPr>
          <w:lang w:val="fr-CA"/>
        </w:rPr>
        <w:t>e de ces dernières.  Le sous-alinéa</w:t>
      </w:r>
      <w:r w:rsidRPr="002F3928">
        <w:rPr>
          <w:lang w:val="fr-CA"/>
        </w:rPr>
        <w:t xml:space="preserve"> 686(4)</w:t>
      </w:r>
      <w:r w:rsidRPr="00DF6974">
        <w:rPr>
          <w:i/>
          <w:lang w:val="fr-CA"/>
        </w:rPr>
        <w:t>b</w:t>
      </w:r>
      <w:proofErr w:type="gramStart"/>
      <w:r w:rsidRPr="002F3928">
        <w:rPr>
          <w:lang w:val="fr-CA"/>
        </w:rPr>
        <w:t>)</w:t>
      </w:r>
      <w:r w:rsidR="0081795A">
        <w:rPr>
          <w:lang w:val="fr-CA"/>
        </w:rPr>
        <w:t>(</w:t>
      </w:r>
      <w:proofErr w:type="gramEnd"/>
      <w:r w:rsidRPr="002F3928">
        <w:rPr>
          <w:lang w:val="fr-CA"/>
        </w:rPr>
        <w:t xml:space="preserve">ii) du </w:t>
      </w:r>
      <w:r w:rsidRPr="0020037B">
        <w:rPr>
          <w:i/>
          <w:lang w:val="fr-CA"/>
        </w:rPr>
        <w:t>Code criminel</w:t>
      </w:r>
      <w:r w:rsidRPr="002F3928">
        <w:rPr>
          <w:lang w:val="fr-CA"/>
        </w:rPr>
        <w:t>, L.R.C. 1985, ch. C-46</w:t>
      </w:r>
      <w:r w:rsidR="00FA19B8">
        <w:rPr>
          <w:lang w:val="fr-CA"/>
        </w:rPr>
        <w:t>,</w:t>
      </w:r>
      <w:r w:rsidRPr="002F3928">
        <w:rPr>
          <w:lang w:val="fr-CA"/>
        </w:rPr>
        <w:t xml:space="preserve"> habilite la cour d’appel saisie de l’appel d’une décision d’un juge siégeant seul à « consigner un verdict de culpabilité à l’égard de l’infraction dont, à son avis, l’accusé aurait dû être déclaré coupable ».  En l’espèce, le ministère public a prouvé qu’il y avait eu au procès une erreur de droit sans laquelle l’appelant aurait </w:t>
      </w:r>
      <w:r w:rsidR="00A60415">
        <w:rPr>
          <w:lang w:val="fr-CA"/>
        </w:rPr>
        <w:t xml:space="preserve">forcément été déclaré coupable : </w:t>
      </w:r>
      <w:r w:rsidRPr="0020037B">
        <w:rPr>
          <w:i/>
          <w:lang w:val="fr-CA"/>
        </w:rPr>
        <w:t xml:space="preserve">R. c. </w:t>
      </w:r>
      <w:proofErr w:type="spellStart"/>
      <w:r w:rsidRPr="0020037B">
        <w:rPr>
          <w:i/>
          <w:lang w:val="fr-CA"/>
        </w:rPr>
        <w:t>Cassidy</w:t>
      </w:r>
      <w:proofErr w:type="spellEnd"/>
      <w:r w:rsidRPr="002F3928">
        <w:rPr>
          <w:lang w:val="fr-CA"/>
        </w:rPr>
        <w:t>, [1989] 2 R.C.S. 34</w:t>
      </w:r>
      <w:r w:rsidR="00A60415">
        <w:rPr>
          <w:lang w:val="fr-CA"/>
        </w:rPr>
        <w:t>5</w:t>
      </w:r>
      <w:r w:rsidRPr="002F3928">
        <w:rPr>
          <w:lang w:val="fr-CA"/>
        </w:rPr>
        <w:t>.  Par conséquent, malgré l’excellente argumentation de M</w:t>
      </w:r>
      <w:r w:rsidRPr="002F3928">
        <w:rPr>
          <w:vertAlign w:val="superscript"/>
          <w:lang w:val="fr-CA"/>
        </w:rPr>
        <w:t>e</w:t>
      </w:r>
      <w:r w:rsidRPr="002F3928">
        <w:rPr>
          <w:lang w:val="fr-CA"/>
        </w:rPr>
        <w:t xml:space="preserve"> Kapoor, nous sommes tous d’avis que la Cour d’appel est arrivée à la bonne conclusion.  </w:t>
      </w:r>
      <w:r w:rsidRPr="00B73AB9">
        <w:rPr>
          <w:lang w:val="fr-FR"/>
        </w:rPr>
        <w:t>L’appel est donc rejeté</w:t>
      </w:r>
      <w:r>
        <w:rPr>
          <w:lang w:val="fr-FR"/>
        </w:rPr>
        <w:t>.</w:t>
      </w:r>
    </w:p>
    <w:p w:rsidR="0033393C" w:rsidRPr="00C660BF" w:rsidRDefault="0033393C" w:rsidP="0033393C">
      <w:pPr>
        <w:pStyle w:val="SCCNormalDoubleSpacing"/>
        <w:rPr>
          <w:i/>
        </w:rPr>
      </w:pPr>
      <w:r w:rsidRPr="00B73AB9">
        <w:rPr>
          <w:lang w:val="fr-FR"/>
        </w:rPr>
        <w:lastRenderedPageBreak/>
        <w:tab/>
      </w:r>
      <w:proofErr w:type="spellStart"/>
      <w:r w:rsidR="00B73AB9">
        <w:rPr>
          <w:i/>
          <w:lang w:val="en-US"/>
        </w:rPr>
        <w:t>Jugement</w:t>
      </w:r>
      <w:proofErr w:type="spellEnd"/>
      <w:r w:rsidR="00B73AB9">
        <w:rPr>
          <w:i/>
          <w:lang w:val="en-US"/>
        </w:rPr>
        <w:t xml:space="preserve"> en </w:t>
      </w:r>
      <w:proofErr w:type="spellStart"/>
      <w:r w:rsidR="00B73AB9">
        <w:rPr>
          <w:i/>
          <w:lang w:val="en-US"/>
        </w:rPr>
        <w:t>consé</w:t>
      </w:r>
      <w:r w:rsidR="00C660BF" w:rsidRPr="00C660BF">
        <w:rPr>
          <w:i/>
          <w:lang w:val="en-US"/>
        </w:rPr>
        <w:t>quence</w:t>
      </w:r>
      <w:proofErr w:type="spellEnd"/>
      <w:r w:rsidR="00C660BF" w:rsidRPr="00C660BF">
        <w:rPr>
          <w:i/>
          <w:lang w:val="en-US"/>
        </w:rPr>
        <w:t>.</w:t>
      </w:r>
      <w:r w:rsidR="00C660BF" w:rsidRPr="00C660BF">
        <w:rPr>
          <w:i/>
        </w:rPr>
        <w:t xml:space="preserve"> </w:t>
      </w:r>
    </w:p>
    <w:p w:rsidR="0033393C" w:rsidRPr="00C660BF" w:rsidRDefault="0033393C" w:rsidP="0033393C">
      <w:pPr>
        <w:pStyle w:val="SCCNormalDoubleSpacing"/>
        <w:rPr>
          <w:i/>
        </w:rPr>
      </w:pPr>
    </w:p>
    <w:p w:rsidR="003F3590" w:rsidRPr="00C660BF" w:rsidRDefault="00223077">
      <w:pPr>
        <w:pStyle w:val="SCCLawFirm"/>
      </w:pPr>
      <w:r w:rsidRPr="00C660BF">
        <w:tab/>
        <w:t>Procureur</w:t>
      </w:r>
      <w:r w:rsidR="00C660BF" w:rsidRPr="00C660BF">
        <w:t>s</w:t>
      </w:r>
      <w:r w:rsidR="00D24518">
        <w:t xml:space="preserve"> de l’</w:t>
      </w:r>
      <w:r w:rsidRPr="00C660BF">
        <w:t xml:space="preserve">appelant : Kapoor </w:t>
      </w:r>
      <w:proofErr w:type="spellStart"/>
      <w:r w:rsidRPr="00C660BF">
        <w:t>Barristers</w:t>
      </w:r>
      <w:proofErr w:type="spellEnd"/>
      <w:r w:rsidRPr="00C660BF">
        <w:t>, Toronto.</w:t>
      </w:r>
    </w:p>
    <w:p w:rsidR="003F3590" w:rsidRPr="00C660BF" w:rsidRDefault="003F3590">
      <w:pPr>
        <w:pStyle w:val="SCCLawFirm"/>
      </w:pPr>
    </w:p>
    <w:p w:rsidR="003F3590" w:rsidRPr="00C660BF" w:rsidRDefault="00223077">
      <w:pPr>
        <w:pStyle w:val="SCCLawFirm"/>
      </w:pPr>
      <w:r w:rsidRPr="00C660BF">
        <w:tab/>
      </w:r>
      <w:r w:rsidR="00C660BF" w:rsidRPr="00C660BF">
        <w:t>Procureur</w:t>
      </w:r>
      <w:r w:rsidR="00D24518">
        <w:t xml:space="preserve"> de l’</w:t>
      </w:r>
      <w:r w:rsidRPr="00C660BF">
        <w:t>intimée :</w:t>
      </w:r>
      <w:r w:rsidR="00C660BF" w:rsidRPr="00C660BF">
        <w:t xml:space="preserve"> Procureur g</w:t>
      </w:r>
      <w:r w:rsidR="00B73AB9">
        <w:t>é</w:t>
      </w:r>
      <w:r w:rsidR="00C660BF" w:rsidRPr="00C660BF">
        <w:t>n</w:t>
      </w:r>
      <w:r w:rsidR="00B73AB9">
        <w:t>é</w:t>
      </w:r>
      <w:r w:rsidR="00C660BF" w:rsidRPr="00C660BF">
        <w:t>ral de l’Ontario</w:t>
      </w:r>
      <w:r w:rsidRPr="00C660BF">
        <w:t>, Toronto.</w:t>
      </w:r>
    </w:p>
    <w:p w:rsidR="00E24573" w:rsidRDefault="00E24573" w:rsidP="007B6F4A"/>
    <w:sectPr w:rsidR="00E24573" w:rsidSect="006041F5">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DA2" w:rsidRDefault="007F4DA2">
      <w:r>
        <w:separator/>
      </w:r>
    </w:p>
  </w:endnote>
  <w:endnote w:type="continuationSeparator" w:id="0">
    <w:p w:rsidR="007F4DA2" w:rsidRDefault="007F4D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DA2" w:rsidRDefault="007F4DA2">
      <w:r>
        <w:separator/>
      </w:r>
    </w:p>
  </w:footnote>
  <w:footnote w:type="continuationSeparator" w:id="0">
    <w:p w:rsidR="007F4DA2" w:rsidRDefault="007F4D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8465"/>
      <w:docPartObj>
        <w:docPartGallery w:val="Page Numbers (Top of Page)"/>
        <w:docPartUnique/>
      </w:docPartObj>
    </w:sdtPr>
    <w:sdtContent>
      <w:p w:rsidR="007F4DA2" w:rsidRDefault="007F4DA2">
        <w:pPr>
          <w:pStyle w:val="Header"/>
          <w:jc w:val="center"/>
        </w:pPr>
        <w:r>
          <w:t xml:space="preserve">- </w:t>
        </w:r>
        <w:fldSimple w:instr=" PAGE   \* MERGEFORMAT ">
          <w:r w:rsidR="005F0805">
            <w:rPr>
              <w:noProof/>
            </w:rPr>
            <w:t>5</w:t>
          </w:r>
        </w:fldSimple>
        <w:r>
          <w:t xml:space="preserve"> -</w:t>
        </w:r>
      </w:p>
    </w:sdtContent>
  </w:sdt>
  <w:p w:rsidR="007F4DA2" w:rsidRDefault="007F4D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E560E"/>
    <w:multiLevelType w:val="hybridMultilevel"/>
    <w:tmpl w:val="433E21AE"/>
    <w:lvl w:ilvl="0" w:tplc="F9667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3729"/>
  </w:hdrShapeDefaults>
  <w:footnotePr>
    <w:footnote w:id="-1"/>
    <w:footnote w:id="0"/>
  </w:footnotePr>
  <w:endnotePr>
    <w:endnote w:id="-1"/>
    <w:endnote w:id="0"/>
  </w:endnotePr>
  <w:compat/>
  <w:rsids>
    <w:rsidRoot w:val="0031414C"/>
    <w:rsid w:val="00025198"/>
    <w:rsid w:val="00055A36"/>
    <w:rsid w:val="000578A3"/>
    <w:rsid w:val="00064563"/>
    <w:rsid w:val="000648CC"/>
    <w:rsid w:val="00075AD6"/>
    <w:rsid w:val="00083A1F"/>
    <w:rsid w:val="00094DE0"/>
    <w:rsid w:val="000A5321"/>
    <w:rsid w:val="000C59B8"/>
    <w:rsid w:val="00111DE2"/>
    <w:rsid w:val="001125F1"/>
    <w:rsid w:val="00116B38"/>
    <w:rsid w:val="0013109F"/>
    <w:rsid w:val="00135406"/>
    <w:rsid w:val="00135972"/>
    <w:rsid w:val="00140667"/>
    <w:rsid w:val="001426A9"/>
    <w:rsid w:val="00154D7C"/>
    <w:rsid w:val="001570B0"/>
    <w:rsid w:val="001600D0"/>
    <w:rsid w:val="00165AA3"/>
    <w:rsid w:val="00172A04"/>
    <w:rsid w:val="00175A97"/>
    <w:rsid w:val="00185394"/>
    <w:rsid w:val="001961DA"/>
    <w:rsid w:val="001A451D"/>
    <w:rsid w:val="001B33E0"/>
    <w:rsid w:val="001B4573"/>
    <w:rsid w:val="001C779F"/>
    <w:rsid w:val="001D2AC1"/>
    <w:rsid w:val="001F7673"/>
    <w:rsid w:val="0020037B"/>
    <w:rsid w:val="00220FC2"/>
    <w:rsid w:val="00223077"/>
    <w:rsid w:val="00224FC0"/>
    <w:rsid w:val="00225EA4"/>
    <w:rsid w:val="00226EAF"/>
    <w:rsid w:val="00231F3A"/>
    <w:rsid w:val="002406EE"/>
    <w:rsid w:val="00255B62"/>
    <w:rsid w:val="002745CC"/>
    <w:rsid w:val="002D39A4"/>
    <w:rsid w:val="002D7FFA"/>
    <w:rsid w:val="002E6705"/>
    <w:rsid w:val="002F3928"/>
    <w:rsid w:val="002F696C"/>
    <w:rsid w:val="0030197A"/>
    <w:rsid w:val="0030329A"/>
    <w:rsid w:val="00307AFD"/>
    <w:rsid w:val="0031086F"/>
    <w:rsid w:val="00310E05"/>
    <w:rsid w:val="0031414C"/>
    <w:rsid w:val="00314E01"/>
    <w:rsid w:val="0032089D"/>
    <w:rsid w:val="0033393C"/>
    <w:rsid w:val="0034770C"/>
    <w:rsid w:val="0035259D"/>
    <w:rsid w:val="003866EC"/>
    <w:rsid w:val="00394476"/>
    <w:rsid w:val="003A4C70"/>
    <w:rsid w:val="003A4E15"/>
    <w:rsid w:val="003C799C"/>
    <w:rsid w:val="003E1C71"/>
    <w:rsid w:val="003F327B"/>
    <w:rsid w:val="003F3590"/>
    <w:rsid w:val="004059A7"/>
    <w:rsid w:val="00406166"/>
    <w:rsid w:val="00411300"/>
    <w:rsid w:val="00426659"/>
    <w:rsid w:val="0043088E"/>
    <w:rsid w:val="00432BCF"/>
    <w:rsid w:val="004439D8"/>
    <w:rsid w:val="00465132"/>
    <w:rsid w:val="00480C90"/>
    <w:rsid w:val="0048396F"/>
    <w:rsid w:val="00493C18"/>
    <w:rsid w:val="00494CDC"/>
    <w:rsid w:val="004A600C"/>
    <w:rsid w:val="004C478D"/>
    <w:rsid w:val="004D0703"/>
    <w:rsid w:val="004E6A2C"/>
    <w:rsid w:val="00521AE8"/>
    <w:rsid w:val="00527180"/>
    <w:rsid w:val="00536719"/>
    <w:rsid w:val="005564A7"/>
    <w:rsid w:val="005E4698"/>
    <w:rsid w:val="005F0805"/>
    <w:rsid w:val="006041F5"/>
    <w:rsid w:val="00625C35"/>
    <w:rsid w:val="00631360"/>
    <w:rsid w:val="00634E1B"/>
    <w:rsid w:val="00645057"/>
    <w:rsid w:val="00654858"/>
    <w:rsid w:val="006565F4"/>
    <w:rsid w:val="00661D85"/>
    <w:rsid w:val="00681AD1"/>
    <w:rsid w:val="006A56F1"/>
    <w:rsid w:val="006B5FF5"/>
    <w:rsid w:val="006C5661"/>
    <w:rsid w:val="006D4790"/>
    <w:rsid w:val="00701759"/>
    <w:rsid w:val="00702C6F"/>
    <w:rsid w:val="00747288"/>
    <w:rsid w:val="00747DD3"/>
    <w:rsid w:val="00752F4E"/>
    <w:rsid w:val="007549C8"/>
    <w:rsid w:val="00756884"/>
    <w:rsid w:val="00762D30"/>
    <w:rsid w:val="00763377"/>
    <w:rsid w:val="00766D14"/>
    <w:rsid w:val="00767A0F"/>
    <w:rsid w:val="0078123A"/>
    <w:rsid w:val="007834A8"/>
    <w:rsid w:val="007A05F6"/>
    <w:rsid w:val="007A4AD1"/>
    <w:rsid w:val="007B6F4A"/>
    <w:rsid w:val="007E1C47"/>
    <w:rsid w:val="007E337A"/>
    <w:rsid w:val="007E5C70"/>
    <w:rsid w:val="007F2FF5"/>
    <w:rsid w:val="007F4DA2"/>
    <w:rsid w:val="00812552"/>
    <w:rsid w:val="00817190"/>
    <w:rsid w:val="0081795A"/>
    <w:rsid w:val="0082620E"/>
    <w:rsid w:val="008322BD"/>
    <w:rsid w:val="00855307"/>
    <w:rsid w:val="00862CF3"/>
    <w:rsid w:val="00864CF8"/>
    <w:rsid w:val="00874914"/>
    <w:rsid w:val="00892E1A"/>
    <w:rsid w:val="008958F5"/>
    <w:rsid w:val="008A6558"/>
    <w:rsid w:val="008A727C"/>
    <w:rsid w:val="008C01DA"/>
    <w:rsid w:val="008F16D9"/>
    <w:rsid w:val="008F78E9"/>
    <w:rsid w:val="00902462"/>
    <w:rsid w:val="009403F3"/>
    <w:rsid w:val="00957FA2"/>
    <w:rsid w:val="00966913"/>
    <w:rsid w:val="00967374"/>
    <w:rsid w:val="0097543E"/>
    <w:rsid w:val="00983F3F"/>
    <w:rsid w:val="00985C69"/>
    <w:rsid w:val="0099079B"/>
    <w:rsid w:val="009B2F23"/>
    <w:rsid w:val="009B53E2"/>
    <w:rsid w:val="009B57B3"/>
    <w:rsid w:val="009D0E66"/>
    <w:rsid w:val="009D1E98"/>
    <w:rsid w:val="009D5AEB"/>
    <w:rsid w:val="009F383F"/>
    <w:rsid w:val="009F7C01"/>
    <w:rsid w:val="00A05F0E"/>
    <w:rsid w:val="00A21107"/>
    <w:rsid w:val="00A21B90"/>
    <w:rsid w:val="00A24E15"/>
    <w:rsid w:val="00A548CB"/>
    <w:rsid w:val="00A60415"/>
    <w:rsid w:val="00A6242E"/>
    <w:rsid w:val="00A643E7"/>
    <w:rsid w:val="00A73C38"/>
    <w:rsid w:val="00AC7437"/>
    <w:rsid w:val="00AC7A44"/>
    <w:rsid w:val="00AF03C5"/>
    <w:rsid w:val="00B000D8"/>
    <w:rsid w:val="00B00F75"/>
    <w:rsid w:val="00B145B6"/>
    <w:rsid w:val="00B50C81"/>
    <w:rsid w:val="00B557F8"/>
    <w:rsid w:val="00B64972"/>
    <w:rsid w:val="00B66DD8"/>
    <w:rsid w:val="00B73AB9"/>
    <w:rsid w:val="00B8145D"/>
    <w:rsid w:val="00B815FC"/>
    <w:rsid w:val="00B93FBC"/>
    <w:rsid w:val="00BD6500"/>
    <w:rsid w:val="00C0029E"/>
    <w:rsid w:val="00C02092"/>
    <w:rsid w:val="00C057F7"/>
    <w:rsid w:val="00C24C8C"/>
    <w:rsid w:val="00C24D91"/>
    <w:rsid w:val="00C43ADB"/>
    <w:rsid w:val="00C52532"/>
    <w:rsid w:val="00C53F14"/>
    <w:rsid w:val="00C55C2E"/>
    <w:rsid w:val="00C600CF"/>
    <w:rsid w:val="00C6084F"/>
    <w:rsid w:val="00C62A66"/>
    <w:rsid w:val="00C62A6F"/>
    <w:rsid w:val="00C660BF"/>
    <w:rsid w:val="00C67CA5"/>
    <w:rsid w:val="00C71458"/>
    <w:rsid w:val="00C71F58"/>
    <w:rsid w:val="00C77613"/>
    <w:rsid w:val="00C828E7"/>
    <w:rsid w:val="00C921DD"/>
    <w:rsid w:val="00CA0936"/>
    <w:rsid w:val="00CA4D82"/>
    <w:rsid w:val="00CA6391"/>
    <w:rsid w:val="00CC1650"/>
    <w:rsid w:val="00CE3171"/>
    <w:rsid w:val="00CF1601"/>
    <w:rsid w:val="00D146D7"/>
    <w:rsid w:val="00D20B4A"/>
    <w:rsid w:val="00D24518"/>
    <w:rsid w:val="00D32086"/>
    <w:rsid w:val="00D37A3F"/>
    <w:rsid w:val="00D45FCF"/>
    <w:rsid w:val="00D4667A"/>
    <w:rsid w:val="00D510BB"/>
    <w:rsid w:val="00D5435D"/>
    <w:rsid w:val="00D74F2E"/>
    <w:rsid w:val="00DA0590"/>
    <w:rsid w:val="00DC1788"/>
    <w:rsid w:val="00DC48A3"/>
    <w:rsid w:val="00DF0CA8"/>
    <w:rsid w:val="00DF49A7"/>
    <w:rsid w:val="00DF6974"/>
    <w:rsid w:val="00E01106"/>
    <w:rsid w:val="00E07EE2"/>
    <w:rsid w:val="00E22ECE"/>
    <w:rsid w:val="00E24573"/>
    <w:rsid w:val="00E377A1"/>
    <w:rsid w:val="00E45109"/>
    <w:rsid w:val="00E54B02"/>
    <w:rsid w:val="00E63BA3"/>
    <w:rsid w:val="00E95EE2"/>
    <w:rsid w:val="00E97830"/>
    <w:rsid w:val="00EA03E5"/>
    <w:rsid w:val="00EA7870"/>
    <w:rsid w:val="00EE0FAF"/>
    <w:rsid w:val="00F00EB7"/>
    <w:rsid w:val="00F12FB3"/>
    <w:rsid w:val="00F2258E"/>
    <w:rsid w:val="00F33658"/>
    <w:rsid w:val="00F36AB6"/>
    <w:rsid w:val="00F373F1"/>
    <w:rsid w:val="00F409CE"/>
    <w:rsid w:val="00F472E1"/>
    <w:rsid w:val="00F566B4"/>
    <w:rsid w:val="00F715B3"/>
    <w:rsid w:val="00F84DF4"/>
    <w:rsid w:val="00F853FB"/>
    <w:rsid w:val="00F85C97"/>
    <w:rsid w:val="00FA19B8"/>
    <w:rsid w:val="00FA2FE1"/>
    <w:rsid w:val="00FC606D"/>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3866EC"/>
    <w:pPr>
      <w:spacing w:line="480" w:lineRule="auto"/>
      <w:jc w:val="both"/>
    </w:pPr>
  </w:style>
  <w:style w:type="character" w:customStyle="1" w:styleId="SCCNormalDoubleSpacingChar">
    <w:name w:val="SCC.Normal.DoubleSpacing Char"/>
    <w:basedOn w:val="DefaultParagraphFont"/>
    <w:link w:val="SCCNormalDoubleSpacing"/>
    <w:rsid w:val="003866EC"/>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styleId="ListParagraph">
    <w:name w:val="List Paragraph"/>
    <w:basedOn w:val="Normal"/>
    <w:uiPriority w:val="34"/>
    <w:qFormat/>
    <w:rsid w:val="002F3928"/>
    <w:pPr>
      <w:ind w:left="720"/>
    </w:pPr>
    <w:rPr>
      <w:lang w:val="en-CA"/>
    </w:rPr>
  </w:style>
  <w:style w:type="table" w:styleId="TableGrid">
    <w:name w:val="Table Grid"/>
    <w:basedOn w:val="TableNormal"/>
    <w:uiPriority w:val="59"/>
    <w:rsid w:val="00CA0936"/>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LsocPrefix">
    <w:name w:val="SCC.Lsoc.Prefix"/>
    <w:basedOn w:val="Normal"/>
    <w:next w:val="Normal"/>
    <w:link w:val="SCCLsocPrefixChar"/>
    <w:rsid w:val="00CA0936"/>
    <w:rPr>
      <w:rFonts w:eastAsiaTheme="minorHAnsi" w:cstheme="minorBidi"/>
      <w:b/>
      <w:smallCaps/>
      <w:szCs w:val="24"/>
      <w:lang w:eastAsia="en-US"/>
    </w:rPr>
  </w:style>
  <w:style w:type="character" w:customStyle="1" w:styleId="SCCLsocPrefixChar">
    <w:name w:val="SCC.Lsoc.Prefix Char"/>
    <w:basedOn w:val="DefaultParagraphFont"/>
    <w:link w:val="SCCLsocPrefix"/>
    <w:rsid w:val="00CA0936"/>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7CD01-C6BA-4E99-879D-7B5C126C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580</Words>
  <Characters>3118</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2011-03-25T19:04:00Z</dcterms:created>
  <dcterms:modified xsi:type="dcterms:W3CDTF">2011-03-25T19:04:00Z</dcterms:modified>
</cp:coreProperties>
</file>