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23" w:rsidRPr="00F82344" w:rsidRDefault="00442F23" w:rsidP="00442F23">
      <w:pPr>
        <w:tabs>
          <w:tab w:val="center" w:pos="4680"/>
          <w:tab w:val="right" w:pos="9360"/>
        </w:tabs>
        <w:jc w:val="center"/>
        <w:rPr>
          <w:rFonts w:eastAsiaTheme="minorHAnsi" w:cstheme="minorBidi"/>
          <w:szCs w:val="24"/>
          <w:lang w:val="fr-CA" w:eastAsia="en-US"/>
        </w:rPr>
      </w:pPr>
      <w:r w:rsidRPr="00F82344">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1388169" r:id="rId9"/>
        </w:object>
      </w:r>
    </w:p>
    <w:p w:rsidR="00442F23" w:rsidRPr="00F82344" w:rsidRDefault="00442F23" w:rsidP="00442F23">
      <w:pPr>
        <w:tabs>
          <w:tab w:val="center" w:pos="4680"/>
          <w:tab w:val="right" w:pos="9360"/>
        </w:tabs>
        <w:rPr>
          <w:rFonts w:eastAsiaTheme="minorHAnsi" w:cstheme="minorBidi"/>
          <w:szCs w:val="24"/>
          <w:lang w:val="fr-CA" w:eastAsia="en-US"/>
        </w:rPr>
      </w:pPr>
    </w:p>
    <w:p w:rsidR="00442F23" w:rsidRPr="00F82344" w:rsidRDefault="00442F23" w:rsidP="00442F23">
      <w:pPr>
        <w:jc w:val="center"/>
        <w:rPr>
          <w:rFonts w:eastAsiaTheme="minorHAnsi" w:cstheme="minorBidi"/>
          <w:b/>
          <w:szCs w:val="24"/>
          <w:lang w:val="fr-CA" w:eastAsia="en-US"/>
        </w:rPr>
      </w:pPr>
      <w:r w:rsidRPr="00F82344">
        <w:rPr>
          <w:rFonts w:eastAsiaTheme="minorHAnsi" w:cstheme="minorBidi"/>
          <w:b/>
          <w:szCs w:val="24"/>
          <w:lang w:val="fr-CA" w:eastAsia="en-US"/>
        </w:rPr>
        <w:t>COUR SUPRÊME DU CANADA</w:t>
      </w:r>
    </w:p>
    <w:p w:rsidR="00442F23" w:rsidRPr="00F82344" w:rsidRDefault="00442F23" w:rsidP="00442F23">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42F23" w:rsidRPr="00F82344" w:rsidTr="00380C2B">
        <w:trPr>
          <w:cantSplit/>
        </w:trPr>
        <w:tc>
          <w:tcPr>
            <w:tcW w:w="6768" w:type="dxa"/>
          </w:tcPr>
          <w:p w:rsidR="00442F23" w:rsidRPr="00F82344" w:rsidRDefault="00442F23" w:rsidP="00380C2B">
            <w:pPr>
              <w:rPr>
                <w:lang w:val="fr-CA"/>
              </w:rPr>
            </w:pPr>
            <w:r w:rsidRPr="00F82344">
              <w:rPr>
                <w:b/>
                <w:smallCaps/>
                <w:lang w:val="fr-CA"/>
              </w:rPr>
              <w:t>Référence :</w:t>
            </w:r>
            <w:r w:rsidRPr="00F82344">
              <w:rPr>
                <w:lang w:val="fr-CA"/>
              </w:rPr>
              <w:t xml:space="preserve"> </w:t>
            </w:r>
            <w:r w:rsidRPr="00152DEC">
              <w:rPr>
                <w:lang w:val="fr-CA"/>
              </w:rPr>
              <w:t>R.</w:t>
            </w:r>
            <w:r w:rsidRPr="00F82344">
              <w:rPr>
                <w:b/>
                <w:lang w:val="fr-CA"/>
              </w:rPr>
              <w:t xml:space="preserve"> </w:t>
            </w:r>
            <w:r w:rsidRPr="00F82344">
              <w:rPr>
                <w:b/>
                <w:i/>
                <w:lang w:val="fr-CA"/>
              </w:rPr>
              <w:t>c.</w:t>
            </w:r>
            <w:r w:rsidRPr="00F82344">
              <w:rPr>
                <w:b/>
                <w:lang w:val="fr-CA"/>
              </w:rPr>
              <w:t xml:space="preserve"> </w:t>
            </w:r>
            <w:r w:rsidRPr="00152DEC">
              <w:rPr>
                <w:lang w:val="fr-CA"/>
              </w:rPr>
              <w:t xml:space="preserve">Ryan, </w:t>
            </w:r>
            <w:r>
              <w:rPr>
                <w:lang w:val="fr-CA"/>
              </w:rPr>
              <w:t>2013 CSC 3, [2013] 1 R.C.S. 14</w:t>
            </w:r>
          </w:p>
        </w:tc>
        <w:tc>
          <w:tcPr>
            <w:tcW w:w="2808" w:type="dxa"/>
          </w:tcPr>
          <w:p w:rsidR="00442F23" w:rsidRPr="00F82344" w:rsidRDefault="00442F23" w:rsidP="00380C2B">
            <w:pPr>
              <w:rPr>
                <w:lang w:val="fr-CA"/>
              </w:rPr>
            </w:pPr>
            <w:r w:rsidRPr="00F82344">
              <w:rPr>
                <w:b/>
                <w:smallCaps/>
                <w:lang w:val="fr-CA"/>
              </w:rPr>
              <w:t>Date :</w:t>
            </w:r>
            <w:r w:rsidRPr="00F82344">
              <w:rPr>
                <w:lang w:val="fr-CA"/>
              </w:rPr>
              <w:t xml:space="preserve"> 20130118</w:t>
            </w:r>
          </w:p>
          <w:p w:rsidR="00442F23" w:rsidRPr="00F82344" w:rsidRDefault="00442F23" w:rsidP="00380C2B">
            <w:pPr>
              <w:rPr>
                <w:lang w:val="fr-CA"/>
              </w:rPr>
            </w:pPr>
            <w:r w:rsidRPr="00F82344">
              <w:rPr>
                <w:b/>
                <w:smallCaps/>
                <w:lang w:val="fr-CA"/>
              </w:rPr>
              <w:t>Dossier :</w:t>
            </w:r>
            <w:r w:rsidRPr="00F82344">
              <w:rPr>
                <w:lang w:val="fr-CA"/>
              </w:rPr>
              <w:t xml:space="preserve"> 34272</w:t>
            </w:r>
          </w:p>
        </w:tc>
      </w:tr>
    </w:tbl>
    <w:p w:rsidR="00442F23" w:rsidRPr="00F82344" w:rsidRDefault="00442F23" w:rsidP="00442F23">
      <w:pPr>
        <w:rPr>
          <w:rFonts w:eastAsiaTheme="minorHAnsi" w:cstheme="minorBidi"/>
          <w:szCs w:val="24"/>
          <w:lang w:val="fr-CA" w:eastAsia="en-US"/>
        </w:rPr>
      </w:pPr>
    </w:p>
    <w:p w:rsidR="00442F23" w:rsidRPr="00F82344" w:rsidRDefault="00442F23" w:rsidP="00442F23">
      <w:pPr>
        <w:rPr>
          <w:rFonts w:eastAsiaTheme="minorHAnsi" w:cstheme="minorBidi"/>
          <w:b/>
          <w:smallCaps/>
          <w:szCs w:val="24"/>
          <w:lang w:val="fr-CA" w:eastAsia="en-US"/>
        </w:rPr>
      </w:pPr>
      <w:r w:rsidRPr="00F82344">
        <w:rPr>
          <w:rFonts w:eastAsiaTheme="minorHAnsi" w:cstheme="minorBidi"/>
          <w:b/>
          <w:smallCaps/>
          <w:szCs w:val="24"/>
          <w:lang w:val="fr-CA" w:eastAsia="en-US"/>
        </w:rPr>
        <w:t>Entre :</w:t>
      </w:r>
    </w:p>
    <w:p w:rsidR="00442F23" w:rsidRPr="00F82344" w:rsidRDefault="00442F23" w:rsidP="00442F23">
      <w:pPr>
        <w:jc w:val="center"/>
        <w:rPr>
          <w:rFonts w:eastAsiaTheme="minorHAnsi" w:cstheme="minorBidi"/>
          <w:b/>
          <w:szCs w:val="24"/>
          <w:lang w:val="fr-CA" w:eastAsia="en-US"/>
        </w:rPr>
      </w:pPr>
      <w:r w:rsidRPr="00F82344">
        <w:rPr>
          <w:rFonts w:eastAsiaTheme="minorHAnsi" w:cstheme="minorBidi"/>
          <w:b/>
          <w:szCs w:val="24"/>
          <w:lang w:val="fr-CA" w:eastAsia="en-US"/>
        </w:rPr>
        <w:t>Sa Majesté la Reine</w:t>
      </w:r>
    </w:p>
    <w:p w:rsidR="00442F23" w:rsidRPr="00F82344" w:rsidRDefault="00442F23" w:rsidP="00442F23">
      <w:pPr>
        <w:jc w:val="center"/>
        <w:rPr>
          <w:rFonts w:eastAsiaTheme="minorHAnsi" w:cstheme="minorBidi"/>
          <w:szCs w:val="24"/>
          <w:lang w:val="fr-CA" w:eastAsia="en-US"/>
        </w:rPr>
      </w:pPr>
      <w:r w:rsidRPr="00F82344">
        <w:rPr>
          <w:rFonts w:eastAsiaTheme="minorHAnsi" w:cstheme="minorBidi"/>
          <w:szCs w:val="24"/>
          <w:lang w:val="fr-CA" w:eastAsia="en-US"/>
        </w:rPr>
        <w:t>Appelante</w:t>
      </w:r>
    </w:p>
    <w:p w:rsidR="00442F23" w:rsidRPr="00F82344" w:rsidRDefault="00442F23" w:rsidP="00442F23">
      <w:pPr>
        <w:jc w:val="center"/>
        <w:rPr>
          <w:rFonts w:eastAsiaTheme="minorHAnsi" w:cstheme="minorBidi"/>
          <w:szCs w:val="24"/>
          <w:lang w:val="fr-CA" w:eastAsia="en-US"/>
        </w:rPr>
      </w:pPr>
      <w:r w:rsidRPr="00F82344">
        <w:rPr>
          <w:rFonts w:eastAsiaTheme="minorHAnsi" w:cstheme="minorBidi"/>
          <w:szCs w:val="24"/>
          <w:lang w:val="fr-CA" w:eastAsia="en-US"/>
        </w:rPr>
        <w:t>et</w:t>
      </w:r>
    </w:p>
    <w:p w:rsidR="00442F23" w:rsidRPr="00F82344" w:rsidRDefault="00442F23" w:rsidP="00442F23">
      <w:pPr>
        <w:jc w:val="center"/>
        <w:rPr>
          <w:rFonts w:eastAsiaTheme="minorHAnsi" w:cstheme="minorBidi"/>
          <w:b/>
          <w:szCs w:val="24"/>
          <w:lang w:val="fr-CA" w:eastAsia="en-US"/>
        </w:rPr>
      </w:pPr>
      <w:r w:rsidRPr="00F82344">
        <w:rPr>
          <w:rFonts w:eastAsiaTheme="minorHAnsi" w:cstheme="minorBidi"/>
          <w:b/>
          <w:szCs w:val="24"/>
          <w:lang w:val="fr-CA" w:eastAsia="en-US"/>
        </w:rPr>
        <w:t>Nicole Patricia Ryan</w:t>
      </w:r>
    </w:p>
    <w:p w:rsidR="00442F23" w:rsidRPr="00F82344" w:rsidRDefault="00442F23" w:rsidP="00442F23">
      <w:pPr>
        <w:jc w:val="center"/>
        <w:rPr>
          <w:rFonts w:eastAsiaTheme="minorHAnsi" w:cstheme="minorBidi"/>
          <w:szCs w:val="24"/>
          <w:lang w:val="fr-CA" w:eastAsia="en-US"/>
        </w:rPr>
      </w:pPr>
      <w:r w:rsidRPr="00F82344">
        <w:rPr>
          <w:rFonts w:eastAsiaTheme="minorHAnsi" w:cstheme="minorBidi"/>
          <w:szCs w:val="24"/>
          <w:lang w:val="fr-CA" w:eastAsia="en-US"/>
        </w:rPr>
        <w:t>Intimée</w:t>
      </w:r>
    </w:p>
    <w:p w:rsidR="00442F23" w:rsidRPr="00F82344" w:rsidRDefault="00442F23" w:rsidP="00442F23">
      <w:pPr>
        <w:jc w:val="center"/>
        <w:rPr>
          <w:rFonts w:eastAsiaTheme="minorHAnsi" w:cstheme="minorBidi"/>
          <w:szCs w:val="24"/>
          <w:lang w:val="fr-CA" w:eastAsia="en-US"/>
        </w:rPr>
      </w:pPr>
      <w:r w:rsidRPr="00F82344">
        <w:rPr>
          <w:rFonts w:eastAsiaTheme="minorHAnsi" w:cstheme="minorBidi"/>
          <w:szCs w:val="24"/>
          <w:lang w:val="fr-CA" w:eastAsia="en-US"/>
        </w:rPr>
        <w:t>- et -</w:t>
      </w:r>
    </w:p>
    <w:p w:rsidR="00442F23" w:rsidRPr="00F82344" w:rsidRDefault="00442F23" w:rsidP="00442F23">
      <w:pPr>
        <w:jc w:val="center"/>
        <w:rPr>
          <w:rFonts w:eastAsiaTheme="minorHAnsi" w:cstheme="minorBidi"/>
          <w:b/>
          <w:szCs w:val="24"/>
          <w:lang w:val="fr-CA" w:eastAsia="en-US"/>
        </w:rPr>
      </w:pPr>
      <w:r w:rsidRPr="00F82344">
        <w:rPr>
          <w:rFonts w:eastAsiaTheme="minorHAnsi" w:cstheme="minorBidi"/>
          <w:b/>
          <w:szCs w:val="24"/>
          <w:lang w:val="fr-CA" w:eastAsia="en-US"/>
        </w:rPr>
        <w:t xml:space="preserve">Procureur général de l’Ontario, Association canadienne des </w:t>
      </w:r>
    </w:p>
    <w:p w:rsidR="00442F23" w:rsidRPr="00152DEC" w:rsidRDefault="00442F23" w:rsidP="00442F23">
      <w:pPr>
        <w:jc w:val="center"/>
        <w:rPr>
          <w:rFonts w:eastAsiaTheme="minorHAnsi"/>
          <w:b/>
          <w:lang w:val="fr-CA"/>
        </w:rPr>
      </w:pPr>
      <w:r w:rsidRPr="00F82344">
        <w:rPr>
          <w:rFonts w:eastAsiaTheme="minorHAnsi" w:cstheme="minorBidi"/>
          <w:b/>
          <w:szCs w:val="24"/>
          <w:lang w:val="fr-CA" w:eastAsia="en-US"/>
        </w:rPr>
        <w:t xml:space="preserve">Sociétés Elizabeth Fry, Fonds d’action </w:t>
      </w:r>
      <w:r w:rsidRPr="00152DEC">
        <w:rPr>
          <w:rFonts w:eastAsiaTheme="minorHAnsi"/>
          <w:b/>
          <w:lang w:val="fr-CA"/>
        </w:rPr>
        <w:t xml:space="preserve">et d’éducation juridiques </w:t>
      </w:r>
    </w:p>
    <w:p w:rsidR="00442F23" w:rsidRPr="00F82344" w:rsidRDefault="00442F23" w:rsidP="00442F23">
      <w:pPr>
        <w:jc w:val="center"/>
        <w:rPr>
          <w:rFonts w:eastAsiaTheme="minorHAnsi" w:cstheme="minorBidi"/>
          <w:b/>
          <w:szCs w:val="24"/>
          <w:lang w:val="fr-CA" w:eastAsia="en-US"/>
        </w:rPr>
      </w:pPr>
      <w:r w:rsidRPr="00152DEC">
        <w:rPr>
          <w:rFonts w:eastAsiaTheme="minorHAnsi"/>
          <w:b/>
          <w:lang w:val="fr-CA"/>
        </w:rPr>
        <w:t>pour les femmes</w:t>
      </w:r>
      <w:r w:rsidRPr="00F82344">
        <w:rPr>
          <w:rFonts w:eastAsiaTheme="minorHAnsi" w:cstheme="minorBidi"/>
          <w:b/>
          <w:szCs w:val="24"/>
          <w:lang w:val="fr-CA" w:eastAsia="en-US"/>
        </w:rPr>
        <w:t xml:space="preserve"> et Criminal Lawyers’ Association of Ontario</w:t>
      </w:r>
    </w:p>
    <w:p w:rsidR="00442F23" w:rsidRPr="00F82344" w:rsidRDefault="00442F23" w:rsidP="00442F23">
      <w:pPr>
        <w:jc w:val="center"/>
        <w:rPr>
          <w:rFonts w:eastAsiaTheme="minorHAnsi" w:cstheme="minorBidi"/>
          <w:szCs w:val="24"/>
          <w:lang w:val="fr-CA" w:eastAsia="en-US"/>
        </w:rPr>
      </w:pPr>
      <w:r w:rsidRPr="00F82344">
        <w:rPr>
          <w:rFonts w:eastAsiaTheme="minorHAnsi" w:cstheme="minorBidi"/>
          <w:szCs w:val="24"/>
          <w:lang w:val="fr-CA" w:eastAsia="en-US"/>
        </w:rPr>
        <w:t>Intervenants</w:t>
      </w:r>
    </w:p>
    <w:p w:rsidR="00442F23" w:rsidRPr="00F82344" w:rsidRDefault="00442F23" w:rsidP="00442F23">
      <w:pPr>
        <w:rPr>
          <w:rFonts w:eastAsiaTheme="minorHAnsi" w:cstheme="minorBidi"/>
          <w:szCs w:val="24"/>
          <w:lang w:val="fr-CA" w:eastAsia="en-US"/>
        </w:rPr>
      </w:pPr>
    </w:p>
    <w:p w:rsidR="00442F23" w:rsidRPr="00F82344" w:rsidRDefault="00442F23" w:rsidP="00442F23">
      <w:pPr>
        <w:jc w:val="center"/>
        <w:rPr>
          <w:rFonts w:eastAsiaTheme="minorHAnsi" w:cstheme="minorBidi"/>
          <w:b/>
          <w:smallCaps/>
          <w:szCs w:val="24"/>
          <w:lang w:val="fr-CA" w:eastAsia="en-US"/>
        </w:rPr>
      </w:pPr>
      <w:r w:rsidRPr="00F82344">
        <w:rPr>
          <w:rFonts w:eastAsiaTheme="minorHAnsi" w:cstheme="minorBidi"/>
          <w:b/>
          <w:smallCaps/>
          <w:szCs w:val="24"/>
          <w:lang w:val="fr-CA" w:eastAsia="en-US"/>
        </w:rPr>
        <w:t>Traduction française officielle</w:t>
      </w:r>
    </w:p>
    <w:p w:rsidR="00442F23" w:rsidRPr="00F82344" w:rsidRDefault="00442F23" w:rsidP="00442F23">
      <w:pPr>
        <w:rPr>
          <w:rFonts w:eastAsiaTheme="minorHAnsi" w:cstheme="minorBidi"/>
          <w:szCs w:val="24"/>
          <w:lang w:val="fr-CA" w:eastAsia="en-US"/>
        </w:rPr>
      </w:pPr>
    </w:p>
    <w:p w:rsidR="00442F23" w:rsidRPr="00F82344" w:rsidRDefault="00442F23" w:rsidP="00442F23">
      <w:pPr>
        <w:rPr>
          <w:rFonts w:eastAsiaTheme="minorHAnsi" w:cstheme="minorBidi"/>
          <w:szCs w:val="24"/>
          <w:lang w:val="fr-CA" w:eastAsia="en-US"/>
        </w:rPr>
      </w:pPr>
      <w:r w:rsidRPr="00F82344">
        <w:rPr>
          <w:rFonts w:eastAsiaTheme="minorHAnsi" w:cstheme="minorBidi"/>
          <w:b/>
          <w:smallCaps/>
          <w:szCs w:val="24"/>
          <w:lang w:val="fr-CA" w:eastAsia="en-US"/>
        </w:rPr>
        <w:t>Coram :</w:t>
      </w:r>
      <w:r w:rsidRPr="00F82344">
        <w:rPr>
          <w:rFonts w:eastAsiaTheme="minorHAnsi" w:cstheme="minorBidi"/>
          <w:szCs w:val="24"/>
          <w:lang w:val="fr-CA" w:eastAsia="en-US"/>
        </w:rPr>
        <w:t xml:space="preserve"> La juge en chef McLachlin et les juges LeBel, Deschamps, Fish, Abella, Rothstein, Cromwell, Moldaver et Karakatsanis</w:t>
      </w:r>
    </w:p>
    <w:p w:rsidR="00442F23" w:rsidRPr="00F82344" w:rsidRDefault="00442F23" w:rsidP="00442F23">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42F23" w:rsidRPr="00F82344" w:rsidTr="00380C2B">
        <w:trPr>
          <w:cantSplit/>
        </w:trPr>
        <w:tc>
          <w:tcPr>
            <w:tcW w:w="3618" w:type="dxa"/>
          </w:tcPr>
          <w:p w:rsidR="00442F23" w:rsidRPr="00F82344" w:rsidRDefault="00442F23" w:rsidP="00380C2B">
            <w:pPr>
              <w:rPr>
                <w:b/>
                <w:smallCaps/>
                <w:lang w:val="fr-CA"/>
              </w:rPr>
            </w:pPr>
            <w:r w:rsidRPr="00F82344">
              <w:rPr>
                <w:b/>
                <w:smallCaps/>
                <w:lang w:val="fr-CA"/>
              </w:rPr>
              <w:t>Motifs de jugement :</w:t>
            </w:r>
          </w:p>
          <w:p w:rsidR="00442F23" w:rsidRPr="00F82344" w:rsidRDefault="00442F23" w:rsidP="00380C2B">
            <w:pPr>
              <w:rPr>
                <w:lang w:val="fr-CA"/>
              </w:rPr>
            </w:pPr>
            <w:r w:rsidRPr="00F82344">
              <w:rPr>
                <w:lang w:val="fr-CA"/>
              </w:rPr>
              <w:t>(par. 1 à 85)</w:t>
            </w:r>
          </w:p>
          <w:p w:rsidR="00442F23" w:rsidRPr="00F82344" w:rsidRDefault="00442F23" w:rsidP="00380C2B">
            <w:pPr>
              <w:rPr>
                <w:lang w:val="fr-CA"/>
              </w:rPr>
            </w:pPr>
          </w:p>
          <w:p w:rsidR="00442F23" w:rsidRPr="00F82344" w:rsidRDefault="00442F23" w:rsidP="00380C2B">
            <w:pPr>
              <w:rPr>
                <w:lang w:val="fr-CA"/>
              </w:rPr>
            </w:pPr>
          </w:p>
          <w:p w:rsidR="00442F23" w:rsidRPr="00F82344" w:rsidRDefault="00442F23" w:rsidP="00380C2B">
            <w:pPr>
              <w:rPr>
                <w:b/>
                <w:smallCaps/>
                <w:lang w:val="fr-CA"/>
              </w:rPr>
            </w:pPr>
            <w:r w:rsidRPr="00F82344">
              <w:rPr>
                <w:b/>
                <w:smallCaps/>
                <w:lang w:val="fr-CA"/>
              </w:rPr>
              <w:t>Motifs dissidents en partie :</w:t>
            </w:r>
          </w:p>
          <w:p w:rsidR="00442F23" w:rsidRPr="00F82344" w:rsidRDefault="00442F23" w:rsidP="00380C2B">
            <w:pPr>
              <w:rPr>
                <w:lang w:val="fr-CA"/>
              </w:rPr>
            </w:pPr>
            <w:r w:rsidRPr="00F82344">
              <w:rPr>
                <w:lang w:val="fr-CA"/>
              </w:rPr>
              <w:t>(par. 86 à 90)</w:t>
            </w:r>
          </w:p>
        </w:tc>
        <w:tc>
          <w:tcPr>
            <w:tcW w:w="5958" w:type="dxa"/>
          </w:tcPr>
          <w:p w:rsidR="00442F23" w:rsidRPr="00F82344" w:rsidRDefault="00442F23" w:rsidP="00380C2B">
            <w:pPr>
              <w:rPr>
                <w:lang w:val="fr-CA"/>
              </w:rPr>
            </w:pPr>
            <w:r w:rsidRPr="00F82344">
              <w:rPr>
                <w:lang w:val="fr-CA"/>
              </w:rPr>
              <w:t>Les juges LeBel et Cromwell (avec l’accord de la juge en chef McLachlin et des juges Deschamps, Abella, Rothstein, Moldaver et Karakatsanis)</w:t>
            </w:r>
          </w:p>
          <w:p w:rsidR="00442F23" w:rsidRPr="00F82344" w:rsidRDefault="00442F23" w:rsidP="00380C2B">
            <w:pPr>
              <w:rPr>
                <w:lang w:val="fr-CA"/>
              </w:rPr>
            </w:pPr>
          </w:p>
          <w:p w:rsidR="00442F23" w:rsidRPr="00F82344" w:rsidRDefault="00442F23" w:rsidP="00380C2B">
            <w:pPr>
              <w:rPr>
                <w:lang w:val="fr-CA"/>
              </w:rPr>
            </w:pPr>
            <w:r w:rsidRPr="00F82344">
              <w:rPr>
                <w:lang w:val="fr-CA"/>
              </w:rPr>
              <w:t>Le juge Fish</w:t>
            </w:r>
          </w:p>
        </w:tc>
      </w:tr>
    </w:tbl>
    <w:p w:rsidR="00442F23" w:rsidRPr="00F82344" w:rsidRDefault="00442F23" w:rsidP="00442F23">
      <w:pPr>
        <w:rPr>
          <w:rFonts w:eastAsiaTheme="minorHAnsi" w:cstheme="minorBidi"/>
          <w:szCs w:val="24"/>
          <w:lang w:val="fr-CA" w:eastAsia="en-US"/>
        </w:rPr>
      </w:pPr>
    </w:p>
    <w:p w:rsidR="00442F23" w:rsidRPr="00F82344" w:rsidRDefault="00442F23" w:rsidP="00442F23">
      <w:pPr>
        <w:rPr>
          <w:rFonts w:eastAsiaTheme="minorHAnsi" w:cstheme="minorBidi"/>
          <w:szCs w:val="24"/>
          <w:lang w:val="fr-CA" w:eastAsia="en-US"/>
        </w:rPr>
      </w:pPr>
    </w:p>
    <w:p w:rsidR="00442F23" w:rsidRPr="00F82344" w:rsidRDefault="00F34788" w:rsidP="00442F23">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42F23" w:rsidRPr="00152DEC" w:rsidRDefault="00442F23" w:rsidP="00442F23">
      <w:pPr>
        <w:rPr>
          <w:smallCaps/>
          <w:lang w:val="fr-CA"/>
        </w:rPr>
      </w:pPr>
      <w:r w:rsidRPr="00152DEC">
        <w:rPr>
          <w:smallCaps/>
          <w:lang w:val="fr-CA"/>
        </w:rPr>
        <w:br w:type="page"/>
      </w:r>
    </w:p>
    <w:p w:rsidR="004D7D95" w:rsidRPr="009E77B0" w:rsidRDefault="009E77B0" w:rsidP="0008079F">
      <w:pPr>
        <w:spacing w:after="720"/>
        <w:jc w:val="both"/>
        <w:rPr>
          <w:lang w:val="fr-CA"/>
        </w:rPr>
      </w:pPr>
      <w:r>
        <w:rPr>
          <w:lang w:val="fr-CA"/>
        </w:rPr>
        <w:lastRenderedPageBreak/>
        <w:t xml:space="preserve">R. </w:t>
      </w:r>
      <w:r w:rsidRPr="009E77B0">
        <w:rPr>
          <w:i/>
          <w:lang w:val="fr-CA"/>
        </w:rPr>
        <w:t>c.</w:t>
      </w:r>
      <w:r>
        <w:rPr>
          <w:lang w:val="fr-CA"/>
        </w:rPr>
        <w:t xml:space="preserve"> Ryan, 2013 CSC 3, [2013] 1 R.C.S. 14</w:t>
      </w:r>
    </w:p>
    <w:p w:rsidR="00AF27FB" w:rsidRPr="00B3261F" w:rsidRDefault="007C122F">
      <w:pPr>
        <w:pStyle w:val="SCCLsocLastPartyInRole"/>
        <w:rPr>
          <w:lang w:val="fr-CA"/>
        </w:rPr>
      </w:pPr>
      <w:r w:rsidRPr="00B3261F">
        <w:rPr>
          <w:lang w:val="fr-CA"/>
        </w:rPr>
        <w:t>Sa Majesté la Reine</w:t>
      </w:r>
      <w:r w:rsidRPr="00B3261F">
        <w:rPr>
          <w:rStyle w:val="SCCLsocPartyRole"/>
          <w:lang w:val="fr-CA"/>
        </w:rPr>
        <w:tab/>
        <w:t>Appelante</w:t>
      </w:r>
    </w:p>
    <w:p w:rsidR="00AF27FB" w:rsidRPr="00B3261F" w:rsidRDefault="007C122F">
      <w:pPr>
        <w:pStyle w:val="SCCLsocVersus"/>
        <w:rPr>
          <w:lang w:val="fr-CA"/>
        </w:rPr>
      </w:pPr>
      <w:r w:rsidRPr="00B3261F">
        <w:rPr>
          <w:lang w:val="fr-CA"/>
        </w:rPr>
        <w:t>c.</w:t>
      </w:r>
    </w:p>
    <w:p w:rsidR="00AF27FB" w:rsidRPr="00B3261F" w:rsidRDefault="007C122F">
      <w:pPr>
        <w:pStyle w:val="SCCLsocLastPartyInRole"/>
        <w:rPr>
          <w:lang w:val="fr-CA"/>
        </w:rPr>
      </w:pPr>
      <w:r w:rsidRPr="00B3261F">
        <w:rPr>
          <w:lang w:val="fr-CA"/>
        </w:rPr>
        <w:t>Nicole Patricia Ryan</w:t>
      </w:r>
      <w:r w:rsidR="004A3CA9" w:rsidRPr="00B3261F">
        <w:rPr>
          <w:rStyle w:val="SCCLsocPartyRole"/>
          <w:lang w:val="fr-CA"/>
        </w:rPr>
        <w:tab/>
        <w:t>Intimée</w:t>
      </w:r>
    </w:p>
    <w:p w:rsidR="00AF27FB" w:rsidRPr="00B3261F" w:rsidRDefault="007C122F">
      <w:pPr>
        <w:pStyle w:val="SCCLsocOtherPartySeparator"/>
        <w:rPr>
          <w:lang w:val="fr-CA"/>
        </w:rPr>
      </w:pPr>
      <w:r w:rsidRPr="00B3261F">
        <w:rPr>
          <w:lang w:val="fr-CA"/>
        </w:rPr>
        <w:t>et</w:t>
      </w:r>
    </w:p>
    <w:p w:rsidR="004A3CA9" w:rsidRPr="00B3261F" w:rsidRDefault="007C122F">
      <w:pPr>
        <w:pStyle w:val="SCCLsocParty"/>
        <w:rPr>
          <w:lang w:val="fr-CA"/>
        </w:rPr>
      </w:pPr>
      <w:r w:rsidRPr="00B3261F">
        <w:rPr>
          <w:lang w:val="fr-CA"/>
        </w:rPr>
        <w:t>Procureur général de l</w:t>
      </w:r>
      <w:r w:rsidR="004A3CA9" w:rsidRPr="00B3261F">
        <w:rPr>
          <w:lang w:val="fr-CA"/>
        </w:rPr>
        <w:t>’</w:t>
      </w:r>
      <w:r w:rsidRPr="00B3261F">
        <w:rPr>
          <w:lang w:val="fr-CA"/>
        </w:rPr>
        <w:t>Ontario,</w:t>
      </w:r>
      <w:r w:rsidR="004A3CA9" w:rsidRPr="00B3261F">
        <w:rPr>
          <w:lang w:val="fr-CA"/>
        </w:rPr>
        <w:t xml:space="preserve"> </w:t>
      </w:r>
      <w:r w:rsidRPr="00B3261F">
        <w:rPr>
          <w:lang w:val="fr-CA"/>
        </w:rPr>
        <w:t xml:space="preserve">Association </w:t>
      </w:r>
      <w:r w:rsidR="004A3CA9" w:rsidRPr="00B3261F">
        <w:rPr>
          <w:lang w:val="fr-CA"/>
        </w:rPr>
        <w:t>canadienne des</w:t>
      </w:r>
      <w:r w:rsidRPr="00B3261F">
        <w:rPr>
          <w:lang w:val="fr-CA"/>
        </w:rPr>
        <w:t xml:space="preserve"> </w:t>
      </w:r>
    </w:p>
    <w:p w:rsidR="00552AED" w:rsidRPr="00B3261F" w:rsidRDefault="004A3CA9" w:rsidP="004A3CA9">
      <w:pPr>
        <w:pStyle w:val="SCCLsocParty"/>
        <w:rPr>
          <w:lang w:val="fr-CA"/>
        </w:rPr>
      </w:pPr>
      <w:r w:rsidRPr="00B3261F">
        <w:rPr>
          <w:lang w:val="fr-CA"/>
        </w:rPr>
        <w:t xml:space="preserve">Sociétés </w:t>
      </w:r>
      <w:r w:rsidR="007C122F" w:rsidRPr="00B3261F">
        <w:rPr>
          <w:lang w:val="fr-CA"/>
        </w:rPr>
        <w:t>Elizabeth Fry</w:t>
      </w:r>
      <w:r w:rsidRPr="00B3261F">
        <w:rPr>
          <w:lang w:val="fr-CA"/>
        </w:rPr>
        <w:t xml:space="preserve">, </w:t>
      </w:r>
      <w:r w:rsidR="00552AED" w:rsidRPr="00B3261F">
        <w:rPr>
          <w:lang w:val="fr-CA"/>
        </w:rPr>
        <w:t xml:space="preserve">Fonds d’action et d’éducation juridiques </w:t>
      </w:r>
    </w:p>
    <w:p w:rsidR="00AF27FB" w:rsidRPr="00B3261F" w:rsidRDefault="00552AED" w:rsidP="0008079F">
      <w:pPr>
        <w:pStyle w:val="SCCLsocParty"/>
        <w:spacing w:after="720"/>
        <w:rPr>
          <w:lang w:val="fr-CA"/>
        </w:rPr>
      </w:pPr>
      <w:r w:rsidRPr="00B3261F">
        <w:rPr>
          <w:lang w:val="fr-CA"/>
        </w:rPr>
        <w:t>pour les femmes et</w:t>
      </w:r>
      <w:r w:rsidR="004A3CA9" w:rsidRPr="00B3261F">
        <w:rPr>
          <w:lang w:val="fr-CA"/>
        </w:rPr>
        <w:t xml:space="preserve"> </w:t>
      </w:r>
      <w:r w:rsidR="007C122F" w:rsidRPr="00B3261F">
        <w:rPr>
          <w:lang w:val="fr-CA"/>
        </w:rPr>
        <w:t>Criminal Lawyers</w:t>
      </w:r>
      <w:r w:rsidR="004A3CA9" w:rsidRPr="00B3261F">
        <w:rPr>
          <w:lang w:val="fr-CA"/>
        </w:rPr>
        <w:t>’</w:t>
      </w:r>
      <w:r w:rsidR="007C122F" w:rsidRPr="00B3261F">
        <w:rPr>
          <w:lang w:val="fr-CA"/>
        </w:rPr>
        <w:t xml:space="preserve"> Association </w:t>
      </w:r>
      <w:r w:rsidR="00BF1980">
        <w:rPr>
          <w:lang w:val="fr-CA"/>
        </w:rPr>
        <w:t xml:space="preserve">of </w:t>
      </w:r>
      <w:r w:rsidR="007C122F" w:rsidRPr="00B3261F">
        <w:rPr>
          <w:lang w:val="fr-CA"/>
        </w:rPr>
        <w:t>Ontario</w:t>
      </w:r>
      <w:r w:rsidR="007C122F" w:rsidRPr="00B3261F">
        <w:rPr>
          <w:rStyle w:val="SCCLsocPartyRole"/>
          <w:lang w:val="fr-CA"/>
        </w:rPr>
        <w:tab/>
        <w:t>Intervenants</w:t>
      </w:r>
    </w:p>
    <w:p w:rsidR="004D7D95" w:rsidRPr="00B3261F" w:rsidRDefault="004D7D95" w:rsidP="0008079F">
      <w:pPr>
        <w:spacing w:after="720"/>
        <w:jc w:val="both"/>
        <w:rPr>
          <w:b/>
          <w:lang w:val="fr-CA"/>
        </w:rPr>
      </w:pPr>
      <w:r w:rsidRPr="00B3261F">
        <w:rPr>
          <w:b/>
          <w:lang w:val="fr-CA"/>
        </w:rPr>
        <w:t>Répertorié</w:t>
      </w:r>
      <w:r w:rsidR="0008079F" w:rsidRPr="00B3261F">
        <w:rPr>
          <w:b/>
          <w:lang w:val="fr-CA"/>
        </w:rPr>
        <w:t> :</w:t>
      </w:r>
      <w:r w:rsidRPr="00B3261F">
        <w:rPr>
          <w:b/>
          <w:lang w:val="fr-CA"/>
        </w:rPr>
        <w:t xml:space="preserve"> R. </w:t>
      </w:r>
      <w:r w:rsidRPr="00B3261F">
        <w:rPr>
          <w:b/>
          <w:i/>
          <w:lang w:val="fr-CA"/>
        </w:rPr>
        <w:t>c.</w:t>
      </w:r>
      <w:r w:rsidRPr="00B3261F">
        <w:rPr>
          <w:b/>
          <w:lang w:val="fr-CA"/>
        </w:rPr>
        <w:t xml:space="preserve"> Ryan</w:t>
      </w:r>
    </w:p>
    <w:p w:rsidR="004D7D95" w:rsidRPr="00B3261F" w:rsidRDefault="00F62639" w:rsidP="0008079F">
      <w:pPr>
        <w:pStyle w:val="SCCSystemYear"/>
        <w:spacing w:after="720"/>
        <w:jc w:val="both"/>
        <w:rPr>
          <w:lang w:val="fr-CA"/>
        </w:rPr>
      </w:pPr>
      <w:r w:rsidRPr="00B3261F">
        <w:rPr>
          <w:lang w:val="fr-CA"/>
        </w:rPr>
        <w:t>201</w:t>
      </w:r>
      <w:r w:rsidR="00B83AEC">
        <w:rPr>
          <w:lang w:val="fr-CA"/>
        </w:rPr>
        <w:t>3</w:t>
      </w:r>
      <w:r w:rsidR="00B652D5">
        <w:rPr>
          <w:lang w:val="fr-CA"/>
        </w:rPr>
        <w:t xml:space="preserve"> CSC 3</w:t>
      </w:r>
    </w:p>
    <w:p w:rsidR="004D7D95" w:rsidRPr="00B3261F" w:rsidRDefault="004D7D95" w:rsidP="0008079F">
      <w:pPr>
        <w:spacing w:after="720"/>
        <w:jc w:val="both"/>
        <w:rPr>
          <w:lang w:val="fr-CA"/>
        </w:rPr>
      </w:pPr>
      <w:r w:rsidRPr="00B3261F">
        <w:rPr>
          <w:lang w:val="fr-CA"/>
        </w:rPr>
        <w:t>N</w:t>
      </w:r>
      <w:r w:rsidRPr="00B3261F">
        <w:rPr>
          <w:vertAlign w:val="superscript"/>
          <w:lang w:val="fr-CA"/>
        </w:rPr>
        <w:t>o</w:t>
      </w:r>
      <w:r w:rsidRPr="00B3261F">
        <w:rPr>
          <w:lang w:val="fr-CA"/>
        </w:rPr>
        <w:t xml:space="preserve"> du greffe</w:t>
      </w:r>
      <w:r w:rsidR="0008079F" w:rsidRPr="00B3261F">
        <w:rPr>
          <w:lang w:val="fr-CA"/>
        </w:rPr>
        <w:t> :</w:t>
      </w:r>
      <w:r w:rsidRPr="00B3261F">
        <w:rPr>
          <w:lang w:val="fr-CA"/>
        </w:rPr>
        <w:t> 34272.</w:t>
      </w:r>
    </w:p>
    <w:p w:rsidR="004D7D95" w:rsidRPr="00B3261F" w:rsidRDefault="00F62639" w:rsidP="0008079F">
      <w:pPr>
        <w:spacing w:after="720"/>
        <w:jc w:val="both"/>
        <w:rPr>
          <w:lang w:val="fr-CA"/>
        </w:rPr>
      </w:pPr>
      <w:r w:rsidRPr="00B3261F">
        <w:rPr>
          <w:lang w:val="fr-CA"/>
        </w:rPr>
        <w:t>2012</w:t>
      </w:r>
      <w:r w:rsidR="0008079F" w:rsidRPr="00B3261F">
        <w:rPr>
          <w:lang w:val="fr-CA"/>
        </w:rPr>
        <w:t> : </w:t>
      </w:r>
      <w:r w:rsidRPr="00B3261F">
        <w:rPr>
          <w:lang w:val="fr-CA"/>
        </w:rPr>
        <w:t>14 juin</w:t>
      </w:r>
      <w:r w:rsidR="004D7D95" w:rsidRPr="00B3261F">
        <w:rPr>
          <w:lang w:val="fr-CA"/>
        </w:rPr>
        <w:t xml:space="preserve">; </w:t>
      </w:r>
      <w:r w:rsidR="0008079F" w:rsidRPr="00B3261F">
        <w:rPr>
          <w:lang w:val="fr-CA"/>
        </w:rPr>
        <w:t>2013 : </w:t>
      </w:r>
      <w:r w:rsidR="007D3918" w:rsidRPr="00B3261F">
        <w:rPr>
          <w:lang w:val="fr-CA"/>
        </w:rPr>
        <w:t>18</w:t>
      </w:r>
      <w:r w:rsidR="0008079F" w:rsidRPr="00B3261F">
        <w:rPr>
          <w:lang w:val="fr-CA"/>
        </w:rPr>
        <w:t> </w:t>
      </w:r>
      <w:r w:rsidR="007D3918" w:rsidRPr="00B3261F">
        <w:rPr>
          <w:lang w:val="fr-CA"/>
        </w:rPr>
        <w:t>janvier</w:t>
      </w:r>
      <w:r w:rsidR="004D7D95" w:rsidRPr="00B3261F">
        <w:rPr>
          <w:lang w:val="fr-CA"/>
        </w:rPr>
        <w:t>.</w:t>
      </w:r>
    </w:p>
    <w:p w:rsidR="004D7D95" w:rsidRPr="00B3261F" w:rsidRDefault="004D7D95" w:rsidP="0008079F">
      <w:pPr>
        <w:spacing w:after="720"/>
        <w:jc w:val="both"/>
        <w:rPr>
          <w:lang w:val="fr-CA"/>
        </w:rPr>
      </w:pPr>
      <w:r w:rsidRPr="00B3261F">
        <w:rPr>
          <w:lang w:val="fr-CA"/>
        </w:rPr>
        <w:t>Présents</w:t>
      </w:r>
      <w:r w:rsidR="0008079F" w:rsidRPr="00B3261F">
        <w:rPr>
          <w:lang w:val="fr-CA"/>
        </w:rPr>
        <w:t> :</w:t>
      </w:r>
      <w:r w:rsidRPr="00B3261F">
        <w:rPr>
          <w:lang w:val="fr-CA"/>
        </w:rPr>
        <w:t> La juge en chef McLachlin et les juges LeBel, Deschamps, Fish, Abella, Rothstein, Cromwell, Moldaver et Karakatsanis.</w:t>
      </w:r>
    </w:p>
    <w:p w:rsidR="004D7D95" w:rsidRPr="00B3261F" w:rsidRDefault="004D7D95" w:rsidP="0008079F">
      <w:pPr>
        <w:spacing w:after="720"/>
        <w:jc w:val="both"/>
        <w:rPr>
          <w:smallCaps/>
          <w:lang w:val="fr-CA"/>
        </w:rPr>
      </w:pPr>
      <w:r w:rsidRPr="00B3261F">
        <w:rPr>
          <w:smallCaps/>
          <w:lang w:val="fr-CA"/>
        </w:rPr>
        <w:t>en appel de la cour d’appel de la nouvelle</w:t>
      </w:r>
      <w:r w:rsidR="0008079F" w:rsidRPr="00B3261F">
        <w:rPr>
          <w:smallCaps/>
          <w:lang w:val="fr-CA"/>
        </w:rPr>
        <w:noBreakHyphen/>
      </w:r>
      <w:r w:rsidRPr="00B3261F">
        <w:rPr>
          <w:smallCaps/>
          <w:lang w:val="fr-CA"/>
        </w:rPr>
        <w:t>écosse</w:t>
      </w:r>
    </w:p>
    <w:p w:rsidR="00F85048" w:rsidRPr="00B3261F" w:rsidRDefault="004D7D95" w:rsidP="0008079F">
      <w:pPr>
        <w:pStyle w:val="SCCNormalDoubleSpacing"/>
        <w:spacing w:after="480"/>
        <w:rPr>
          <w:i/>
          <w:szCs w:val="24"/>
          <w:lang w:val="fr-CA"/>
        </w:rPr>
      </w:pPr>
      <w:r w:rsidRPr="00B3261F">
        <w:rPr>
          <w:lang w:val="fr-CA"/>
        </w:rPr>
        <w:lastRenderedPageBreak/>
        <w:tab/>
      </w:r>
      <w:r w:rsidR="00F85048" w:rsidRPr="00B3261F">
        <w:rPr>
          <w:i/>
          <w:szCs w:val="24"/>
          <w:lang w:val="fr-CA"/>
        </w:rPr>
        <w:t xml:space="preserve">Droit criminel </w:t>
      </w:r>
      <w:r w:rsidR="0008079F" w:rsidRPr="00B3261F">
        <w:rPr>
          <w:i/>
          <w:szCs w:val="24"/>
          <w:lang w:val="fr-CA"/>
        </w:rPr>
        <w:t>—</w:t>
      </w:r>
      <w:r w:rsidR="00F85048" w:rsidRPr="00B3261F">
        <w:rPr>
          <w:i/>
          <w:szCs w:val="24"/>
          <w:lang w:val="fr-CA"/>
        </w:rPr>
        <w:t xml:space="preserve"> Moyens de défense </w:t>
      </w:r>
      <w:r w:rsidR="0008079F" w:rsidRPr="00B3261F">
        <w:rPr>
          <w:i/>
          <w:szCs w:val="24"/>
          <w:lang w:val="fr-CA"/>
        </w:rPr>
        <w:t>—</w:t>
      </w:r>
      <w:r w:rsidR="00F85048" w:rsidRPr="00B3261F">
        <w:rPr>
          <w:i/>
          <w:szCs w:val="24"/>
          <w:lang w:val="fr-CA"/>
        </w:rPr>
        <w:t xml:space="preserve"> Contrainte </w:t>
      </w:r>
      <w:r w:rsidR="0008079F" w:rsidRPr="00B3261F">
        <w:rPr>
          <w:i/>
          <w:szCs w:val="24"/>
          <w:lang w:val="fr-CA"/>
        </w:rPr>
        <w:t>—</w:t>
      </w:r>
      <w:r w:rsidR="00F85048" w:rsidRPr="00B3261F">
        <w:rPr>
          <w:i/>
          <w:szCs w:val="24"/>
          <w:lang w:val="fr-CA"/>
        </w:rPr>
        <w:t xml:space="preserve"> </w:t>
      </w:r>
      <w:r w:rsidR="00BF236E">
        <w:rPr>
          <w:i/>
          <w:szCs w:val="24"/>
          <w:lang w:val="fr-CA"/>
        </w:rPr>
        <w:t>« </w:t>
      </w:r>
      <w:r w:rsidR="00F85048" w:rsidRPr="00B3261F">
        <w:rPr>
          <w:i/>
          <w:szCs w:val="24"/>
          <w:lang w:val="fr-CA"/>
        </w:rPr>
        <w:t>Tueur à gages</w:t>
      </w:r>
      <w:r w:rsidR="00BF236E">
        <w:rPr>
          <w:i/>
          <w:szCs w:val="24"/>
          <w:lang w:val="fr-CA"/>
        </w:rPr>
        <w:t> »</w:t>
      </w:r>
      <w:r w:rsidR="00F85048" w:rsidRPr="00B3261F">
        <w:rPr>
          <w:i/>
          <w:szCs w:val="24"/>
          <w:lang w:val="fr-CA"/>
        </w:rPr>
        <w:t xml:space="preserve"> payé par une femme battue dont la vie est menacée par son mari pour assassiner ce dernier —</w:t>
      </w:r>
      <w:r w:rsidR="0008079F" w:rsidRPr="00B3261F">
        <w:rPr>
          <w:i/>
          <w:szCs w:val="24"/>
          <w:lang w:val="fr-CA"/>
        </w:rPr>
        <w:t xml:space="preserve"> </w:t>
      </w:r>
      <w:r w:rsidR="00E45755" w:rsidRPr="00B3261F">
        <w:rPr>
          <w:i/>
          <w:szCs w:val="24"/>
          <w:lang w:val="fr-CA"/>
        </w:rPr>
        <w:t>L</w:t>
      </w:r>
      <w:r w:rsidR="00F85048" w:rsidRPr="00B3261F">
        <w:rPr>
          <w:i/>
          <w:szCs w:val="24"/>
          <w:lang w:val="fr-CA"/>
        </w:rPr>
        <w:t xml:space="preserve">e moyen de défense fondé sur la contrainte </w:t>
      </w:r>
      <w:r w:rsidR="00E45755" w:rsidRPr="00B3261F">
        <w:rPr>
          <w:i/>
          <w:szCs w:val="24"/>
          <w:lang w:val="fr-CA"/>
        </w:rPr>
        <w:t>peut</w:t>
      </w:r>
      <w:r w:rsidR="0008079F" w:rsidRPr="00B3261F">
        <w:rPr>
          <w:i/>
          <w:szCs w:val="24"/>
          <w:lang w:val="fr-CA"/>
        </w:rPr>
        <w:noBreakHyphen/>
      </w:r>
      <w:r w:rsidR="00E45755" w:rsidRPr="00B3261F">
        <w:rPr>
          <w:i/>
          <w:szCs w:val="24"/>
          <w:lang w:val="fr-CA"/>
        </w:rPr>
        <w:t xml:space="preserve">il être invoqué en droit lorsque </w:t>
      </w:r>
      <w:r w:rsidR="00F85048" w:rsidRPr="00B3261F">
        <w:rPr>
          <w:i/>
          <w:szCs w:val="24"/>
          <w:lang w:val="fr-CA"/>
        </w:rPr>
        <w:t>les menaces à l’endroit de l’accusée n</w:t>
      </w:r>
      <w:r w:rsidR="00E45755" w:rsidRPr="00B3261F">
        <w:rPr>
          <w:i/>
          <w:szCs w:val="24"/>
          <w:lang w:val="fr-CA"/>
        </w:rPr>
        <w:t xml:space="preserve">’ont </w:t>
      </w:r>
      <w:r w:rsidR="00F85048" w:rsidRPr="00B3261F">
        <w:rPr>
          <w:i/>
          <w:szCs w:val="24"/>
          <w:lang w:val="fr-CA"/>
        </w:rPr>
        <w:t xml:space="preserve">pas </w:t>
      </w:r>
      <w:r w:rsidR="00E45755" w:rsidRPr="00B3261F">
        <w:rPr>
          <w:i/>
          <w:szCs w:val="24"/>
          <w:lang w:val="fr-CA"/>
        </w:rPr>
        <w:t xml:space="preserve">été proférées </w:t>
      </w:r>
      <w:r w:rsidR="00F85048" w:rsidRPr="00B3261F">
        <w:rPr>
          <w:i/>
          <w:szCs w:val="24"/>
          <w:lang w:val="fr-CA"/>
        </w:rPr>
        <w:t xml:space="preserve">dans le but de la forcer à commettre </w:t>
      </w:r>
      <w:r w:rsidR="00E45755" w:rsidRPr="00B3261F">
        <w:rPr>
          <w:i/>
          <w:szCs w:val="24"/>
          <w:lang w:val="fr-CA"/>
        </w:rPr>
        <w:t>une</w:t>
      </w:r>
      <w:r w:rsidR="00F85048" w:rsidRPr="00B3261F">
        <w:rPr>
          <w:i/>
          <w:szCs w:val="24"/>
          <w:lang w:val="fr-CA"/>
        </w:rPr>
        <w:t xml:space="preserve"> infraction? — Paramètres législatifs et de common law du moyen de défense fondé sur la contrainte — L’arrêt des procédures </w:t>
      </w:r>
      <w:r w:rsidR="00E45755" w:rsidRPr="00B3261F">
        <w:rPr>
          <w:i/>
          <w:szCs w:val="24"/>
          <w:lang w:val="fr-CA"/>
        </w:rPr>
        <w:t>es</w:t>
      </w:r>
      <w:r w:rsidR="00F85048" w:rsidRPr="00B3261F">
        <w:rPr>
          <w:i/>
          <w:szCs w:val="24"/>
          <w:lang w:val="fr-CA"/>
        </w:rPr>
        <w:t>t</w:t>
      </w:r>
      <w:r w:rsidR="0008079F" w:rsidRPr="00B3261F">
        <w:rPr>
          <w:i/>
          <w:szCs w:val="24"/>
          <w:lang w:val="fr-CA"/>
        </w:rPr>
        <w:noBreakHyphen/>
      </w:r>
      <w:r w:rsidR="00F85048" w:rsidRPr="00B3261F">
        <w:rPr>
          <w:i/>
          <w:szCs w:val="24"/>
          <w:lang w:val="fr-CA"/>
        </w:rPr>
        <w:t xml:space="preserve">il </w:t>
      </w:r>
      <w:r w:rsidR="00E45755" w:rsidRPr="00B3261F">
        <w:rPr>
          <w:i/>
          <w:szCs w:val="24"/>
          <w:lang w:val="fr-CA"/>
        </w:rPr>
        <w:t xml:space="preserve">approprié </w:t>
      </w:r>
      <w:r w:rsidR="00F85048" w:rsidRPr="00B3261F">
        <w:rPr>
          <w:i/>
          <w:szCs w:val="24"/>
          <w:lang w:val="fr-CA"/>
        </w:rPr>
        <w:t xml:space="preserve">en l’espèce? </w:t>
      </w:r>
    </w:p>
    <w:p w:rsidR="00F85048" w:rsidRPr="00B3261F" w:rsidRDefault="0008079F" w:rsidP="0008079F">
      <w:pPr>
        <w:pStyle w:val="SCCNormalDoubleSpacing"/>
        <w:spacing w:after="480"/>
        <w:rPr>
          <w:lang w:val="fr-CA"/>
        </w:rPr>
      </w:pPr>
      <w:r w:rsidRPr="00B3261F">
        <w:rPr>
          <w:lang w:val="fr-CA"/>
        </w:rPr>
        <w:tab/>
      </w:r>
      <w:r w:rsidR="00F85048" w:rsidRPr="00B3261F">
        <w:rPr>
          <w:lang w:val="fr-CA"/>
        </w:rPr>
        <w:t xml:space="preserve">R était victime d’un époux violent et dominateur.  Elle craignait qu’il les blesse gravement ou les tue, elle et </w:t>
      </w:r>
      <w:r w:rsidR="00BF1980">
        <w:rPr>
          <w:lang w:val="fr-CA"/>
        </w:rPr>
        <w:t xml:space="preserve">leur </w:t>
      </w:r>
      <w:r w:rsidR="00F85048" w:rsidRPr="00B3261F">
        <w:rPr>
          <w:lang w:val="fr-CA"/>
        </w:rPr>
        <w:t>fille, et croyait que le seul moyen de s’en sortir sans danger était de le faire tuer.  Elle a communiqué avec un agent d’infiltration de la GRC se faisant passer pour un tueur à gages et a accepté de l</w:t>
      </w:r>
      <w:r w:rsidR="00E45755" w:rsidRPr="00B3261F">
        <w:rPr>
          <w:lang w:val="fr-CA"/>
        </w:rPr>
        <w:t>ui vers</w:t>
      </w:r>
      <w:r w:rsidR="00F85048" w:rsidRPr="00B3261F">
        <w:rPr>
          <w:lang w:val="fr-CA"/>
        </w:rPr>
        <w:t>er 25 000</w:t>
      </w:r>
      <w:r w:rsidRPr="00B3261F">
        <w:rPr>
          <w:lang w:val="fr-CA"/>
        </w:rPr>
        <w:t> $</w:t>
      </w:r>
      <w:r w:rsidR="00F85048" w:rsidRPr="00B3261F">
        <w:rPr>
          <w:lang w:val="fr-CA"/>
        </w:rPr>
        <w:t xml:space="preserve"> pour qu’il tue son époux.  Elle a versé 2 000</w:t>
      </w:r>
      <w:r w:rsidRPr="00B3261F">
        <w:rPr>
          <w:lang w:val="fr-CA"/>
        </w:rPr>
        <w:t> $</w:t>
      </w:r>
      <w:r w:rsidR="00F85048" w:rsidRPr="00B3261F">
        <w:rPr>
          <w:lang w:val="fr-CA"/>
        </w:rPr>
        <w:t xml:space="preserve"> à l’agent et lui a fourni l’adresse et une photo de son époux.  Elle a été arrêtée et accusée, en vertu de l’</w:t>
      </w:r>
      <w:r w:rsidRPr="00B3261F">
        <w:rPr>
          <w:lang w:val="fr-CA"/>
        </w:rPr>
        <w:t>al. </w:t>
      </w:r>
      <w:r w:rsidR="00F85048" w:rsidRPr="00B3261F">
        <w:rPr>
          <w:lang w:val="fr-CA"/>
        </w:rPr>
        <w:t>464</w:t>
      </w:r>
      <w:r w:rsidR="00F85048" w:rsidRPr="00B3261F">
        <w:rPr>
          <w:i/>
          <w:lang w:val="fr-CA"/>
        </w:rPr>
        <w:t>a</w:t>
      </w:r>
      <w:r w:rsidR="00F85048" w:rsidRPr="00B3261F">
        <w:rPr>
          <w:lang w:val="fr-CA"/>
        </w:rPr>
        <w:t xml:space="preserve">) du </w:t>
      </w:r>
      <w:r w:rsidR="00F85048" w:rsidRPr="00B3261F">
        <w:rPr>
          <w:i/>
          <w:lang w:val="fr-CA"/>
        </w:rPr>
        <w:t>Code criminel</w:t>
      </w:r>
      <w:r w:rsidR="00F85048" w:rsidRPr="00B3261F">
        <w:rPr>
          <w:lang w:val="fr-CA"/>
        </w:rPr>
        <w:t xml:space="preserve">, d’avoir conseillé la perpétration d’une infraction qui n’a pas été commise.  Le juge de première instance était convaincu hors de tout doute raisonnable que les éléments essentiels de l’infraction avaient été établis.  La seule question en litige au procès consistait à déterminer si la défense fondée sur la contrainte s’appliquait.  Le juge de première instance a ajouté foi au témoignage de R selon lequel l’unique motif invoqué par elle pour justifier ses actes était la crainte intense et raisonnable que lui inspirait son époux lorsqu’il les menaçait, elle et leur fille, de les tuer ou de leur infliger des lésions corporelles graves.  Estimant que le moyen de défense de common law fondé sur la contrainte s’appliquait, le juge de </w:t>
      </w:r>
      <w:r w:rsidR="00F85048" w:rsidRPr="00B3261F">
        <w:rPr>
          <w:lang w:val="fr-CA"/>
        </w:rPr>
        <w:lastRenderedPageBreak/>
        <w:t xml:space="preserve">première instance a acquitté R.  Lors de l’appel, pour la première fois, le ministère public a soutenu que R ne pouvait pas invoquer la contrainte comme moyen de défense en droit.  La Cour d’appel a confirmé l’acquittement. </w:t>
      </w:r>
    </w:p>
    <w:p w:rsidR="00E45755" w:rsidRPr="00B3261F" w:rsidRDefault="0008079F" w:rsidP="0008079F">
      <w:pPr>
        <w:pStyle w:val="SCCNormalDoubleSpacing"/>
        <w:spacing w:after="480"/>
        <w:rPr>
          <w:szCs w:val="24"/>
          <w:lang w:val="fr-CA"/>
        </w:rPr>
      </w:pPr>
      <w:r w:rsidRPr="00B3261F">
        <w:rPr>
          <w:i/>
          <w:szCs w:val="24"/>
          <w:lang w:val="fr-CA"/>
        </w:rPr>
        <w:tab/>
      </w:r>
      <w:r w:rsidR="00F85048" w:rsidRPr="00B3261F">
        <w:rPr>
          <w:i/>
          <w:szCs w:val="24"/>
          <w:lang w:val="fr-CA"/>
        </w:rPr>
        <w:t>Arrêt</w:t>
      </w:r>
      <w:r w:rsidR="000146CA">
        <w:rPr>
          <w:szCs w:val="24"/>
          <w:lang w:val="fr-CA"/>
        </w:rPr>
        <w:t> </w:t>
      </w:r>
      <w:r w:rsidR="00E45755" w:rsidRPr="00B3261F">
        <w:rPr>
          <w:szCs w:val="24"/>
          <w:lang w:val="fr-CA"/>
        </w:rPr>
        <w:t>(le juge Fish est dissident en partie)</w:t>
      </w:r>
      <w:r w:rsidR="000146CA">
        <w:rPr>
          <w:szCs w:val="24"/>
          <w:lang w:val="fr-CA"/>
        </w:rPr>
        <w:t> :</w:t>
      </w:r>
      <w:r w:rsidR="00E45755" w:rsidRPr="00B3261F">
        <w:rPr>
          <w:szCs w:val="24"/>
          <w:lang w:val="fr-CA"/>
        </w:rPr>
        <w:t xml:space="preserve"> </w:t>
      </w:r>
      <w:r w:rsidR="00F85048" w:rsidRPr="00B3261F">
        <w:rPr>
          <w:szCs w:val="24"/>
          <w:lang w:val="fr-CA"/>
        </w:rPr>
        <w:t xml:space="preserve">Le pourvoi est accueilli et l’arrêt des procédures est ordonné. </w:t>
      </w:r>
    </w:p>
    <w:p w:rsidR="00F85048" w:rsidRPr="00B3261F" w:rsidRDefault="0008079F" w:rsidP="0008079F">
      <w:pPr>
        <w:pStyle w:val="SCCNormalDoubleSpacing"/>
        <w:spacing w:after="480"/>
        <w:rPr>
          <w:szCs w:val="24"/>
          <w:lang w:val="fr-CA"/>
        </w:rPr>
      </w:pPr>
      <w:r w:rsidRPr="00B3261F">
        <w:rPr>
          <w:i/>
          <w:lang w:val="fr-CA"/>
        </w:rPr>
        <w:tab/>
      </w:r>
      <w:r w:rsidR="00E45755" w:rsidRPr="00B3261F">
        <w:rPr>
          <w:i/>
          <w:lang w:val="fr-CA"/>
        </w:rPr>
        <w:t>La</w:t>
      </w:r>
      <w:r w:rsidR="00E45755" w:rsidRPr="00B3261F">
        <w:rPr>
          <w:lang w:val="fr-CA"/>
        </w:rPr>
        <w:t xml:space="preserve"> juge en chef McLachlin et les juges </w:t>
      </w:r>
      <w:r w:rsidR="00E45755" w:rsidRPr="00977ECE">
        <w:rPr>
          <w:lang w:val="fr-CA"/>
        </w:rPr>
        <w:t>LeBel</w:t>
      </w:r>
      <w:r w:rsidR="00E45755" w:rsidRPr="00B3261F">
        <w:rPr>
          <w:lang w:val="fr-CA"/>
        </w:rPr>
        <w:t xml:space="preserve">, Deschamps, Abella, Rothstein, </w:t>
      </w:r>
      <w:r w:rsidR="00E45755" w:rsidRPr="00977ECE">
        <w:rPr>
          <w:lang w:val="fr-CA"/>
        </w:rPr>
        <w:t>Cromwell</w:t>
      </w:r>
      <w:r w:rsidR="00E45755" w:rsidRPr="00B3261F">
        <w:rPr>
          <w:lang w:val="fr-CA"/>
        </w:rPr>
        <w:t>, Moldaver et Karakatsanis</w:t>
      </w:r>
      <w:r w:rsidRPr="00B3261F">
        <w:rPr>
          <w:lang w:val="fr-CA"/>
        </w:rPr>
        <w:t> :</w:t>
      </w:r>
      <w:r w:rsidR="00E45755" w:rsidRPr="00B3261F">
        <w:rPr>
          <w:lang w:val="fr-CA"/>
        </w:rPr>
        <w:t xml:space="preserve"> </w:t>
      </w:r>
      <w:r w:rsidR="00F85048" w:rsidRPr="00B3261F">
        <w:rPr>
          <w:lang w:val="fr-CA"/>
        </w:rPr>
        <w:t>Le moyen de défense fondé sur la contrainte peut seulement être invoqué lorsqu’une personne commet une infraction sous la contrainte d’une menace proférée dans le but de la forcer à commettre cette infraction.</w:t>
      </w:r>
      <w:r w:rsidR="00F85048" w:rsidRPr="00B3261F">
        <w:rPr>
          <w:szCs w:val="24"/>
          <w:lang w:val="fr-CA"/>
        </w:rPr>
        <w:t xml:space="preserve">  Ce n’était pas le cas de R et elle ne pouvait pas invoquer ce moyen de défense.  Si </w:t>
      </w:r>
      <w:r w:rsidR="00E45755" w:rsidRPr="00B3261F">
        <w:rPr>
          <w:szCs w:val="24"/>
          <w:lang w:val="fr-CA"/>
        </w:rPr>
        <w:t xml:space="preserve">un </w:t>
      </w:r>
      <w:r w:rsidR="00F85048" w:rsidRPr="00B3261F">
        <w:rPr>
          <w:szCs w:val="24"/>
          <w:lang w:val="fr-CA"/>
        </w:rPr>
        <w:t xml:space="preserve">accusé a été menacé sans aucun élément de contrainte, son seul moyen de défense est la légitime défense.  </w:t>
      </w:r>
    </w:p>
    <w:p w:rsidR="00F85048" w:rsidRPr="00B3261F" w:rsidRDefault="0008079F" w:rsidP="0008079F">
      <w:pPr>
        <w:pStyle w:val="SCCNormalDoubleSpacing"/>
        <w:spacing w:after="480"/>
        <w:rPr>
          <w:lang w:val="fr-CA"/>
        </w:rPr>
      </w:pPr>
      <w:r w:rsidRPr="00B3261F">
        <w:rPr>
          <w:szCs w:val="24"/>
          <w:lang w:val="fr-CA"/>
        </w:rPr>
        <w:tab/>
      </w:r>
      <w:r w:rsidR="00F85048" w:rsidRPr="00B3261F">
        <w:rPr>
          <w:szCs w:val="24"/>
          <w:lang w:val="fr-CA"/>
        </w:rPr>
        <w:t xml:space="preserve">La Cour d’appel a commis une erreur de droit en déclarant qu’il n’existait aucune raison de principe permettant d’interdire à R d’invoquer le moyen de défense fondé sur la contrainte. </w:t>
      </w:r>
      <w:r w:rsidR="00284782" w:rsidRPr="00B3261F">
        <w:rPr>
          <w:szCs w:val="24"/>
          <w:lang w:val="fr-CA"/>
        </w:rPr>
        <w:t xml:space="preserve"> </w:t>
      </w:r>
      <w:r w:rsidR="00F85048" w:rsidRPr="00B3261F">
        <w:rPr>
          <w:szCs w:val="24"/>
          <w:lang w:val="fr-CA"/>
        </w:rPr>
        <w:t>Bien que la contrainte et la légitime défense reposent toutes deux sur l’idée de caractère involontaire normatif et qu’elles s’appliquent dans les cas où l’accusé a agi en réaction à une menace extérieure, les di</w:t>
      </w:r>
      <w:r w:rsidR="00E45755" w:rsidRPr="00B3261F">
        <w:rPr>
          <w:szCs w:val="24"/>
          <w:lang w:val="fr-CA"/>
        </w:rPr>
        <w:t>fférences</w:t>
      </w:r>
      <w:r w:rsidR="00F85048" w:rsidRPr="00B3261F">
        <w:rPr>
          <w:szCs w:val="24"/>
          <w:lang w:val="fr-CA"/>
        </w:rPr>
        <w:t xml:space="preserve"> importantes entre ces moyens de défense justifient le maintien d’une différence juridique </w:t>
      </w:r>
      <w:r w:rsidR="00E45755" w:rsidRPr="00B3261F">
        <w:rPr>
          <w:szCs w:val="24"/>
          <w:lang w:val="fr-CA"/>
        </w:rPr>
        <w:t>importante</w:t>
      </w:r>
      <w:r w:rsidR="00F85048" w:rsidRPr="00B3261F">
        <w:rPr>
          <w:szCs w:val="24"/>
          <w:lang w:val="fr-CA"/>
        </w:rPr>
        <w:t xml:space="preserve"> entre eux.  Le principe sous</w:t>
      </w:r>
      <w:r w:rsidRPr="00B3261F">
        <w:rPr>
          <w:szCs w:val="24"/>
          <w:lang w:val="fr-CA"/>
        </w:rPr>
        <w:noBreakHyphen/>
      </w:r>
      <w:r w:rsidR="00F85048" w:rsidRPr="00B3261F">
        <w:rPr>
          <w:szCs w:val="24"/>
          <w:lang w:val="fr-CA"/>
        </w:rPr>
        <w:t xml:space="preserve">jacent à chacun est nettement distinct.  La contrainte, à l’instar de la nécessité, constitue une excuse.  L’acte, habituellement perpétré à l’endroit d’un tiers innocent, demeure répréhensible, mais la loi en excuse </w:t>
      </w:r>
      <w:r w:rsidR="00F85048" w:rsidRPr="00B3261F">
        <w:rPr>
          <w:szCs w:val="24"/>
          <w:lang w:val="fr-CA"/>
        </w:rPr>
        <w:lastRenderedPageBreak/>
        <w:t xml:space="preserve">l’auteur qui a agi d’une manière involontaire au sens moral, s’il a commis l’acte dans des circonstances où il ne disposait vraiment d’aucun autre choix. </w:t>
      </w:r>
      <w:r w:rsidR="00E45755" w:rsidRPr="00B3261F">
        <w:rPr>
          <w:szCs w:val="24"/>
          <w:lang w:val="fr-CA"/>
        </w:rPr>
        <w:t xml:space="preserve"> L</w:t>
      </w:r>
      <w:r w:rsidR="00F85048" w:rsidRPr="00B3261F">
        <w:rPr>
          <w:szCs w:val="24"/>
          <w:lang w:val="fr-CA"/>
        </w:rPr>
        <w:t>a légitime défense</w:t>
      </w:r>
      <w:r w:rsidR="00284782" w:rsidRPr="00B3261F">
        <w:rPr>
          <w:szCs w:val="24"/>
          <w:lang w:val="fr-CA"/>
        </w:rPr>
        <w:t>, par ailleurs,</w:t>
      </w:r>
      <w:r w:rsidR="00F85048" w:rsidRPr="00B3261F">
        <w:rPr>
          <w:szCs w:val="24"/>
          <w:lang w:val="fr-CA"/>
        </w:rPr>
        <w:t xml:space="preserve"> est une justification qui repose sur le principe voulant qu’il est légitime, dans des circonstances bien définies, d’opposer la force à la force ou à une menace d’employer la force. </w:t>
      </w:r>
      <w:r w:rsidR="00284782" w:rsidRPr="00B3261F">
        <w:rPr>
          <w:szCs w:val="24"/>
          <w:lang w:val="fr-CA"/>
        </w:rPr>
        <w:t xml:space="preserve"> </w:t>
      </w:r>
      <w:r w:rsidR="00F85048" w:rsidRPr="00B3261F">
        <w:rPr>
          <w:szCs w:val="24"/>
          <w:lang w:val="fr-CA"/>
        </w:rPr>
        <w:t>La victime, qui est également l’agresseur, est l</w:t>
      </w:r>
      <w:r w:rsidR="00284782" w:rsidRPr="00B3261F">
        <w:rPr>
          <w:szCs w:val="24"/>
          <w:lang w:val="fr-CA"/>
        </w:rPr>
        <w:t>’</w:t>
      </w:r>
      <w:r w:rsidR="00F85048" w:rsidRPr="00B3261F">
        <w:rPr>
          <w:szCs w:val="24"/>
          <w:lang w:val="fr-CA"/>
        </w:rPr>
        <w:t>au</w:t>
      </w:r>
      <w:r w:rsidR="00284782" w:rsidRPr="00B3261F">
        <w:rPr>
          <w:szCs w:val="24"/>
          <w:lang w:val="fr-CA"/>
        </w:rPr>
        <w:t>t</w:t>
      </w:r>
      <w:r w:rsidR="00F85048" w:rsidRPr="00B3261F">
        <w:rPr>
          <w:szCs w:val="24"/>
          <w:lang w:val="fr-CA"/>
        </w:rPr>
        <w:t>e</w:t>
      </w:r>
      <w:r w:rsidR="00284782" w:rsidRPr="00B3261F">
        <w:rPr>
          <w:szCs w:val="24"/>
          <w:lang w:val="fr-CA"/>
        </w:rPr>
        <w:t>ur</w:t>
      </w:r>
      <w:r w:rsidR="00F85048" w:rsidRPr="00B3261F">
        <w:rPr>
          <w:szCs w:val="24"/>
          <w:lang w:val="fr-CA"/>
        </w:rPr>
        <w:t xml:space="preserve"> de s</w:t>
      </w:r>
      <w:r w:rsidR="00284782" w:rsidRPr="00B3261F">
        <w:rPr>
          <w:szCs w:val="24"/>
          <w:lang w:val="fr-CA"/>
        </w:rPr>
        <w:t>on</w:t>
      </w:r>
      <w:r w:rsidR="00F85048" w:rsidRPr="00B3261F">
        <w:rPr>
          <w:szCs w:val="24"/>
          <w:lang w:val="fr-CA"/>
        </w:rPr>
        <w:t xml:space="preserve"> propre malheur.  En règle générale, la justification de la légitime défense devrait être plus facile à invoquer que l’excuse de la contrainte.  Par conséquent, si le fait d’infliger une blessure à une personne ayant menacé ou attaqué l’accusé n’est pas justifié par le droit applicable en matière de légitime défense, il serait étrange que la réplique de l’accusé soit néanmoins excusée par le droit plus astreignant de la contrainte.</w:t>
      </w:r>
      <w:r w:rsidR="00F85048" w:rsidRPr="00B3261F">
        <w:rPr>
          <w:lang w:val="fr-CA"/>
        </w:rPr>
        <w:t xml:space="preserve"> </w:t>
      </w:r>
      <w:r w:rsidR="00F85048" w:rsidRPr="00B3261F">
        <w:rPr>
          <w:szCs w:val="24"/>
          <w:lang w:val="fr-CA"/>
        </w:rPr>
        <w:t xml:space="preserve"> Le moyen de défense fondé sur la contrainte, qui s’appuie sur un amalgame d’éléments issus tant de dispositions législatives que de la common law, ne saurait être élargi de manière à s’appliquer aux situations où l’accusé oppose la force à la force lorsque la légitime défense ne peut être invoquée.  La contrainte est, et doit demeurer, un moyen de défense qui ne peut être invoqué que dans des cas où l’accusé a été forcé de commettre une infraction précise en réplique à des menaces de mort ou de lésions corporelles.  </w:t>
      </w:r>
    </w:p>
    <w:p w:rsidR="00F85048" w:rsidRPr="00B3261F" w:rsidRDefault="0008079F" w:rsidP="0008079F">
      <w:pPr>
        <w:pStyle w:val="SCCNormalDoubleSpacing"/>
        <w:spacing w:after="480"/>
        <w:rPr>
          <w:lang w:val="fr-CA"/>
        </w:rPr>
      </w:pPr>
      <w:r w:rsidRPr="00B3261F">
        <w:rPr>
          <w:szCs w:val="24"/>
          <w:lang w:val="fr-CA"/>
        </w:rPr>
        <w:tab/>
      </w:r>
      <w:r w:rsidR="00F85048" w:rsidRPr="00B3261F">
        <w:rPr>
          <w:szCs w:val="24"/>
          <w:lang w:val="fr-CA"/>
        </w:rPr>
        <w:t>Le présent pourvoi souligne la nécessité d’apporter des éclaircissements supplémentaires au droit en matière de contrainte.  La version législative du moyen de défense s’applique aux auteurs principaux d’infractions et la common law aux participants à des infractions.</w:t>
      </w:r>
      <w:r w:rsidR="00F85048" w:rsidRPr="00B3261F">
        <w:rPr>
          <w:lang w:val="fr-CA"/>
        </w:rPr>
        <w:t xml:space="preserve">  La version législative de l’infraction exclut également </w:t>
      </w:r>
      <w:r w:rsidR="00EE2B71" w:rsidRPr="00B3261F">
        <w:rPr>
          <w:lang w:val="fr-CA"/>
        </w:rPr>
        <w:t xml:space="preserve">de son application </w:t>
      </w:r>
      <w:r w:rsidR="00F85048" w:rsidRPr="00B3261F">
        <w:rPr>
          <w:lang w:val="fr-CA"/>
        </w:rPr>
        <w:t xml:space="preserve">une longue liste d’infractions.  Néanmoins, la version législative </w:t>
      </w:r>
      <w:r w:rsidR="00F85048" w:rsidRPr="00B3261F">
        <w:rPr>
          <w:lang w:val="fr-CA"/>
        </w:rPr>
        <w:lastRenderedPageBreak/>
        <w:t>ainsi que la version de common law du moyen de défense fondé sur la contrainte sont en grande partie identiques et partagent les éléments constitutifs suivants</w:t>
      </w:r>
      <w:r w:rsidRPr="00B3261F">
        <w:rPr>
          <w:lang w:val="fr-CA"/>
        </w:rPr>
        <w:t> :</w:t>
      </w:r>
      <w:r w:rsidR="00F85048" w:rsidRPr="00B3261F">
        <w:rPr>
          <w:lang w:val="fr-CA"/>
        </w:rPr>
        <w:t xml:space="preserve"> il doit y avoir eu des menaces explicites ou implicites de causer la mort ou des lésions corporelles, dans l’immédiat ou dans le futur</w:t>
      </w:r>
      <w:r w:rsidR="00BF1980">
        <w:rPr>
          <w:lang w:val="fr-CA"/>
        </w:rPr>
        <w:t xml:space="preserve"> —</w:t>
      </w:r>
      <w:r w:rsidR="00F85048" w:rsidRPr="00B3261F">
        <w:rPr>
          <w:lang w:val="fr-CA"/>
        </w:rPr>
        <w:t xml:space="preserve"> </w:t>
      </w:r>
      <w:r w:rsidR="00BF1980">
        <w:rPr>
          <w:lang w:val="fr-CA"/>
        </w:rPr>
        <w:t>c</w:t>
      </w:r>
      <w:r w:rsidR="00F85048" w:rsidRPr="00B3261F">
        <w:rPr>
          <w:lang w:val="fr-CA"/>
        </w:rPr>
        <w:t xml:space="preserve">es menaces peuvent viser l’accusé ou un tiers; l’accusé doit croire, pour des motifs raisonnables, que ces menaces seront mises à exécution; il doit n’exister aucun moyen de s’en sortir sans danger, </w:t>
      </w:r>
      <w:r w:rsidR="00284782" w:rsidRPr="00B3261F">
        <w:rPr>
          <w:lang w:val="fr-CA"/>
        </w:rPr>
        <w:t>et cet élément est évalué en fonction d’</w:t>
      </w:r>
      <w:r w:rsidR="00F85048" w:rsidRPr="00B3261F">
        <w:rPr>
          <w:lang w:val="fr-CA"/>
        </w:rPr>
        <w:t xml:space="preserve">une norme objective modifiée; il doit exister un lien temporel étroit entre les menaces proférées et le préjudice qu’on menace de causer; il doit y avoir proportionnalité entre le préjudice dont l’accusé est menacé et celui qu’il inflige, </w:t>
      </w:r>
      <w:r w:rsidR="00284782" w:rsidRPr="00B3261F">
        <w:rPr>
          <w:lang w:val="fr-CA"/>
        </w:rPr>
        <w:t>et cet élément est lui aussi évalué en fonction d’</w:t>
      </w:r>
      <w:r w:rsidR="00F85048" w:rsidRPr="00B3261F">
        <w:rPr>
          <w:lang w:val="fr-CA"/>
        </w:rPr>
        <w:t xml:space="preserve">une norme objective modifiée; l’accusé ne peut avoir participé à aucun complot ni à aucune association le soumettant à la contrainte et avoir su </w:t>
      </w:r>
      <w:r w:rsidR="00284782" w:rsidRPr="00B3261F">
        <w:rPr>
          <w:lang w:val="fr-CA"/>
        </w:rPr>
        <w:t xml:space="preserve">vraiment </w:t>
      </w:r>
      <w:r w:rsidR="00F85048" w:rsidRPr="00B3261F">
        <w:rPr>
          <w:lang w:val="fr-CA"/>
        </w:rPr>
        <w:t xml:space="preserve">que les menaces et la contrainte l’incitant à commettre une infraction criminelle constituaient une conséquence possible de cette activité, de ce complot ou de cette association criminels. </w:t>
      </w:r>
    </w:p>
    <w:p w:rsidR="008D1C0A" w:rsidRPr="00B3261F" w:rsidRDefault="0008079F" w:rsidP="0008079F">
      <w:pPr>
        <w:pStyle w:val="SCCNormalDoubleSpacing"/>
        <w:spacing w:after="480"/>
        <w:rPr>
          <w:szCs w:val="24"/>
          <w:lang w:val="fr-CA"/>
        </w:rPr>
      </w:pPr>
      <w:r w:rsidRPr="00B3261F">
        <w:rPr>
          <w:szCs w:val="24"/>
          <w:lang w:val="fr-CA"/>
        </w:rPr>
        <w:tab/>
      </w:r>
      <w:r w:rsidR="00F85048" w:rsidRPr="00B3261F">
        <w:rPr>
          <w:szCs w:val="24"/>
          <w:lang w:val="fr-CA"/>
        </w:rPr>
        <w:t>Les circonstances exceptionnelles de l’espèce commandent l’arrêt des procédures.  Bien qu</w:t>
      </w:r>
      <w:r w:rsidR="00284782" w:rsidRPr="00B3261F">
        <w:rPr>
          <w:szCs w:val="24"/>
          <w:lang w:val="fr-CA"/>
        </w:rPr>
        <w:t xml:space="preserve">’il y ait lieu </w:t>
      </w:r>
      <w:r w:rsidR="00F85048" w:rsidRPr="00B3261F">
        <w:rPr>
          <w:szCs w:val="24"/>
          <w:lang w:val="fr-CA"/>
        </w:rPr>
        <w:t>d’accueillir l’appel, il serait injuste d’imposer à R un autre procès.  Elle a été sérieusement affectée par les mauvais traitements</w:t>
      </w:r>
      <w:r w:rsidR="00284782" w:rsidRPr="00B3261F">
        <w:rPr>
          <w:szCs w:val="24"/>
          <w:lang w:val="fr-CA"/>
        </w:rPr>
        <w:t xml:space="preserve"> qu’elle a subis</w:t>
      </w:r>
      <w:r w:rsidR="00F85048" w:rsidRPr="00B3261F">
        <w:rPr>
          <w:szCs w:val="24"/>
          <w:lang w:val="fr-CA"/>
        </w:rPr>
        <w:t>, ainsi que par ces interminables procédures.  Le droit applicable en matière de contrainte manque de clarté, d’où la difficulté particulière d’y recourir en première instance comme moyen de défense.  En outre, le changement du point de vue du ministère public concernant le droit applicable, intervenu entre la tenue du procès et la procédure d’appel, se traduisait par un risque sérieux que les conséquences des décisions prises dans la conduite de la défense de R ne puissent pas être annulées dans le contexte d’un nouveau procès.</w:t>
      </w:r>
    </w:p>
    <w:p w:rsidR="008D1C0A" w:rsidRPr="00B3261F" w:rsidRDefault="0008079F" w:rsidP="0008079F">
      <w:pPr>
        <w:pStyle w:val="SCCNormalDoubleSpacing"/>
        <w:spacing w:after="480"/>
        <w:rPr>
          <w:szCs w:val="24"/>
          <w:lang w:val="fr-CA"/>
        </w:rPr>
      </w:pPr>
      <w:r w:rsidRPr="00B3261F">
        <w:rPr>
          <w:i/>
          <w:szCs w:val="24"/>
          <w:lang w:val="fr-CA"/>
        </w:rPr>
        <w:tab/>
      </w:r>
      <w:r w:rsidR="008D1C0A" w:rsidRPr="00B3261F">
        <w:rPr>
          <w:i/>
          <w:szCs w:val="24"/>
          <w:lang w:val="fr-CA"/>
        </w:rPr>
        <w:t>Le</w:t>
      </w:r>
      <w:r w:rsidR="008D1C0A" w:rsidRPr="00B3261F">
        <w:rPr>
          <w:szCs w:val="24"/>
          <w:lang w:val="fr-CA"/>
        </w:rPr>
        <w:t xml:space="preserve"> juge Fish (dissident en partie)</w:t>
      </w:r>
      <w:r w:rsidRPr="00B3261F">
        <w:rPr>
          <w:szCs w:val="24"/>
          <w:lang w:val="fr-CA"/>
        </w:rPr>
        <w:t> :</w:t>
      </w:r>
      <w:r w:rsidR="008D1C0A" w:rsidRPr="00B3261F">
        <w:rPr>
          <w:szCs w:val="24"/>
          <w:lang w:val="fr-CA"/>
        </w:rPr>
        <w:t xml:space="preserve"> </w:t>
      </w:r>
      <w:r w:rsidR="008D1C0A" w:rsidRPr="00B3261F">
        <w:rPr>
          <w:lang w:val="fr-CA"/>
        </w:rPr>
        <w:t xml:space="preserve">L’intimée ne pouvait invoquer le moyen de défense fondé sur la contrainte et l’acquittement doit être annulé.  Toutefois, le dossier qui nous a été présenté ne justifie pas un arrêt judiciaire des procédures.  L’arrêt des procédures constitue une réparation draconienne de dernier recours et ne peut être accordé que dans les cas les plus manifestes.  Ces critères ne sont pas remplis.  Il y a lieu d’ordonner la tenue d’un nouveau procès et de laisser au ministère public le soin de décider s’il est dans l’intérêt public de tenir un nouveau procès compte tenu des circonstances particulières de l’espèce. </w:t>
      </w:r>
    </w:p>
    <w:p w:rsidR="004D7D95" w:rsidRPr="00B3261F" w:rsidRDefault="004D7D95" w:rsidP="0008079F">
      <w:pPr>
        <w:keepNext/>
        <w:spacing w:after="720"/>
        <w:jc w:val="both"/>
        <w:rPr>
          <w:b/>
          <w:lang w:val="fr-CA"/>
        </w:rPr>
      </w:pPr>
      <w:r w:rsidRPr="00B3261F">
        <w:rPr>
          <w:b/>
          <w:lang w:val="fr-CA"/>
        </w:rPr>
        <w:t>Jurisprudence</w:t>
      </w:r>
    </w:p>
    <w:p w:rsidR="005977A8" w:rsidRPr="00B3261F" w:rsidRDefault="005977A8" w:rsidP="0008079F">
      <w:pPr>
        <w:pStyle w:val="SCCNormalDoubleSpacing"/>
        <w:keepNext/>
        <w:spacing w:after="720" w:line="240" w:lineRule="auto"/>
        <w:rPr>
          <w:lang w:val="fr-CA"/>
        </w:rPr>
      </w:pPr>
      <w:r w:rsidRPr="00B3261F">
        <w:rPr>
          <w:lang w:val="fr-CA"/>
        </w:rPr>
        <w:t>Citée par les juges LeBel et Cromwell</w:t>
      </w:r>
    </w:p>
    <w:p w:rsidR="0075349C" w:rsidRPr="00B3261F" w:rsidRDefault="004D7D95" w:rsidP="0008079F">
      <w:pPr>
        <w:pStyle w:val="SCCNormalDoubleSpacing"/>
        <w:spacing w:after="480"/>
        <w:rPr>
          <w:lang w:val="fr-CA"/>
        </w:rPr>
      </w:pPr>
      <w:r w:rsidRPr="00B3261F">
        <w:rPr>
          <w:lang w:val="fr-CA"/>
        </w:rPr>
        <w:tab/>
      </w:r>
      <w:r w:rsidR="006A5EE4" w:rsidRPr="00B3261F">
        <w:rPr>
          <w:b/>
          <w:lang w:val="fr-CA"/>
        </w:rPr>
        <w:t>Arrêt expliqué</w:t>
      </w:r>
      <w:r w:rsidR="0008079F" w:rsidRPr="00B3261F">
        <w:rPr>
          <w:b/>
          <w:lang w:val="fr-CA"/>
        </w:rPr>
        <w:t> :</w:t>
      </w:r>
      <w:r w:rsidR="006A5EE4" w:rsidRPr="00B3261F">
        <w:rPr>
          <w:lang w:val="fr-CA"/>
        </w:rPr>
        <w:t xml:space="preserve"> </w:t>
      </w:r>
      <w:r w:rsidR="006A5EE4" w:rsidRPr="00B3261F">
        <w:rPr>
          <w:i/>
          <w:lang w:val="fr-CA"/>
        </w:rPr>
        <w:t>R. c. Ruzic</w:t>
      </w:r>
      <w:r w:rsidR="006A5EE4" w:rsidRPr="00B3261F">
        <w:rPr>
          <w:lang w:val="fr-CA"/>
        </w:rPr>
        <w:t xml:space="preserve">, 2001 CSC 24, [2001] 1 R.C.S. 687; </w:t>
      </w:r>
      <w:r w:rsidR="006A5EE4" w:rsidRPr="00B3261F">
        <w:rPr>
          <w:b/>
          <w:lang w:val="fr-CA"/>
        </w:rPr>
        <w:t>a</w:t>
      </w:r>
      <w:r w:rsidRPr="00B3261F">
        <w:rPr>
          <w:b/>
          <w:lang w:val="fr-CA"/>
        </w:rPr>
        <w:t>rrêts mentionnés</w:t>
      </w:r>
      <w:r w:rsidR="0008079F" w:rsidRPr="00B3261F">
        <w:rPr>
          <w:b/>
          <w:lang w:val="fr-CA"/>
        </w:rPr>
        <w:t> :</w:t>
      </w:r>
      <w:r w:rsidRPr="00B3261F">
        <w:rPr>
          <w:lang w:val="fr-CA"/>
        </w:rPr>
        <w:t xml:space="preserve"> </w:t>
      </w:r>
      <w:r w:rsidR="0075349C" w:rsidRPr="00B3261F">
        <w:rPr>
          <w:i/>
          <w:lang w:val="fr-CA"/>
        </w:rPr>
        <w:t>R. c. Hibbert</w:t>
      </w:r>
      <w:r w:rsidR="0075349C" w:rsidRPr="00B3261F">
        <w:rPr>
          <w:lang w:val="fr-CA"/>
        </w:rPr>
        <w:t>, [1995] 2 R.C.S. 973</w:t>
      </w:r>
      <w:r w:rsidR="00273A23" w:rsidRPr="00B3261F">
        <w:rPr>
          <w:lang w:val="fr-CA"/>
        </w:rPr>
        <w:t xml:space="preserve">; </w:t>
      </w:r>
      <w:r w:rsidR="00273A23" w:rsidRPr="00B3261F">
        <w:rPr>
          <w:i/>
          <w:lang w:val="fr-CA"/>
        </w:rPr>
        <w:t>Perka c. La Reine</w:t>
      </w:r>
      <w:r w:rsidR="00273A23" w:rsidRPr="00B3261F">
        <w:rPr>
          <w:lang w:val="fr-CA"/>
        </w:rPr>
        <w:t>, [1984] 2 R.C.S. 232</w:t>
      </w:r>
      <w:r w:rsidR="008C7C70" w:rsidRPr="00B3261F">
        <w:rPr>
          <w:lang w:val="fr-CA"/>
        </w:rPr>
        <w:t xml:space="preserve">; </w:t>
      </w:r>
      <w:r w:rsidR="008C7C70" w:rsidRPr="00B3261F">
        <w:rPr>
          <w:i/>
          <w:lang w:val="fr-CA"/>
        </w:rPr>
        <w:t>R. c. Hinse</w:t>
      </w:r>
      <w:r w:rsidR="008C7C70" w:rsidRPr="00B3261F">
        <w:rPr>
          <w:lang w:val="fr-CA"/>
        </w:rPr>
        <w:t xml:space="preserve">, [1995] 4 R.C.S. 597; </w:t>
      </w:r>
      <w:r w:rsidR="008C7C70" w:rsidRPr="00B3261F">
        <w:rPr>
          <w:i/>
          <w:lang w:val="fr-CA"/>
        </w:rPr>
        <w:t>R. c. Provo</w:t>
      </w:r>
      <w:r w:rsidR="008C7C70" w:rsidRPr="00B3261F">
        <w:rPr>
          <w:lang w:val="fr-CA"/>
        </w:rPr>
        <w:t xml:space="preserve">, [1989] 2 R.C.S. 3; </w:t>
      </w:r>
      <w:r w:rsidR="008C7C70" w:rsidRPr="00B3261F">
        <w:rPr>
          <w:i/>
          <w:lang w:val="fr-CA"/>
        </w:rPr>
        <w:t>R. c. Power</w:t>
      </w:r>
      <w:r w:rsidR="008C7C70" w:rsidRPr="00B3261F">
        <w:rPr>
          <w:lang w:val="fr-CA"/>
        </w:rPr>
        <w:t xml:space="preserve">, [1994] 1 R.C.S. 601; </w:t>
      </w:r>
      <w:r w:rsidR="008C7C70" w:rsidRPr="00B3261F">
        <w:rPr>
          <w:i/>
          <w:lang w:val="fr-CA"/>
        </w:rPr>
        <w:t>Canada (Ministre de la Citoyenneté et de l’Immigration) c. Tobiass</w:t>
      </w:r>
      <w:r w:rsidR="008C7C70" w:rsidRPr="00B3261F">
        <w:rPr>
          <w:lang w:val="fr-CA"/>
        </w:rPr>
        <w:t>, [1997] 3 R.C.S. 391</w:t>
      </w:r>
      <w:r w:rsidR="00071C7F" w:rsidRPr="00B3261F">
        <w:rPr>
          <w:lang w:val="fr-CA"/>
        </w:rPr>
        <w:t>;</w:t>
      </w:r>
      <w:r w:rsidR="008C7C70" w:rsidRPr="00B3261F">
        <w:rPr>
          <w:lang w:val="fr-CA"/>
        </w:rPr>
        <w:t xml:space="preserve"> </w:t>
      </w:r>
      <w:r w:rsidR="004D11CC" w:rsidRPr="00B3261F">
        <w:rPr>
          <w:i/>
          <w:lang w:val="fr-CA"/>
        </w:rPr>
        <w:t>R. c. Fraser</w:t>
      </w:r>
      <w:r w:rsidR="004D11CC" w:rsidRPr="00B3261F">
        <w:rPr>
          <w:lang w:val="fr-CA"/>
        </w:rPr>
        <w:t xml:space="preserve"> (2002), 3 C.R.</w:t>
      </w:r>
      <w:r w:rsidR="00E764BA" w:rsidRPr="00B3261F">
        <w:rPr>
          <w:lang w:val="fr-CA"/>
        </w:rPr>
        <w:t xml:space="preserve"> (6th)</w:t>
      </w:r>
      <w:r w:rsidR="004D11CC" w:rsidRPr="00B3261F">
        <w:rPr>
          <w:lang w:val="fr-CA"/>
        </w:rPr>
        <w:t xml:space="preserve"> 308</w:t>
      </w:r>
      <w:r w:rsidR="002E7F9C" w:rsidRPr="00B3261F">
        <w:rPr>
          <w:lang w:val="fr-CA"/>
        </w:rPr>
        <w:t xml:space="preserve">; </w:t>
      </w:r>
      <w:r w:rsidR="002E7F9C" w:rsidRPr="00B3261F">
        <w:rPr>
          <w:i/>
          <w:iCs/>
          <w:lang w:val="fr-CA"/>
        </w:rPr>
        <w:t>Paquette c. La Reine</w:t>
      </w:r>
      <w:r w:rsidR="002E7F9C" w:rsidRPr="00B3261F">
        <w:rPr>
          <w:iCs/>
          <w:lang w:val="fr-CA"/>
        </w:rPr>
        <w:t>, [1977] 2 R.C.S.</w:t>
      </w:r>
      <w:r w:rsidR="002E7F9C" w:rsidRPr="00B3261F">
        <w:rPr>
          <w:i/>
          <w:iCs/>
          <w:lang w:val="fr-CA"/>
        </w:rPr>
        <w:t xml:space="preserve"> </w:t>
      </w:r>
      <w:r w:rsidR="002E7F9C" w:rsidRPr="00B3261F">
        <w:rPr>
          <w:iCs/>
          <w:lang w:val="fr-CA"/>
        </w:rPr>
        <w:t>189</w:t>
      </w:r>
      <w:r w:rsidR="00702BE6" w:rsidRPr="00B3261F">
        <w:rPr>
          <w:iCs/>
          <w:lang w:val="fr-CA"/>
        </w:rPr>
        <w:t xml:space="preserve">; </w:t>
      </w:r>
      <w:r w:rsidR="00702BE6" w:rsidRPr="00B3261F">
        <w:rPr>
          <w:i/>
          <w:lang w:val="fr-CA"/>
        </w:rPr>
        <w:t>R. c. Howe</w:t>
      </w:r>
      <w:r w:rsidR="00702BE6" w:rsidRPr="00B3261F">
        <w:rPr>
          <w:lang w:val="fr-CA"/>
        </w:rPr>
        <w:t>, [1987] A.C. 417</w:t>
      </w:r>
      <w:r w:rsidR="00C20056" w:rsidRPr="00B3261F">
        <w:rPr>
          <w:lang w:val="fr-CA"/>
        </w:rPr>
        <w:t xml:space="preserve">; </w:t>
      </w:r>
      <w:r w:rsidR="00C20056" w:rsidRPr="00B3261F">
        <w:rPr>
          <w:i/>
          <w:szCs w:val="24"/>
          <w:lang w:val="fr-CA"/>
        </w:rPr>
        <w:t>R. c. Mena</w:t>
      </w:r>
      <w:r w:rsidR="00C20056" w:rsidRPr="00B3261F">
        <w:rPr>
          <w:szCs w:val="24"/>
          <w:lang w:val="fr-CA"/>
        </w:rPr>
        <w:t xml:space="preserve"> (1987), 34 C.C.C. (3d) 304; </w:t>
      </w:r>
      <w:r w:rsidR="00C20056" w:rsidRPr="00B3261F">
        <w:rPr>
          <w:i/>
          <w:lang w:val="fr-CA"/>
        </w:rPr>
        <w:t>R. c. McRae</w:t>
      </w:r>
      <w:r w:rsidR="00C20056" w:rsidRPr="00B3261F">
        <w:rPr>
          <w:lang w:val="fr-CA"/>
        </w:rPr>
        <w:t xml:space="preserve"> (2005), 77 O.R. (3d) 1</w:t>
      </w:r>
      <w:r w:rsidR="005F03EA" w:rsidRPr="00B3261F">
        <w:rPr>
          <w:lang w:val="fr-CA"/>
        </w:rPr>
        <w:t xml:space="preserve">; </w:t>
      </w:r>
      <w:r w:rsidR="005F03EA" w:rsidRPr="00B3261F">
        <w:rPr>
          <w:i/>
          <w:szCs w:val="24"/>
          <w:lang w:val="fr-CA"/>
        </w:rPr>
        <w:t>R. c. Langlois</w:t>
      </w:r>
      <w:r w:rsidR="005F03EA" w:rsidRPr="00B3261F">
        <w:rPr>
          <w:szCs w:val="24"/>
          <w:lang w:val="fr-CA"/>
        </w:rPr>
        <w:t xml:space="preserve"> (1993), 80 C.C.C. (3d) 28</w:t>
      </w:r>
      <w:r w:rsidR="00C85DCD" w:rsidRPr="00B3261F">
        <w:rPr>
          <w:szCs w:val="24"/>
          <w:lang w:val="fr-CA"/>
        </w:rPr>
        <w:t xml:space="preserve">; </w:t>
      </w:r>
      <w:r w:rsidR="00C85DCD" w:rsidRPr="00B3261F">
        <w:rPr>
          <w:i/>
          <w:lang w:val="fr-CA"/>
        </w:rPr>
        <w:t>R. c. Latimer</w:t>
      </w:r>
      <w:r w:rsidR="00C85DCD" w:rsidRPr="00B3261F">
        <w:rPr>
          <w:lang w:val="fr-CA"/>
        </w:rPr>
        <w:t>, 2001 CSC 1, [2001] 1 R.C.S. 3</w:t>
      </w:r>
      <w:r w:rsidR="004F3664" w:rsidRPr="00B3261F">
        <w:rPr>
          <w:lang w:val="fr-CA"/>
        </w:rPr>
        <w:t xml:space="preserve">; </w:t>
      </w:r>
      <w:r w:rsidR="004F3664" w:rsidRPr="00B3261F">
        <w:rPr>
          <w:i/>
          <w:lang w:val="fr-CA"/>
        </w:rPr>
        <w:t xml:space="preserve">R. c. Li </w:t>
      </w:r>
      <w:r w:rsidR="004F3664" w:rsidRPr="00B3261F">
        <w:rPr>
          <w:lang w:val="fr-CA"/>
        </w:rPr>
        <w:t xml:space="preserve">(2002), 162 C.C.C. (3d) 360; </w:t>
      </w:r>
      <w:r w:rsidR="004F3664" w:rsidRPr="00B3261F">
        <w:rPr>
          <w:i/>
          <w:lang w:val="fr-CA"/>
        </w:rPr>
        <w:t>R. c. Poon</w:t>
      </w:r>
      <w:r w:rsidR="004F3664" w:rsidRPr="00B3261F">
        <w:rPr>
          <w:lang w:val="fr-CA"/>
        </w:rPr>
        <w:t xml:space="preserve">, 2006 BCSC 1158 (CanLII); </w:t>
      </w:r>
      <w:r w:rsidR="004F3664" w:rsidRPr="00B3261F">
        <w:rPr>
          <w:i/>
          <w:lang w:val="fr-CA"/>
        </w:rPr>
        <w:t>R. c. M.P.D.</w:t>
      </w:r>
      <w:r w:rsidR="004F3664" w:rsidRPr="00B3261F">
        <w:rPr>
          <w:lang w:val="fr-CA"/>
        </w:rPr>
        <w:t xml:space="preserve">, </w:t>
      </w:r>
      <w:r w:rsidR="00242ABE" w:rsidRPr="00B3261F">
        <w:rPr>
          <w:lang w:val="fr-CA"/>
        </w:rPr>
        <w:t xml:space="preserve">2003 BCPC 97, </w:t>
      </w:r>
      <w:r w:rsidR="004F3664" w:rsidRPr="00B3261F">
        <w:rPr>
          <w:lang w:val="fr-CA"/>
        </w:rPr>
        <w:t xml:space="preserve">[2003] B.C.J. </w:t>
      </w:r>
      <w:r w:rsidR="0008079F" w:rsidRPr="00B3261F">
        <w:rPr>
          <w:lang w:val="fr-CA"/>
        </w:rPr>
        <w:t>No. </w:t>
      </w:r>
      <w:r w:rsidR="004F3664" w:rsidRPr="00B3261F">
        <w:rPr>
          <w:lang w:val="fr-CA"/>
        </w:rPr>
        <w:t>771 (QL)</w:t>
      </w:r>
      <w:r w:rsidR="00E14353" w:rsidRPr="00B3261F">
        <w:rPr>
          <w:lang w:val="fr-CA"/>
        </w:rPr>
        <w:t xml:space="preserve">; </w:t>
      </w:r>
      <w:r w:rsidR="00E14353" w:rsidRPr="00B3261F">
        <w:rPr>
          <w:i/>
          <w:lang w:val="fr-CA"/>
        </w:rPr>
        <w:t>United States c. Burnes</w:t>
      </w:r>
      <w:r w:rsidR="00E14353" w:rsidRPr="00B3261F">
        <w:rPr>
          <w:lang w:val="fr-CA"/>
        </w:rPr>
        <w:t xml:space="preserve">, 666 F.Supp.2d 968 (2009); </w:t>
      </w:r>
      <w:r w:rsidR="00E14353" w:rsidRPr="00B3261F">
        <w:rPr>
          <w:i/>
          <w:lang w:val="fr-CA"/>
        </w:rPr>
        <w:t>United States c. Gamboa</w:t>
      </w:r>
      <w:r w:rsidR="00E14353" w:rsidRPr="00B3261F">
        <w:rPr>
          <w:lang w:val="fr-CA"/>
        </w:rPr>
        <w:t xml:space="preserve">, 439 F.3d 796 (2006); </w:t>
      </w:r>
      <w:r w:rsidR="00E14353" w:rsidRPr="00B3261F">
        <w:rPr>
          <w:i/>
          <w:lang w:val="fr-CA"/>
        </w:rPr>
        <w:t>United States c. Montes</w:t>
      </w:r>
      <w:r w:rsidR="00E14353" w:rsidRPr="00B3261F">
        <w:rPr>
          <w:lang w:val="fr-CA"/>
        </w:rPr>
        <w:t>, 602 F.3d 381 (2010)</w:t>
      </w:r>
      <w:r w:rsidR="0075349C" w:rsidRPr="00B3261F">
        <w:rPr>
          <w:lang w:val="fr-CA"/>
        </w:rPr>
        <w:t>.</w:t>
      </w:r>
    </w:p>
    <w:p w:rsidR="001A0524" w:rsidRPr="00B3261F" w:rsidRDefault="001A0524" w:rsidP="0008079F">
      <w:pPr>
        <w:pStyle w:val="SCCNormalDoubleSpacing"/>
        <w:keepNext/>
        <w:spacing w:after="720" w:line="240" w:lineRule="auto"/>
        <w:rPr>
          <w:lang w:val="fr-CA"/>
        </w:rPr>
      </w:pPr>
      <w:r w:rsidRPr="00B3261F">
        <w:rPr>
          <w:lang w:val="fr-CA"/>
        </w:rPr>
        <w:t>Citée par le juge Fish</w:t>
      </w:r>
      <w:r w:rsidR="00CD188C" w:rsidRPr="00B3261F">
        <w:rPr>
          <w:lang w:val="fr-CA"/>
        </w:rPr>
        <w:t xml:space="preserve"> (dissident en partie)</w:t>
      </w:r>
    </w:p>
    <w:p w:rsidR="004D7D95" w:rsidRPr="00B3261F" w:rsidRDefault="001A0524" w:rsidP="0008079F">
      <w:pPr>
        <w:pStyle w:val="SCCNormalDoubleSpacing"/>
        <w:widowControl w:val="0"/>
        <w:spacing w:after="480"/>
        <w:rPr>
          <w:lang w:val="fr-CA"/>
        </w:rPr>
      </w:pPr>
      <w:r w:rsidRPr="00B3261F">
        <w:rPr>
          <w:lang w:val="fr-CA"/>
        </w:rPr>
        <w:tab/>
      </w:r>
      <w:r w:rsidRPr="00B3261F">
        <w:rPr>
          <w:i/>
          <w:lang w:val="fr-CA"/>
        </w:rPr>
        <w:t>Charkaoui c. Canada (Citoyenneté et Immigration)</w:t>
      </w:r>
      <w:r w:rsidRPr="00B3261F">
        <w:rPr>
          <w:lang w:val="fr-CA"/>
        </w:rPr>
        <w:t xml:space="preserve">, 2008 CSC 38, [2008] 2 R.C.S. 326; </w:t>
      </w:r>
      <w:r w:rsidRPr="00B3261F">
        <w:rPr>
          <w:i/>
          <w:lang w:val="fr-CA"/>
        </w:rPr>
        <w:t>R. c. Regan</w:t>
      </w:r>
      <w:r w:rsidRPr="00B3261F">
        <w:rPr>
          <w:lang w:val="fr-CA"/>
        </w:rPr>
        <w:t xml:space="preserve">, 2002 CSC 12, [2002] 1 R.C.S. 297; </w:t>
      </w:r>
      <w:r w:rsidRPr="00B3261F">
        <w:rPr>
          <w:i/>
          <w:lang w:val="fr-CA"/>
        </w:rPr>
        <w:t>Canada (Minist</w:t>
      </w:r>
      <w:r w:rsidR="00696D0B" w:rsidRPr="00B3261F">
        <w:rPr>
          <w:i/>
          <w:lang w:val="fr-CA"/>
        </w:rPr>
        <w:t>re de la Citoyenneté et de l’</w:t>
      </w:r>
      <w:r w:rsidRPr="00B3261F">
        <w:rPr>
          <w:i/>
          <w:lang w:val="fr-CA"/>
        </w:rPr>
        <w:t xml:space="preserve">Immigration) </w:t>
      </w:r>
      <w:r w:rsidR="00696D0B" w:rsidRPr="00B3261F">
        <w:rPr>
          <w:i/>
          <w:lang w:val="fr-CA"/>
        </w:rPr>
        <w:t>c</w:t>
      </w:r>
      <w:r w:rsidRPr="00B3261F">
        <w:rPr>
          <w:i/>
          <w:lang w:val="fr-CA"/>
        </w:rPr>
        <w:t>. Tobiass</w:t>
      </w:r>
      <w:r w:rsidRPr="00B3261F">
        <w:rPr>
          <w:lang w:val="fr-CA"/>
        </w:rPr>
        <w:t xml:space="preserve">, [1997] 3 </w:t>
      </w:r>
      <w:r w:rsidR="00696D0B" w:rsidRPr="00B3261F">
        <w:rPr>
          <w:lang w:val="fr-CA"/>
        </w:rPr>
        <w:t>R.C.</w:t>
      </w:r>
      <w:r w:rsidRPr="00B3261F">
        <w:rPr>
          <w:lang w:val="fr-CA"/>
        </w:rPr>
        <w:t xml:space="preserve">S. 391; </w:t>
      </w:r>
      <w:r w:rsidRPr="00B3261F">
        <w:rPr>
          <w:i/>
          <w:lang w:val="fr-CA"/>
        </w:rPr>
        <w:t xml:space="preserve">R. </w:t>
      </w:r>
      <w:r w:rsidR="00696D0B" w:rsidRPr="00B3261F">
        <w:rPr>
          <w:i/>
          <w:lang w:val="fr-CA"/>
        </w:rPr>
        <w:t>c</w:t>
      </w:r>
      <w:r w:rsidRPr="00B3261F">
        <w:rPr>
          <w:i/>
          <w:lang w:val="fr-CA"/>
        </w:rPr>
        <w:t>. O’Connor</w:t>
      </w:r>
      <w:r w:rsidRPr="00B3261F">
        <w:rPr>
          <w:lang w:val="fr-CA"/>
        </w:rPr>
        <w:t xml:space="preserve">, [1995] 4 </w:t>
      </w:r>
      <w:r w:rsidR="00696D0B" w:rsidRPr="00B3261F">
        <w:rPr>
          <w:lang w:val="fr-CA"/>
        </w:rPr>
        <w:t>R.C.</w:t>
      </w:r>
      <w:r w:rsidRPr="00B3261F">
        <w:rPr>
          <w:lang w:val="fr-CA"/>
        </w:rPr>
        <w:t>S. 411.</w:t>
      </w:r>
    </w:p>
    <w:p w:rsidR="004D7D95" w:rsidRPr="00B3261F" w:rsidRDefault="004D7D95" w:rsidP="0008079F">
      <w:pPr>
        <w:pStyle w:val="SCCNormalDoubleSpacing"/>
        <w:keepNext/>
        <w:spacing w:after="720" w:line="240" w:lineRule="auto"/>
        <w:rPr>
          <w:b/>
          <w:lang w:val="fr-CA"/>
        </w:rPr>
      </w:pPr>
      <w:r w:rsidRPr="00B3261F">
        <w:rPr>
          <w:b/>
          <w:lang w:val="fr-CA"/>
        </w:rPr>
        <w:t>Lois et règlements cités</w:t>
      </w:r>
    </w:p>
    <w:p w:rsidR="00606B59" w:rsidRPr="00B3261F" w:rsidRDefault="000D5AE5" w:rsidP="0008079F">
      <w:pPr>
        <w:pStyle w:val="SCCNormalDoubleSpacing"/>
        <w:spacing w:after="240" w:line="240" w:lineRule="auto"/>
        <w:ind w:left="547" w:hanging="547"/>
        <w:rPr>
          <w:lang w:val="fr-CA"/>
        </w:rPr>
      </w:pPr>
      <w:r w:rsidRPr="00B3261F">
        <w:rPr>
          <w:i/>
          <w:lang w:val="fr-CA"/>
        </w:rPr>
        <w:t>Charte canadienne des droits et libertés</w:t>
      </w:r>
      <w:r w:rsidRPr="00B3261F">
        <w:rPr>
          <w:lang w:val="fr-CA"/>
        </w:rPr>
        <w:t xml:space="preserve">, </w:t>
      </w:r>
      <w:r w:rsidR="0008079F" w:rsidRPr="00B3261F">
        <w:rPr>
          <w:lang w:val="fr-CA"/>
        </w:rPr>
        <w:t>art. </w:t>
      </w:r>
      <w:r w:rsidRPr="00B3261F">
        <w:rPr>
          <w:lang w:val="fr-CA"/>
        </w:rPr>
        <w:t>1, 7.</w:t>
      </w:r>
    </w:p>
    <w:p w:rsidR="00606B59" w:rsidRPr="00B3261F" w:rsidRDefault="00606B59" w:rsidP="0008079F">
      <w:pPr>
        <w:pStyle w:val="SCCNormalDoubleSpacing"/>
        <w:spacing w:after="720" w:line="240" w:lineRule="auto"/>
        <w:ind w:left="540" w:hanging="540"/>
        <w:rPr>
          <w:lang w:val="fr-CA"/>
        </w:rPr>
      </w:pPr>
      <w:r w:rsidRPr="00B3261F">
        <w:rPr>
          <w:i/>
          <w:lang w:val="fr-CA"/>
        </w:rPr>
        <w:t>Code criminel</w:t>
      </w:r>
      <w:r w:rsidRPr="00B3261F">
        <w:rPr>
          <w:lang w:val="fr-CA"/>
        </w:rPr>
        <w:t xml:space="preserve">, L.R.C. 1985, </w:t>
      </w:r>
      <w:r w:rsidR="0008079F" w:rsidRPr="00B3261F">
        <w:rPr>
          <w:lang w:val="fr-CA"/>
        </w:rPr>
        <w:t>ch. </w:t>
      </w:r>
      <w:r w:rsidRPr="00B3261F">
        <w:rPr>
          <w:lang w:val="fr-CA"/>
        </w:rPr>
        <w:t>C</w:t>
      </w:r>
      <w:r w:rsidR="0008079F" w:rsidRPr="00B3261F">
        <w:rPr>
          <w:lang w:val="fr-CA"/>
        </w:rPr>
        <w:noBreakHyphen/>
      </w:r>
      <w:r w:rsidRPr="00B3261F">
        <w:rPr>
          <w:lang w:val="fr-CA"/>
        </w:rPr>
        <w:t xml:space="preserve">46, </w:t>
      </w:r>
      <w:r w:rsidR="0008079F" w:rsidRPr="00B3261F">
        <w:rPr>
          <w:lang w:val="fr-CA"/>
        </w:rPr>
        <w:t>art. </w:t>
      </w:r>
      <w:r w:rsidR="00481AF7" w:rsidRPr="00B3261F">
        <w:rPr>
          <w:lang w:val="fr-CA"/>
        </w:rPr>
        <w:t>2 «</w:t>
      </w:r>
      <w:r w:rsidR="00645046" w:rsidRPr="00B3261F">
        <w:rPr>
          <w:lang w:val="fr-CA"/>
        </w:rPr>
        <w:t> lésions corporelles </w:t>
      </w:r>
      <w:r w:rsidR="00481AF7" w:rsidRPr="00B3261F">
        <w:rPr>
          <w:lang w:val="fr-CA"/>
        </w:rPr>
        <w:t xml:space="preserve">», </w:t>
      </w:r>
      <w:r w:rsidR="00A063D6" w:rsidRPr="00B3261F">
        <w:rPr>
          <w:lang w:val="fr-CA"/>
        </w:rPr>
        <w:t xml:space="preserve">8(3), </w:t>
      </w:r>
      <w:r w:rsidR="007D169A" w:rsidRPr="00B3261F">
        <w:rPr>
          <w:lang w:val="fr-CA"/>
        </w:rPr>
        <w:t xml:space="preserve">17, </w:t>
      </w:r>
      <w:r w:rsidR="0084228F" w:rsidRPr="00B3261F">
        <w:rPr>
          <w:lang w:val="fr-CA"/>
        </w:rPr>
        <w:t xml:space="preserve">34(1), </w:t>
      </w:r>
      <w:r w:rsidRPr="00B3261F">
        <w:rPr>
          <w:lang w:val="fr-CA"/>
        </w:rPr>
        <w:t>464</w:t>
      </w:r>
      <w:r w:rsidRPr="00B3261F">
        <w:rPr>
          <w:i/>
          <w:lang w:val="fr-CA"/>
        </w:rPr>
        <w:t>a</w:t>
      </w:r>
      <w:r w:rsidRPr="00B3261F">
        <w:rPr>
          <w:lang w:val="fr-CA"/>
        </w:rPr>
        <w:t>)</w:t>
      </w:r>
      <w:r w:rsidR="004F56FD" w:rsidRPr="00B3261F">
        <w:rPr>
          <w:lang w:val="fr-CA"/>
        </w:rPr>
        <w:t>, 695</w:t>
      </w:r>
      <w:r w:rsidRPr="00B3261F">
        <w:rPr>
          <w:lang w:val="fr-CA"/>
        </w:rPr>
        <w:t>.</w:t>
      </w:r>
    </w:p>
    <w:p w:rsidR="004D7D95" w:rsidRPr="00B3261F" w:rsidRDefault="004D7D95" w:rsidP="003E3B88">
      <w:pPr>
        <w:pStyle w:val="SCCNormalDoubleSpacing"/>
        <w:widowControl w:val="0"/>
        <w:spacing w:after="720" w:line="240" w:lineRule="auto"/>
        <w:rPr>
          <w:b/>
          <w:lang w:val="fr-CA"/>
        </w:rPr>
      </w:pPr>
      <w:r w:rsidRPr="00B3261F">
        <w:rPr>
          <w:b/>
          <w:lang w:val="fr-CA"/>
        </w:rPr>
        <w:t>Doctrine et autres documents cités</w:t>
      </w:r>
    </w:p>
    <w:p w:rsidR="00913ADA" w:rsidRPr="00B3261F" w:rsidRDefault="0008079F" w:rsidP="0008079F">
      <w:pPr>
        <w:pStyle w:val="SCCNormalDoubleSpacing"/>
        <w:spacing w:after="240" w:line="240" w:lineRule="auto"/>
        <w:ind w:left="547" w:hanging="547"/>
      </w:pPr>
      <w:r w:rsidRPr="005E0955">
        <w:rPr>
          <w:lang w:val="en-US"/>
        </w:rPr>
        <w:t>Baker, Dennis </w:t>
      </w:r>
      <w:r w:rsidR="00913ADA" w:rsidRPr="005E0955">
        <w:rPr>
          <w:lang w:val="en-US"/>
        </w:rPr>
        <w:t xml:space="preserve">J.  </w:t>
      </w:r>
      <w:r w:rsidR="00913ADA" w:rsidRPr="00B3261F">
        <w:rPr>
          <w:i/>
        </w:rPr>
        <w:t>Textbook of Criminal Law</w:t>
      </w:r>
      <w:r w:rsidR="00913ADA" w:rsidRPr="00B3261F">
        <w:t>, 3rd ed.  London</w:t>
      </w:r>
      <w:r w:rsidRPr="00B3261F">
        <w:t> :</w:t>
      </w:r>
      <w:r w:rsidR="00913ADA" w:rsidRPr="00B3261F">
        <w:t xml:space="preserve"> Sweet &amp; Maxwell, 2012.</w:t>
      </w:r>
    </w:p>
    <w:p w:rsidR="005D4791" w:rsidRPr="00B3261F" w:rsidRDefault="005D4791" w:rsidP="0008079F">
      <w:pPr>
        <w:pStyle w:val="SCCNormalDoubleSpacing"/>
        <w:spacing w:after="240" w:line="240" w:lineRule="auto"/>
        <w:ind w:left="547" w:hanging="547"/>
      </w:pPr>
      <w:r w:rsidRPr="00B3261F">
        <w:t>Coughlan, Stephen G.  « Duress, Necessity, Self</w:t>
      </w:r>
      <w:r w:rsidR="0008079F" w:rsidRPr="00B3261F">
        <w:noBreakHyphen/>
      </w:r>
      <w:r w:rsidRPr="00B3261F">
        <w:t>Defence and Provocation</w:t>
      </w:r>
      <w:r w:rsidR="0008079F" w:rsidRPr="00B3261F">
        <w:t> :</w:t>
      </w:r>
      <w:r w:rsidRPr="00B3261F">
        <w:t xml:space="preserve"> Implications of Radical Change? » (2002), 7 </w:t>
      </w:r>
      <w:r w:rsidR="004333F6" w:rsidRPr="00B3261F">
        <w:rPr>
          <w:i/>
        </w:rPr>
        <w:t>Rev. c</w:t>
      </w:r>
      <w:r w:rsidRPr="00B3261F">
        <w:rPr>
          <w:i/>
        </w:rPr>
        <w:t xml:space="preserve">an. </w:t>
      </w:r>
      <w:r w:rsidR="004333F6" w:rsidRPr="00B3261F">
        <w:rPr>
          <w:i/>
        </w:rPr>
        <w:t>D.</w:t>
      </w:r>
      <w:r w:rsidR="0008079F" w:rsidRPr="00B3261F">
        <w:rPr>
          <w:i/>
        </w:rPr>
        <w:t>P. </w:t>
      </w:r>
      <w:r w:rsidRPr="00B3261F">
        <w:t>147.</w:t>
      </w:r>
    </w:p>
    <w:p w:rsidR="004B4F89" w:rsidRPr="00B3261F" w:rsidRDefault="0008079F" w:rsidP="0008079F">
      <w:pPr>
        <w:pStyle w:val="SCCNormalDoubleSpacing"/>
        <w:spacing w:after="240" w:line="240" w:lineRule="auto"/>
        <w:ind w:left="547" w:hanging="547"/>
      </w:pPr>
      <w:r w:rsidRPr="00B3261F">
        <w:t>Fletcher, George P. </w:t>
      </w:r>
      <w:r w:rsidR="004B4F89" w:rsidRPr="00B3261F">
        <w:t xml:space="preserve"> </w:t>
      </w:r>
      <w:r w:rsidR="004B4F89" w:rsidRPr="00B3261F">
        <w:rPr>
          <w:i/>
        </w:rPr>
        <w:t>Rethinking Criminal Law</w:t>
      </w:r>
      <w:r w:rsidR="004B4F89" w:rsidRPr="00B3261F">
        <w:t>.  Boston</w:t>
      </w:r>
      <w:r w:rsidRPr="00B3261F">
        <w:t> :</w:t>
      </w:r>
      <w:r w:rsidR="004B4F89" w:rsidRPr="00B3261F">
        <w:t xml:space="preserve"> Little, Brown, 1978.</w:t>
      </w:r>
    </w:p>
    <w:p w:rsidR="00440CA5" w:rsidRPr="00B3261F" w:rsidRDefault="00440CA5" w:rsidP="0008079F">
      <w:pPr>
        <w:pStyle w:val="SCCNormalDoubleSpacing"/>
        <w:spacing w:after="240" w:line="240" w:lineRule="auto"/>
        <w:ind w:left="547" w:hanging="547"/>
        <w:rPr>
          <w:lang w:val="en-US"/>
        </w:rPr>
      </w:pPr>
      <w:r w:rsidRPr="00B3261F">
        <w:t xml:space="preserve">Manning, Morris, and Peter Sankoff.  </w:t>
      </w:r>
      <w:r w:rsidRPr="00B3261F">
        <w:rPr>
          <w:i/>
        </w:rPr>
        <w:t>Manning Mewett &amp; Sankoff</w:t>
      </w:r>
      <w:r w:rsidR="0008079F" w:rsidRPr="00B3261F">
        <w:rPr>
          <w:i/>
        </w:rPr>
        <w:t> :</w:t>
      </w:r>
      <w:r w:rsidRPr="00B3261F">
        <w:rPr>
          <w:i/>
        </w:rPr>
        <w:t xml:space="preserve"> Criminal Law</w:t>
      </w:r>
      <w:r w:rsidRPr="00B3261F">
        <w:t xml:space="preserve">, 4th ed.  </w:t>
      </w:r>
      <w:r w:rsidRPr="00B3261F">
        <w:rPr>
          <w:lang w:val="en-US"/>
        </w:rPr>
        <w:t>Markham, Ont.</w:t>
      </w:r>
      <w:r w:rsidR="0008079F" w:rsidRPr="00B3261F">
        <w:rPr>
          <w:lang w:val="en-US"/>
        </w:rPr>
        <w:t> :</w:t>
      </w:r>
      <w:r w:rsidRPr="00B3261F">
        <w:rPr>
          <w:lang w:val="en-US"/>
        </w:rPr>
        <w:t xml:space="preserve"> LexisNexis, 2009.</w:t>
      </w:r>
    </w:p>
    <w:p w:rsidR="00353E3F" w:rsidRPr="00B3261F" w:rsidRDefault="00353E3F" w:rsidP="0008079F">
      <w:pPr>
        <w:pStyle w:val="SCCNormalDoubleSpacing"/>
        <w:tabs>
          <w:tab w:val="left" w:pos="4860"/>
        </w:tabs>
        <w:spacing w:after="240" w:line="240" w:lineRule="auto"/>
        <w:ind w:left="547" w:hanging="547"/>
      </w:pPr>
      <w:r w:rsidRPr="00B3261F">
        <w:t>Paciocco,</w:t>
      </w:r>
      <w:r w:rsidR="0008079F" w:rsidRPr="00B3261F">
        <w:t xml:space="preserve"> David </w:t>
      </w:r>
      <w:r w:rsidRPr="00B3261F">
        <w:t>M.  « No</w:t>
      </w:r>
      <w:r w:rsidR="0008079F" w:rsidRPr="00B3261F">
        <w:noBreakHyphen/>
      </w:r>
      <w:r w:rsidRPr="00B3261F">
        <w:t>one Wants to Be Eaten</w:t>
      </w:r>
      <w:r w:rsidR="0008079F" w:rsidRPr="00B3261F">
        <w:t> :</w:t>
      </w:r>
      <w:r w:rsidRPr="00B3261F">
        <w:t xml:space="preserve"> The Logic and Experience of the Law of Necessity and Duress » (2010), 56 </w:t>
      </w:r>
      <w:r w:rsidRPr="00B3261F">
        <w:rPr>
          <w:i/>
        </w:rPr>
        <w:t>Crim. L.Q.</w:t>
      </w:r>
      <w:r w:rsidRPr="00B3261F">
        <w:t xml:space="preserve"> 240.</w:t>
      </w:r>
    </w:p>
    <w:p w:rsidR="0095394B" w:rsidRPr="00442F23" w:rsidRDefault="0095394B" w:rsidP="0008079F">
      <w:pPr>
        <w:pStyle w:val="SCCNormalDoubleSpacing"/>
        <w:spacing w:after="240" w:line="240" w:lineRule="auto"/>
        <w:ind w:left="547" w:hanging="547"/>
        <w:rPr>
          <w:lang w:val="en-US"/>
        </w:rPr>
      </w:pPr>
      <w:r w:rsidRPr="00B3261F">
        <w:rPr>
          <w:lang w:val="fr-CA"/>
        </w:rPr>
        <w:t xml:space="preserve">Parent, Hughes.  </w:t>
      </w:r>
      <w:r w:rsidRPr="00B3261F">
        <w:rPr>
          <w:i/>
          <w:lang w:val="fr-CA"/>
        </w:rPr>
        <w:t>Traité de droit criminel</w:t>
      </w:r>
      <w:r w:rsidRPr="00B3261F">
        <w:rPr>
          <w:lang w:val="fr-CA"/>
        </w:rPr>
        <w:t xml:space="preserve">, t. 1, </w:t>
      </w:r>
      <w:r w:rsidRPr="00B3261F">
        <w:rPr>
          <w:i/>
          <w:lang w:val="fr-CA"/>
        </w:rPr>
        <w:t>L’imputabilité</w:t>
      </w:r>
      <w:r w:rsidRPr="00B3261F">
        <w:rPr>
          <w:lang w:val="fr-CA"/>
        </w:rPr>
        <w:t>, 2</w:t>
      </w:r>
      <w:r w:rsidRPr="00B3261F">
        <w:rPr>
          <w:vertAlign w:val="superscript"/>
          <w:lang w:val="fr-CA"/>
        </w:rPr>
        <w:t>e</w:t>
      </w:r>
      <w:r w:rsidRPr="00B3261F">
        <w:rPr>
          <w:lang w:val="fr-CA"/>
        </w:rPr>
        <w:t xml:space="preserve"> éd.  </w:t>
      </w:r>
      <w:r w:rsidRPr="00442F23">
        <w:rPr>
          <w:lang w:val="en-US"/>
        </w:rPr>
        <w:t>Montréal</w:t>
      </w:r>
      <w:r w:rsidR="0008079F" w:rsidRPr="00442F23">
        <w:rPr>
          <w:lang w:val="en-US"/>
        </w:rPr>
        <w:t> :</w:t>
      </w:r>
      <w:r w:rsidRPr="00442F23">
        <w:rPr>
          <w:lang w:val="en-US"/>
        </w:rPr>
        <w:t xml:space="preserve"> Thémis, 2005.</w:t>
      </w:r>
    </w:p>
    <w:p w:rsidR="003956FB" w:rsidRPr="00B3261F" w:rsidRDefault="003956FB" w:rsidP="0008079F">
      <w:pPr>
        <w:pStyle w:val="SCCNormalDoubleSpacing"/>
        <w:spacing w:after="240" w:line="240" w:lineRule="auto"/>
        <w:ind w:left="547" w:hanging="547"/>
      </w:pPr>
      <w:r w:rsidRPr="00B3261F">
        <w:t>Roach</w:t>
      </w:r>
      <w:r w:rsidR="00A12D6C" w:rsidRPr="00B3261F">
        <w:t>, Kent</w:t>
      </w:r>
      <w:r w:rsidRPr="00B3261F">
        <w:t xml:space="preserve">.  </w:t>
      </w:r>
      <w:r w:rsidRPr="00B3261F">
        <w:rPr>
          <w:i/>
        </w:rPr>
        <w:t>Criminal Law</w:t>
      </w:r>
      <w:r w:rsidRPr="00B3261F">
        <w:t>, 4th ed.  Toronto</w:t>
      </w:r>
      <w:r w:rsidR="0008079F" w:rsidRPr="00B3261F">
        <w:t> :</w:t>
      </w:r>
      <w:r w:rsidRPr="00B3261F">
        <w:t xml:space="preserve"> Irwin Law, 2009.</w:t>
      </w:r>
    </w:p>
    <w:p w:rsidR="005D343D" w:rsidRPr="00B3261F" w:rsidRDefault="005D343D" w:rsidP="0008079F">
      <w:pPr>
        <w:pStyle w:val="SCCNormalDoubleSpacing"/>
        <w:spacing w:after="240" w:line="240" w:lineRule="auto"/>
        <w:ind w:left="547" w:hanging="547"/>
        <w:rPr>
          <w:lang w:val="en-US"/>
        </w:rPr>
      </w:pPr>
      <w:r w:rsidRPr="00B3261F">
        <w:t xml:space="preserve">Stuart, Don.  </w:t>
      </w:r>
      <w:r w:rsidRPr="00B3261F">
        <w:rPr>
          <w:i/>
        </w:rPr>
        <w:t>Canadian Criminal Law</w:t>
      </w:r>
      <w:r w:rsidR="0008079F" w:rsidRPr="00B3261F">
        <w:rPr>
          <w:i/>
        </w:rPr>
        <w:t> :</w:t>
      </w:r>
      <w:r w:rsidRPr="00B3261F">
        <w:rPr>
          <w:i/>
        </w:rPr>
        <w:t xml:space="preserve"> A Treatise</w:t>
      </w:r>
      <w:r w:rsidRPr="00B3261F">
        <w:t xml:space="preserve">, 6th ed.  </w:t>
      </w:r>
      <w:r w:rsidRPr="00B3261F">
        <w:rPr>
          <w:lang w:val="en-US"/>
        </w:rPr>
        <w:t>Scarborough, Ont.</w:t>
      </w:r>
      <w:r w:rsidR="0008079F" w:rsidRPr="00B3261F">
        <w:rPr>
          <w:lang w:val="en-US"/>
        </w:rPr>
        <w:t> :</w:t>
      </w:r>
      <w:r w:rsidRPr="00B3261F">
        <w:rPr>
          <w:lang w:val="en-US"/>
        </w:rPr>
        <w:t xml:space="preserve"> Thomson Reuters, 2011.</w:t>
      </w:r>
    </w:p>
    <w:p w:rsidR="00186593" w:rsidRPr="00B3261F" w:rsidRDefault="00186593" w:rsidP="0008079F">
      <w:pPr>
        <w:pStyle w:val="SCCNormalDoubleSpacing"/>
        <w:spacing w:after="720" w:line="240" w:lineRule="auto"/>
        <w:ind w:left="547" w:hanging="547"/>
      </w:pPr>
      <w:r w:rsidRPr="00B3261F">
        <w:t xml:space="preserve">Yeo, Stanley.  « Defining Duress » (2002), 46 </w:t>
      </w:r>
      <w:r w:rsidRPr="00B3261F">
        <w:rPr>
          <w:i/>
        </w:rPr>
        <w:t>Crim. L.Q.</w:t>
      </w:r>
      <w:r w:rsidRPr="00B3261F">
        <w:t xml:space="preserve"> 293.</w:t>
      </w:r>
    </w:p>
    <w:p w:rsidR="00397908" w:rsidRPr="00B3261F" w:rsidRDefault="00397908" w:rsidP="0008079F">
      <w:pPr>
        <w:pStyle w:val="SCCNormalDoubleSpacing"/>
        <w:spacing w:after="480"/>
        <w:rPr>
          <w:szCs w:val="24"/>
          <w:lang w:val="fr-CA"/>
        </w:rPr>
      </w:pPr>
      <w:r w:rsidRPr="00B3261F">
        <w:rPr>
          <w:lang w:val="en-US"/>
        </w:rPr>
        <w:tab/>
      </w:r>
      <w:r w:rsidR="004D7D95" w:rsidRPr="00B3261F">
        <w:rPr>
          <w:lang w:val="fr-CA"/>
        </w:rPr>
        <w:t>POURVOI contre un arrêt de la Cour d’appel de la Nouvelle</w:t>
      </w:r>
      <w:r w:rsidR="0008079F" w:rsidRPr="00B3261F">
        <w:rPr>
          <w:lang w:val="fr-CA"/>
        </w:rPr>
        <w:noBreakHyphen/>
      </w:r>
      <w:r w:rsidR="004D7D95" w:rsidRPr="00B3261F">
        <w:rPr>
          <w:lang w:val="fr-CA"/>
        </w:rPr>
        <w:t>Écosse</w:t>
      </w:r>
      <w:r w:rsidRPr="00B3261F">
        <w:rPr>
          <w:lang w:val="fr-CA"/>
        </w:rPr>
        <w:t xml:space="preserve"> (le juge en chef </w:t>
      </w:r>
      <w:r w:rsidR="00F34788" w:rsidRPr="00B3261F">
        <w:rPr>
          <w:szCs w:val="24"/>
        </w:rPr>
        <w:fldChar w:fldCharType="begin"/>
      </w:r>
      <w:r w:rsidRPr="00B3261F">
        <w:rPr>
          <w:szCs w:val="24"/>
          <w:lang w:val="fr-CA"/>
        </w:rPr>
        <w:instrText xml:space="preserve"> SEQ CHAPTER \h \r 1</w:instrText>
      </w:r>
      <w:r w:rsidR="00F34788" w:rsidRPr="00B3261F">
        <w:rPr>
          <w:szCs w:val="24"/>
        </w:rPr>
        <w:fldChar w:fldCharType="end"/>
      </w:r>
      <w:r w:rsidRPr="00B3261F">
        <w:rPr>
          <w:szCs w:val="24"/>
          <w:lang w:val="fr-CA"/>
        </w:rPr>
        <w:t>MacDonald et les juges Saunders et Oland</w:t>
      </w:r>
      <w:r w:rsidRPr="00B3261F">
        <w:rPr>
          <w:lang w:val="fr-CA"/>
        </w:rPr>
        <w:t xml:space="preserve">), </w:t>
      </w:r>
      <w:r w:rsidR="00F34788" w:rsidRPr="00B3261F">
        <w:rPr>
          <w:szCs w:val="24"/>
        </w:rPr>
        <w:fldChar w:fldCharType="begin"/>
      </w:r>
      <w:r w:rsidRPr="00B3261F">
        <w:rPr>
          <w:szCs w:val="24"/>
          <w:lang w:val="fr-CA"/>
        </w:rPr>
        <w:instrText xml:space="preserve"> SEQ CHAPTER \h \r 1</w:instrText>
      </w:r>
      <w:r w:rsidR="00F34788" w:rsidRPr="00B3261F">
        <w:rPr>
          <w:szCs w:val="24"/>
        </w:rPr>
        <w:fldChar w:fldCharType="end"/>
      </w:r>
      <w:r w:rsidRPr="00B3261F">
        <w:rPr>
          <w:szCs w:val="24"/>
          <w:lang w:val="fr-CA"/>
        </w:rPr>
        <w:t>2011 NSCA 30, 301 N.S.R. (2d) 255, 953 A.P.R. 255, 269 C.C.C. (3d) 480, 84 C.</w:t>
      </w:r>
      <w:r w:rsidR="0008079F" w:rsidRPr="00B3261F">
        <w:rPr>
          <w:szCs w:val="24"/>
          <w:lang w:val="fr-CA"/>
        </w:rPr>
        <w:t>R. (6th) 249, [2011] N.S.J. No. </w:t>
      </w:r>
      <w:r w:rsidRPr="00B3261F">
        <w:rPr>
          <w:szCs w:val="24"/>
          <w:lang w:val="fr-CA"/>
        </w:rPr>
        <w:t xml:space="preserve">157 (QL), 2011 CarswellNS 177, qui a confirmé </w:t>
      </w:r>
      <w:r w:rsidR="00083791">
        <w:rPr>
          <w:szCs w:val="24"/>
          <w:lang w:val="fr-CA"/>
        </w:rPr>
        <w:t xml:space="preserve">un acquittement prononcé par le </w:t>
      </w:r>
      <w:r w:rsidRPr="00B3261F">
        <w:rPr>
          <w:szCs w:val="24"/>
          <w:lang w:val="fr-CA"/>
        </w:rPr>
        <w:t>juge Farrar, 2010 NSSC 114, 289 N.S.R. (2d) 273, 91</w:t>
      </w:r>
      <w:r w:rsidR="0008079F" w:rsidRPr="00B3261F">
        <w:rPr>
          <w:szCs w:val="24"/>
          <w:lang w:val="fr-CA"/>
        </w:rPr>
        <w:t>6 A.P.R. 273, [2010] N.S.J. No. </w:t>
      </w:r>
      <w:r w:rsidRPr="00B3261F">
        <w:rPr>
          <w:szCs w:val="24"/>
          <w:lang w:val="fr-CA"/>
        </w:rPr>
        <w:t>154 (QL), 2010 CarswellNS 182.  Pourvoi accueilli</w:t>
      </w:r>
      <w:r w:rsidR="000D2717" w:rsidRPr="00B3261F">
        <w:rPr>
          <w:szCs w:val="24"/>
          <w:lang w:val="fr-CA"/>
        </w:rPr>
        <w:t>, le juge Fish est dissident</w:t>
      </w:r>
      <w:r w:rsidR="00CD188C" w:rsidRPr="00B3261F">
        <w:rPr>
          <w:szCs w:val="24"/>
          <w:lang w:val="fr-CA"/>
        </w:rPr>
        <w:t xml:space="preserve"> en partie</w:t>
      </w:r>
      <w:r w:rsidRPr="00B3261F">
        <w:rPr>
          <w:szCs w:val="24"/>
          <w:lang w:val="fr-CA"/>
        </w:rPr>
        <w:t>.</w:t>
      </w:r>
    </w:p>
    <w:p w:rsidR="00AF27FB" w:rsidRPr="00B3261F" w:rsidRDefault="0008079F" w:rsidP="0008079F">
      <w:pPr>
        <w:pStyle w:val="SCCNormalDoubleSpacing"/>
        <w:spacing w:after="480"/>
        <w:rPr>
          <w:lang w:val="fr-CA"/>
        </w:rPr>
      </w:pPr>
      <w:r w:rsidRPr="00B3261F">
        <w:rPr>
          <w:i/>
          <w:lang w:val="fr-CA"/>
        </w:rPr>
        <w:tab/>
        <w:t>William </w:t>
      </w:r>
      <w:r w:rsidR="007C122F" w:rsidRPr="00B3261F">
        <w:rPr>
          <w:i/>
          <w:lang w:val="fr-CA"/>
        </w:rPr>
        <w:t>D. Delaney</w:t>
      </w:r>
      <w:r w:rsidR="007C122F" w:rsidRPr="00977ECE">
        <w:rPr>
          <w:lang w:val="fr-CA"/>
        </w:rPr>
        <w:t>,</w:t>
      </w:r>
      <w:r w:rsidR="007C122F" w:rsidRPr="00B3261F">
        <w:rPr>
          <w:i/>
          <w:lang w:val="fr-CA"/>
        </w:rPr>
        <w:t xml:space="preserve"> </w:t>
      </w:r>
      <w:r w:rsidR="00245C40" w:rsidRPr="00B3261F">
        <w:rPr>
          <w:i/>
          <w:lang w:val="fr-CA"/>
        </w:rPr>
        <w:t>c.r</w:t>
      </w:r>
      <w:r w:rsidR="007C122F" w:rsidRPr="00B3261F">
        <w:rPr>
          <w:i/>
          <w:lang w:val="fr-CA"/>
        </w:rPr>
        <w:t>.</w:t>
      </w:r>
      <w:r w:rsidR="007C122F" w:rsidRPr="00B3261F">
        <w:rPr>
          <w:lang w:val="fr-CA"/>
        </w:rPr>
        <w:t xml:space="preserve">, </w:t>
      </w:r>
      <w:r w:rsidR="00245C40" w:rsidRPr="00B3261F">
        <w:rPr>
          <w:lang w:val="fr-CA"/>
        </w:rPr>
        <w:t xml:space="preserve">et </w:t>
      </w:r>
      <w:r w:rsidRPr="00B3261F">
        <w:rPr>
          <w:i/>
          <w:lang w:val="fr-CA"/>
        </w:rPr>
        <w:t>Jennifer </w:t>
      </w:r>
      <w:r w:rsidR="00245C40" w:rsidRPr="00B3261F">
        <w:rPr>
          <w:i/>
          <w:lang w:val="fr-CA"/>
        </w:rPr>
        <w:t>A. MacLellan</w:t>
      </w:r>
      <w:r w:rsidR="00245C40" w:rsidRPr="00B3261F">
        <w:rPr>
          <w:lang w:val="fr-CA"/>
        </w:rPr>
        <w:t xml:space="preserve">, </w:t>
      </w:r>
      <w:r w:rsidR="007C122F" w:rsidRPr="00B3261F">
        <w:rPr>
          <w:lang w:val="fr-CA"/>
        </w:rPr>
        <w:t>pour l</w:t>
      </w:r>
      <w:r w:rsidR="00245C40" w:rsidRPr="00B3261F">
        <w:rPr>
          <w:lang w:val="fr-CA"/>
        </w:rPr>
        <w:t>’</w:t>
      </w:r>
      <w:r w:rsidR="007C122F" w:rsidRPr="00B3261F">
        <w:rPr>
          <w:lang w:val="fr-CA"/>
        </w:rPr>
        <w:t>appelante.</w:t>
      </w:r>
    </w:p>
    <w:p w:rsidR="00AF27FB" w:rsidRPr="00B3261F" w:rsidRDefault="007C122F" w:rsidP="0008079F">
      <w:pPr>
        <w:pStyle w:val="SCCNormalDoubleSpacing"/>
        <w:spacing w:after="480"/>
        <w:rPr>
          <w:lang w:val="fr-CA"/>
        </w:rPr>
      </w:pPr>
      <w:r w:rsidRPr="00B3261F">
        <w:rPr>
          <w:i/>
          <w:lang w:val="fr-CA"/>
        </w:rPr>
        <w:tab/>
      </w:r>
      <w:r w:rsidR="0008079F" w:rsidRPr="00B3261F">
        <w:rPr>
          <w:i/>
          <w:lang w:val="fr-CA"/>
        </w:rPr>
        <w:t>Joel </w:t>
      </w:r>
      <w:r w:rsidRPr="00B3261F">
        <w:rPr>
          <w:i/>
          <w:lang w:val="fr-CA"/>
        </w:rPr>
        <w:t>E. Pink</w:t>
      </w:r>
      <w:r w:rsidRPr="00977ECE">
        <w:rPr>
          <w:lang w:val="fr-CA"/>
        </w:rPr>
        <w:t xml:space="preserve">, </w:t>
      </w:r>
      <w:r w:rsidR="008305FB" w:rsidRPr="00B3261F">
        <w:rPr>
          <w:i/>
          <w:lang w:val="fr-CA"/>
        </w:rPr>
        <w:t>c.r</w:t>
      </w:r>
      <w:r w:rsidRPr="00B3261F">
        <w:rPr>
          <w:i/>
          <w:lang w:val="fr-CA"/>
        </w:rPr>
        <w:t>.</w:t>
      </w:r>
      <w:r w:rsidRPr="00B3261F">
        <w:rPr>
          <w:lang w:val="fr-CA"/>
        </w:rPr>
        <w:t xml:space="preserve">, </w:t>
      </w:r>
      <w:r w:rsidRPr="00B3261F">
        <w:rPr>
          <w:i/>
          <w:lang w:val="fr-CA"/>
        </w:rPr>
        <w:t>Brian</w:t>
      </w:r>
      <w:r w:rsidR="0008079F" w:rsidRPr="00B3261F">
        <w:rPr>
          <w:i/>
          <w:lang w:val="fr-CA"/>
        </w:rPr>
        <w:t> </w:t>
      </w:r>
      <w:r w:rsidRPr="00B3261F">
        <w:rPr>
          <w:i/>
          <w:lang w:val="fr-CA"/>
        </w:rPr>
        <w:t>H. Greenspan</w:t>
      </w:r>
      <w:r w:rsidRPr="00977ECE">
        <w:rPr>
          <w:lang w:val="fr-CA"/>
        </w:rPr>
        <w:t>,</w:t>
      </w:r>
      <w:r w:rsidRPr="00B3261F">
        <w:rPr>
          <w:i/>
          <w:lang w:val="fr-CA"/>
        </w:rPr>
        <w:t xml:space="preserve"> Andrew Nielsen</w:t>
      </w:r>
      <w:r w:rsidRPr="00B3261F">
        <w:rPr>
          <w:lang w:val="fr-CA"/>
        </w:rPr>
        <w:t xml:space="preserve"> et </w:t>
      </w:r>
      <w:r w:rsidR="0008079F" w:rsidRPr="00B3261F">
        <w:rPr>
          <w:i/>
          <w:lang w:val="fr-CA"/>
        </w:rPr>
        <w:t>Naomi </w:t>
      </w:r>
      <w:r w:rsidR="00B1397B" w:rsidRPr="00B3261F">
        <w:rPr>
          <w:i/>
          <w:lang w:val="fr-CA"/>
        </w:rPr>
        <w:t xml:space="preserve">M. </w:t>
      </w:r>
      <w:r w:rsidRPr="00B3261F">
        <w:rPr>
          <w:i/>
          <w:lang w:val="fr-CA"/>
        </w:rPr>
        <w:t>Lutes</w:t>
      </w:r>
      <w:r w:rsidRPr="00B3261F">
        <w:rPr>
          <w:lang w:val="fr-CA"/>
        </w:rPr>
        <w:t>, pour l</w:t>
      </w:r>
      <w:r w:rsidR="008305FB" w:rsidRPr="00B3261F">
        <w:rPr>
          <w:lang w:val="fr-CA"/>
        </w:rPr>
        <w:t>’</w:t>
      </w:r>
      <w:r w:rsidRPr="00B3261F">
        <w:rPr>
          <w:lang w:val="fr-CA"/>
        </w:rPr>
        <w:t>intimée.</w:t>
      </w:r>
    </w:p>
    <w:p w:rsidR="00AF27FB" w:rsidRPr="00B3261F" w:rsidRDefault="007C122F" w:rsidP="0008079F">
      <w:pPr>
        <w:pStyle w:val="SCCNormalDoubleSpacing"/>
        <w:spacing w:after="480"/>
        <w:rPr>
          <w:lang w:val="fr-CA"/>
        </w:rPr>
      </w:pPr>
      <w:r w:rsidRPr="00B3261F">
        <w:rPr>
          <w:i/>
          <w:lang w:val="fr-CA"/>
        </w:rPr>
        <w:tab/>
        <w:t>John Corelli</w:t>
      </w:r>
      <w:r w:rsidR="00FB2F82" w:rsidRPr="00977ECE">
        <w:rPr>
          <w:lang w:val="fr-CA"/>
        </w:rPr>
        <w:t xml:space="preserve"> et </w:t>
      </w:r>
      <w:r w:rsidR="00FB2F82" w:rsidRPr="00B3261F">
        <w:rPr>
          <w:i/>
          <w:lang w:val="fr-CA"/>
        </w:rPr>
        <w:t>Holly Loubert</w:t>
      </w:r>
      <w:r w:rsidR="00FB2F82" w:rsidRPr="00B3261F">
        <w:rPr>
          <w:lang w:val="fr-CA"/>
        </w:rPr>
        <w:t>,</w:t>
      </w:r>
      <w:r w:rsidRPr="00B3261F">
        <w:rPr>
          <w:lang w:val="fr-CA"/>
        </w:rPr>
        <w:t xml:space="preserve"> pour l</w:t>
      </w:r>
      <w:r w:rsidR="00FB2F82" w:rsidRPr="00B3261F">
        <w:rPr>
          <w:lang w:val="fr-CA"/>
        </w:rPr>
        <w:t>’</w:t>
      </w:r>
      <w:r w:rsidRPr="00B3261F">
        <w:rPr>
          <w:lang w:val="fr-CA"/>
        </w:rPr>
        <w:t>intervenant</w:t>
      </w:r>
      <w:r w:rsidR="00FB2F82" w:rsidRPr="00B3261F">
        <w:rPr>
          <w:lang w:val="fr-CA"/>
        </w:rPr>
        <w:t xml:space="preserve"> le p</w:t>
      </w:r>
      <w:r w:rsidRPr="00B3261F">
        <w:rPr>
          <w:lang w:val="fr-CA"/>
        </w:rPr>
        <w:t>rocureur général de l</w:t>
      </w:r>
      <w:r w:rsidR="00FB2F82" w:rsidRPr="00B3261F">
        <w:rPr>
          <w:lang w:val="fr-CA"/>
        </w:rPr>
        <w:t>’</w:t>
      </w:r>
      <w:r w:rsidRPr="00B3261F">
        <w:rPr>
          <w:lang w:val="fr-CA"/>
        </w:rPr>
        <w:t>Ontario.</w:t>
      </w:r>
    </w:p>
    <w:p w:rsidR="00FB2F82" w:rsidRPr="00B3261F" w:rsidRDefault="00FB2F82" w:rsidP="0008079F">
      <w:pPr>
        <w:pStyle w:val="SCCNormalDoubleSpacing"/>
        <w:spacing w:after="480"/>
        <w:rPr>
          <w:lang w:val="fr-CA"/>
        </w:rPr>
      </w:pPr>
      <w:r w:rsidRPr="00B3261F">
        <w:rPr>
          <w:i/>
          <w:lang w:val="fr-CA"/>
        </w:rPr>
        <w:tab/>
        <w:t>Christine Boyle</w:t>
      </w:r>
      <w:r w:rsidRPr="005E0955">
        <w:rPr>
          <w:lang w:val="fr-CA"/>
        </w:rPr>
        <w:t xml:space="preserve">, </w:t>
      </w:r>
      <w:r w:rsidR="00987EF3" w:rsidRPr="00B3261F">
        <w:rPr>
          <w:i/>
          <w:lang w:val="fr-CA"/>
        </w:rPr>
        <w:t>c</w:t>
      </w:r>
      <w:r w:rsidRPr="00B3261F">
        <w:rPr>
          <w:i/>
          <w:lang w:val="fr-CA"/>
        </w:rPr>
        <w:t>.</w:t>
      </w:r>
      <w:r w:rsidR="00987EF3" w:rsidRPr="00B3261F">
        <w:rPr>
          <w:i/>
          <w:lang w:val="fr-CA"/>
        </w:rPr>
        <w:t>r</w:t>
      </w:r>
      <w:r w:rsidRPr="00B3261F">
        <w:rPr>
          <w:i/>
          <w:lang w:val="fr-CA"/>
        </w:rPr>
        <w:t>.</w:t>
      </w:r>
      <w:r w:rsidR="00987EF3" w:rsidRPr="005E0955">
        <w:rPr>
          <w:lang w:val="fr-CA"/>
        </w:rPr>
        <w:t>,</w:t>
      </w:r>
      <w:r w:rsidRPr="005E0955">
        <w:rPr>
          <w:lang w:val="fr-CA"/>
        </w:rPr>
        <w:t xml:space="preserve"> </w:t>
      </w:r>
      <w:r w:rsidRPr="00B3261F">
        <w:rPr>
          <w:lang w:val="fr-CA"/>
        </w:rPr>
        <w:t>pour l</w:t>
      </w:r>
      <w:r w:rsidR="00987EF3" w:rsidRPr="00B3261F">
        <w:rPr>
          <w:lang w:val="fr-CA"/>
        </w:rPr>
        <w:t xml:space="preserve">es </w:t>
      </w:r>
      <w:r w:rsidRPr="00B3261F">
        <w:rPr>
          <w:lang w:val="fr-CA"/>
        </w:rPr>
        <w:t>intervenant</w:t>
      </w:r>
      <w:r w:rsidR="00987EF3" w:rsidRPr="00B3261F">
        <w:rPr>
          <w:lang w:val="fr-CA"/>
        </w:rPr>
        <w:t>s l’</w:t>
      </w:r>
      <w:r w:rsidRPr="00B3261F">
        <w:rPr>
          <w:lang w:val="fr-CA"/>
        </w:rPr>
        <w:t xml:space="preserve">Association </w:t>
      </w:r>
      <w:r w:rsidR="00987EF3" w:rsidRPr="00B3261F">
        <w:rPr>
          <w:lang w:val="fr-CA"/>
        </w:rPr>
        <w:t>canadienne des Sociétés</w:t>
      </w:r>
      <w:r w:rsidRPr="00B3261F">
        <w:rPr>
          <w:lang w:val="fr-CA"/>
        </w:rPr>
        <w:t xml:space="preserve"> Elizabeth Fry </w:t>
      </w:r>
      <w:r w:rsidR="00987EF3" w:rsidRPr="00B3261F">
        <w:rPr>
          <w:lang w:val="fr-CA"/>
        </w:rPr>
        <w:t xml:space="preserve">et </w:t>
      </w:r>
      <w:r w:rsidR="00BE6CDF" w:rsidRPr="00B3261F">
        <w:rPr>
          <w:lang w:val="fr-CA"/>
        </w:rPr>
        <w:t>le Fonds d’action et d’éducation juridiques pour les femme</w:t>
      </w:r>
      <w:r w:rsidRPr="00B3261F">
        <w:rPr>
          <w:lang w:val="fr-CA"/>
        </w:rPr>
        <w:t>s.</w:t>
      </w:r>
    </w:p>
    <w:p w:rsidR="00AF49CF" w:rsidRDefault="00FB2F82" w:rsidP="00AF49CF">
      <w:pPr>
        <w:pStyle w:val="SCCNormalDoubleSpacing"/>
        <w:spacing w:after="480"/>
        <w:rPr>
          <w:i/>
          <w:lang w:val="fr-CA"/>
        </w:rPr>
      </w:pPr>
      <w:r w:rsidRPr="00B3261F">
        <w:rPr>
          <w:i/>
          <w:lang w:val="fr-CA"/>
        </w:rPr>
        <w:tab/>
      </w:r>
      <w:r w:rsidR="0008079F" w:rsidRPr="00B3261F">
        <w:rPr>
          <w:i/>
          <w:lang w:val="fr-CA"/>
        </w:rPr>
        <w:t>Susan </w:t>
      </w:r>
      <w:r w:rsidRPr="00B3261F">
        <w:rPr>
          <w:i/>
          <w:lang w:val="fr-CA"/>
        </w:rPr>
        <w:t>M. Chapman</w:t>
      </w:r>
      <w:r w:rsidRPr="00B3261F">
        <w:rPr>
          <w:lang w:val="fr-CA"/>
        </w:rPr>
        <w:t xml:space="preserve"> et </w:t>
      </w:r>
      <w:r w:rsidRPr="00B3261F">
        <w:rPr>
          <w:i/>
          <w:lang w:val="fr-CA"/>
        </w:rPr>
        <w:t>Howard Krongold</w:t>
      </w:r>
      <w:r w:rsidRPr="00B3261F">
        <w:rPr>
          <w:lang w:val="fr-CA"/>
        </w:rPr>
        <w:t>, pour l</w:t>
      </w:r>
      <w:r w:rsidR="009B30CF" w:rsidRPr="00B3261F">
        <w:rPr>
          <w:lang w:val="fr-CA"/>
        </w:rPr>
        <w:t>’</w:t>
      </w:r>
      <w:r w:rsidRPr="00B3261F">
        <w:rPr>
          <w:lang w:val="fr-CA"/>
        </w:rPr>
        <w:t>intervenante Criminal Lawyers</w:t>
      </w:r>
      <w:r w:rsidR="009B30CF" w:rsidRPr="00B3261F">
        <w:rPr>
          <w:lang w:val="fr-CA"/>
        </w:rPr>
        <w:t>’</w:t>
      </w:r>
      <w:r w:rsidRPr="00B3261F">
        <w:rPr>
          <w:lang w:val="fr-CA"/>
        </w:rPr>
        <w:t xml:space="preserve"> Association </w:t>
      </w:r>
      <w:r w:rsidR="009B30CF" w:rsidRPr="00B3261F">
        <w:rPr>
          <w:lang w:val="fr-CA"/>
        </w:rPr>
        <w:t>(</w:t>
      </w:r>
      <w:r w:rsidRPr="00B3261F">
        <w:rPr>
          <w:lang w:val="fr-CA"/>
        </w:rPr>
        <w:t>Ontario</w:t>
      </w:r>
      <w:r w:rsidR="009B30CF" w:rsidRPr="00B3261F">
        <w:rPr>
          <w:lang w:val="fr-CA"/>
        </w:rPr>
        <w:t>)</w:t>
      </w:r>
      <w:r w:rsidRPr="00B3261F">
        <w:rPr>
          <w:lang w:val="fr-CA"/>
        </w:rPr>
        <w:t>.</w:t>
      </w:r>
    </w:p>
    <w:p w:rsidR="00865480" w:rsidRPr="00977ECE" w:rsidRDefault="00977ECE" w:rsidP="00AF49CF">
      <w:pPr>
        <w:pStyle w:val="JudgeJuge"/>
        <w:spacing w:before="480"/>
        <w:jc w:val="both"/>
        <w:rPr>
          <w:smallCaps w:val="0"/>
          <w:lang w:val="fr-CA"/>
        </w:rPr>
      </w:pPr>
      <w:r>
        <w:rPr>
          <w:lang w:val="fr-CA"/>
        </w:rPr>
        <w:tab/>
      </w:r>
      <w:r w:rsidRPr="00977ECE">
        <w:rPr>
          <w:smallCaps w:val="0"/>
          <w:lang w:val="fr-CA"/>
        </w:rPr>
        <w:t>Ver</w:t>
      </w:r>
      <w:r>
        <w:rPr>
          <w:smallCaps w:val="0"/>
          <w:lang w:val="fr-CA"/>
        </w:rPr>
        <w:t>sion française du jugement de la juge en chef McLachlin et des juge</w:t>
      </w:r>
      <w:r w:rsidR="008B033C">
        <w:rPr>
          <w:smallCaps w:val="0"/>
          <w:lang w:val="fr-CA"/>
        </w:rPr>
        <w:t>s</w:t>
      </w:r>
      <w:r>
        <w:rPr>
          <w:smallCaps w:val="0"/>
          <w:lang w:val="fr-CA"/>
        </w:rPr>
        <w:t xml:space="preserve"> LeBel, Deschamps, Abella, Rothstein, Cromwell, Moldaver et Karakatsanis rendu par</w:t>
      </w:r>
    </w:p>
    <w:p w:rsidR="00AF49CF" w:rsidRPr="00A011C6" w:rsidRDefault="00AF49CF" w:rsidP="00AF49CF">
      <w:pPr>
        <w:pStyle w:val="JudgeJuge"/>
        <w:spacing w:before="480"/>
        <w:jc w:val="both"/>
        <w:rPr>
          <w:lang w:val="fr-CA"/>
        </w:rPr>
      </w:pPr>
      <w:r w:rsidRPr="00A011C6">
        <w:rPr>
          <w:lang w:val="fr-CA"/>
        </w:rPr>
        <w:tab/>
      </w:r>
      <w:r>
        <w:rPr>
          <w:lang w:val="fr-CA"/>
        </w:rPr>
        <w:t>L</w:t>
      </w:r>
      <w:r w:rsidRPr="00A011C6">
        <w:rPr>
          <w:lang w:val="fr-CA"/>
        </w:rPr>
        <w:t xml:space="preserve">es juges LeBel et Cromwell — </w:t>
      </w:r>
    </w:p>
    <w:p w:rsidR="00AF49CF" w:rsidRPr="00A011C6" w:rsidRDefault="00AF49CF" w:rsidP="004A787F">
      <w:pPr>
        <w:pStyle w:val="TitleTitre-AltT"/>
        <w:tabs>
          <w:tab w:val="clear" w:pos="360"/>
          <w:tab w:val="left" w:pos="540"/>
        </w:tabs>
        <w:ind w:left="540" w:hanging="540"/>
        <w:rPr>
          <w:lang w:val="fr-CA"/>
        </w:rPr>
      </w:pPr>
      <w:r w:rsidRPr="00A011C6">
        <w:rPr>
          <w:lang w:val="fr-CA"/>
        </w:rPr>
        <w:t>I.</w:t>
      </w:r>
      <w:r w:rsidRPr="00A011C6">
        <w:rPr>
          <w:lang w:val="fr-CA"/>
        </w:rPr>
        <w:tab/>
      </w:r>
      <w:r w:rsidRPr="00A011C6">
        <w:rPr>
          <w:u w:val="single"/>
          <w:lang w:val="fr-CA"/>
        </w:rPr>
        <w:t>Introduction</w:t>
      </w:r>
    </w:p>
    <w:p w:rsidR="00AF49CF" w:rsidRPr="00A011C6" w:rsidRDefault="00AF49CF" w:rsidP="00AF49CF">
      <w:pPr>
        <w:pStyle w:val="ParaNoNdepar-AltN"/>
        <w:rPr>
          <w:lang w:val="fr-CA"/>
        </w:rPr>
      </w:pPr>
      <w:r w:rsidRPr="00A011C6">
        <w:rPr>
          <w:lang w:val="fr-CA"/>
        </w:rPr>
        <w:t>Le présent pourvoi soulève une question inédite</w:t>
      </w:r>
      <w:r>
        <w:rPr>
          <w:lang w:val="fr-CA"/>
        </w:rPr>
        <w:t> :</w:t>
      </w:r>
      <w:r w:rsidRPr="00A011C6">
        <w:rPr>
          <w:lang w:val="fr-CA"/>
        </w:rPr>
        <w:t xml:space="preserve"> une femme dont la vie est menacée par son mari violent peut</w:t>
      </w:r>
      <w:r>
        <w:rPr>
          <w:lang w:val="fr-CA"/>
        </w:rPr>
        <w:noBreakHyphen/>
      </w:r>
      <w:r w:rsidRPr="00A011C6">
        <w:rPr>
          <w:lang w:val="fr-CA"/>
        </w:rPr>
        <w:t xml:space="preserve">elle invoquer le moyen de </w:t>
      </w:r>
      <w:r>
        <w:rPr>
          <w:lang w:val="fr-CA"/>
        </w:rPr>
        <w:t xml:space="preserve">défense fondé sur la contrainte </w:t>
      </w:r>
      <w:r w:rsidRPr="00A011C6">
        <w:rPr>
          <w:lang w:val="fr-CA"/>
        </w:rPr>
        <w:t>lorsqu</w:t>
      </w:r>
      <w:r>
        <w:rPr>
          <w:lang w:val="fr-CA"/>
        </w:rPr>
        <w:t>’</w:t>
      </w:r>
      <w:r w:rsidRPr="00A011C6">
        <w:rPr>
          <w:lang w:val="fr-CA"/>
        </w:rPr>
        <w:t>elle tente de le faire assassiner? Les tribunaux de la Nouvelle</w:t>
      </w:r>
      <w:r>
        <w:rPr>
          <w:lang w:val="fr-CA"/>
        </w:rPr>
        <w:noBreakHyphen/>
      </w:r>
      <w:r w:rsidRPr="00A011C6">
        <w:rPr>
          <w:lang w:val="fr-CA"/>
        </w:rPr>
        <w:t>Écosse ont conclu par l</w:t>
      </w:r>
      <w:r>
        <w:rPr>
          <w:lang w:val="fr-CA"/>
        </w:rPr>
        <w:t>’</w:t>
      </w:r>
      <w:r w:rsidRPr="00A011C6">
        <w:rPr>
          <w:lang w:val="fr-CA"/>
        </w:rPr>
        <w:t>affirmative et ont acquitté l</w:t>
      </w:r>
      <w:r>
        <w:rPr>
          <w:lang w:val="fr-CA"/>
        </w:rPr>
        <w:t>’</w:t>
      </w:r>
      <w:r w:rsidRPr="00A011C6">
        <w:rPr>
          <w:lang w:val="fr-CA"/>
        </w:rPr>
        <w:t xml:space="preserve">intimée, </w:t>
      </w:r>
      <w:r>
        <w:rPr>
          <w:lang w:val="fr-CA"/>
        </w:rPr>
        <w:t>M</w:t>
      </w:r>
      <w:r w:rsidRPr="00DE38F4">
        <w:rPr>
          <w:vertAlign w:val="superscript"/>
          <w:lang w:val="fr-CA"/>
        </w:rPr>
        <w:t>me</w:t>
      </w:r>
      <w:r>
        <w:rPr>
          <w:lang w:val="fr-CA"/>
        </w:rPr>
        <w:t> Nicole </w:t>
      </w:r>
      <w:r w:rsidRPr="00A011C6">
        <w:rPr>
          <w:lang w:val="fr-CA"/>
        </w:rPr>
        <w:t>Ryan, d</w:t>
      </w:r>
      <w:r>
        <w:rPr>
          <w:lang w:val="fr-CA"/>
        </w:rPr>
        <w:t>’</w:t>
      </w:r>
      <w:r w:rsidRPr="00A011C6">
        <w:rPr>
          <w:lang w:val="fr-CA"/>
        </w:rPr>
        <w:t xml:space="preserve">avoir conseillé la perpétration du meurtre de son époux. Le ministère public </w:t>
      </w:r>
      <w:r>
        <w:rPr>
          <w:lang w:val="fr-CA"/>
        </w:rPr>
        <w:t>interjette appel de cet acquittement</w:t>
      </w:r>
      <w:r w:rsidRPr="00A011C6">
        <w:rPr>
          <w:lang w:val="fr-CA"/>
        </w:rPr>
        <w:t xml:space="preserve">. </w:t>
      </w:r>
    </w:p>
    <w:p w:rsidR="00AF49CF" w:rsidRPr="00A011C6" w:rsidRDefault="00AF49CF" w:rsidP="00AF49CF">
      <w:pPr>
        <w:pStyle w:val="ParaNoNdepar-AltN"/>
        <w:rPr>
          <w:lang w:val="fr-CA"/>
        </w:rPr>
      </w:pPr>
      <w:r w:rsidRPr="00A011C6">
        <w:rPr>
          <w:lang w:val="fr-CA"/>
        </w:rPr>
        <w:t xml:space="preserve">À notre avis, </w:t>
      </w:r>
      <w:r>
        <w:rPr>
          <w:lang w:val="fr-CA"/>
        </w:rPr>
        <w:t>le moyen de défense fondé</w:t>
      </w:r>
      <w:r w:rsidRPr="00A011C6">
        <w:rPr>
          <w:lang w:val="fr-CA"/>
        </w:rPr>
        <w:t xml:space="preserve"> sur la contrainte </w:t>
      </w:r>
      <w:r>
        <w:rPr>
          <w:lang w:val="fr-CA"/>
        </w:rPr>
        <w:t>peut être invoqué</w:t>
      </w:r>
      <w:r w:rsidRPr="00A011C6">
        <w:rPr>
          <w:lang w:val="fr-CA"/>
        </w:rPr>
        <w:t xml:space="preserve"> lorsqu</w:t>
      </w:r>
      <w:r>
        <w:rPr>
          <w:lang w:val="fr-CA"/>
        </w:rPr>
        <w:t>’</w:t>
      </w:r>
      <w:r w:rsidRPr="00A011C6">
        <w:rPr>
          <w:lang w:val="fr-CA"/>
        </w:rPr>
        <w:t>une personne commet une infraction sous la contrainte d</w:t>
      </w:r>
      <w:r>
        <w:rPr>
          <w:lang w:val="fr-CA"/>
        </w:rPr>
        <w:t>’</w:t>
      </w:r>
      <w:r w:rsidRPr="00A011C6">
        <w:rPr>
          <w:lang w:val="fr-CA"/>
        </w:rPr>
        <w:t xml:space="preserve">une menace proférée </w:t>
      </w:r>
      <w:r w:rsidRPr="00CA7282">
        <w:rPr>
          <w:i/>
          <w:lang w:val="fr-CA"/>
        </w:rPr>
        <w:t>dans le but de la forcer</w:t>
      </w:r>
      <w:r w:rsidRPr="00A011C6">
        <w:rPr>
          <w:lang w:val="fr-CA"/>
        </w:rPr>
        <w:t xml:space="preserve"> à commettre </w:t>
      </w:r>
      <w:r>
        <w:rPr>
          <w:lang w:val="fr-CA"/>
        </w:rPr>
        <w:t xml:space="preserve">cette </w:t>
      </w:r>
      <w:r w:rsidRPr="00A011C6">
        <w:rPr>
          <w:lang w:val="fr-CA"/>
        </w:rPr>
        <w:t>infraction</w:t>
      </w:r>
      <w:r>
        <w:rPr>
          <w:lang w:val="fr-CA"/>
        </w:rPr>
        <w:t xml:space="preserve">.  </w:t>
      </w:r>
      <w:r w:rsidRPr="00A011C6">
        <w:rPr>
          <w:lang w:val="fr-CA"/>
        </w:rPr>
        <w:t>Ce n</w:t>
      </w:r>
      <w:r>
        <w:rPr>
          <w:lang w:val="fr-CA"/>
        </w:rPr>
        <w:t>’</w:t>
      </w:r>
      <w:r w:rsidRPr="00A011C6">
        <w:rPr>
          <w:lang w:val="fr-CA"/>
        </w:rPr>
        <w:t>était pas le cas de M</w:t>
      </w:r>
      <w:r w:rsidRPr="00DE38F4">
        <w:rPr>
          <w:vertAlign w:val="superscript"/>
          <w:lang w:val="fr-CA"/>
        </w:rPr>
        <w:t>me</w:t>
      </w:r>
      <w:r>
        <w:rPr>
          <w:lang w:val="fr-CA"/>
        </w:rPr>
        <w:t> </w:t>
      </w:r>
      <w:r w:rsidRPr="00A011C6">
        <w:rPr>
          <w:lang w:val="fr-CA"/>
        </w:rPr>
        <w:t>Ryan</w:t>
      </w:r>
      <w:r>
        <w:rPr>
          <w:lang w:val="fr-CA"/>
        </w:rPr>
        <w:t xml:space="preserve">.  </w:t>
      </w:r>
      <w:r w:rsidRPr="00A011C6">
        <w:rPr>
          <w:lang w:val="fr-CA"/>
        </w:rPr>
        <w:t xml:space="preserve">Elle voulait </w:t>
      </w:r>
      <w:r>
        <w:rPr>
          <w:lang w:val="fr-CA"/>
        </w:rPr>
        <w:t>faire tuer</w:t>
      </w:r>
      <w:r w:rsidRPr="00A011C6">
        <w:rPr>
          <w:lang w:val="fr-CA"/>
        </w:rPr>
        <w:t xml:space="preserve"> son mari </w:t>
      </w:r>
      <w:r>
        <w:rPr>
          <w:lang w:val="fr-CA"/>
        </w:rPr>
        <w:t>parce qu’il menaçait de les</w:t>
      </w:r>
      <w:r w:rsidRPr="00A011C6">
        <w:rPr>
          <w:lang w:val="fr-CA"/>
        </w:rPr>
        <w:t xml:space="preserve"> tuer</w:t>
      </w:r>
      <w:r>
        <w:rPr>
          <w:lang w:val="fr-CA"/>
        </w:rPr>
        <w:t xml:space="preserve">, </w:t>
      </w:r>
      <w:r w:rsidRPr="00A011C6">
        <w:rPr>
          <w:lang w:val="fr-CA"/>
        </w:rPr>
        <w:t>elle et sa fille</w:t>
      </w:r>
      <w:r>
        <w:rPr>
          <w:lang w:val="fr-CA"/>
        </w:rPr>
        <w:t>, et</w:t>
      </w:r>
      <w:r w:rsidRPr="00A011C6">
        <w:rPr>
          <w:lang w:val="fr-CA"/>
        </w:rPr>
        <w:t xml:space="preserve"> non parce </w:t>
      </w:r>
      <w:r>
        <w:rPr>
          <w:lang w:val="fr-CA"/>
        </w:rPr>
        <w:t>que quelqu’un la menaçait</w:t>
      </w:r>
      <w:r w:rsidRPr="00A011C6">
        <w:rPr>
          <w:lang w:val="fr-CA"/>
        </w:rPr>
        <w:t xml:space="preserve"> dans le but de la </w:t>
      </w:r>
      <w:r>
        <w:rPr>
          <w:lang w:val="fr-CA"/>
        </w:rPr>
        <w:t>forcer</w:t>
      </w:r>
      <w:r w:rsidRPr="00A011C6">
        <w:rPr>
          <w:lang w:val="fr-CA"/>
        </w:rPr>
        <w:t xml:space="preserve"> à le faire tuer.</w:t>
      </w:r>
      <w:r>
        <w:rPr>
          <w:lang w:val="fr-CA"/>
        </w:rPr>
        <w:t xml:space="preserve">  Pour cette raison, elle ne pouvait pas invoquer ce moyen de défense</w:t>
      </w:r>
      <w:r w:rsidRPr="00A011C6">
        <w:rPr>
          <w:lang w:val="fr-CA"/>
        </w:rPr>
        <w:t>, peu importe</w:t>
      </w:r>
      <w:r>
        <w:rPr>
          <w:lang w:val="fr-CA"/>
        </w:rPr>
        <w:t>, dans une perspective plus large, les circonstances impérieuses auxquelles elle devait faire face</w:t>
      </w:r>
      <w:r w:rsidRPr="00A011C6">
        <w:rPr>
          <w:lang w:val="fr-CA"/>
        </w:rPr>
        <w:t xml:space="preserve">. </w:t>
      </w:r>
      <w:r>
        <w:rPr>
          <w:lang w:val="fr-CA"/>
        </w:rPr>
        <w:t xml:space="preserve"> En revanche, nous</w:t>
      </w:r>
      <w:r w:rsidRPr="00A011C6">
        <w:rPr>
          <w:lang w:val="fr-CA"/>
        </w:rPr>
        <w:t xml:space="preserve"> estimons également que l</w:t>
      </w:r>
      <w:r>
        <w:rPr>
          <w:lang w:val="fr-CA"/>
        </w:rPr>
        <w:t>’</w:t>
      </w:r>
      <w:r w:rsidRPr="00A011C6">
        <w:rPr>
          <w:lang w:val="fr-CA"/>
        </w:rPr>
        <w:t xml:space="preserve">incertitude entourant le droit </w:t>
      </w:r>
      <w:r>
        <w:rPr>
          <w:lang w:val="fr-CA"/>
        </w:rPr>
        <w:t>en matière de</w:t>
      </w:r>
      <w:r w:rsidRPr="00A011C6">
        <w:rPr>
          <w:lang w:val="fr-CA"/>
        </w:rPr>
        <w:t xml:space="preserve"> contrainte</w:t>
      </w:r>
      <w:r>
        <w:rPr>
          <w:lang w:val="fr-CA"/>
        </w:rPr>
        <w:t>,</w:t>
      </w:r>
      <w:r w:rsidRPr="00A011C6">
        <w:rPr>
          <w:lang w:val="fr-CA"/>
        </w:rPr>
        <w:t xml:space="preserve"> conjuguée </w:t>
      </w:r>
      <w:r>
        <w:rPr>
          <w:lang w:val="fr-CA"/>
        </w:rPr>
        <w:t>au</w:t>
      </w:r>
      <w:r w:rsidRPr="00A011C6">
        <w:rPr>
          <w:lang w:val="fr-CA"/>
        </w:rPr>
        <w:t xml:space="preserve"> changement de </w:t>
      </w:r>
      <w:r>
        <w:rPr>
          <w:lang w:val="fr-CA"/>
        </w:rPr>
        <w:t>position</w:t>
      </w:r>
      <w:r w:rsidRPr="00A011C6">
        <w:rPr>
          <w:lang w:val="fr-CA"/>
        </w:rPr>
        <w:t xml:space="preserve"> du ministère public entre le procès et l</w:t>
      </w:r>
      <w:r>
        <w:rPr>
          <w:lang w:val="fr-CA"/>
        </w:rPr>
        <w:t>’</w:t>
      </w:r>
      <w:r w:rsidRPr="00A011C6">
        <w:rPr>
          <w:lang w:val="fr-CA"/>
        </w:rPr>
        <w:t>appel</w:t>
      </w:r>
      <w:r>
        <w:rPr>
          <w:lang w:val="fr-CA"/>
        </w:rPr>
        <w:t>,</w:t>
      </w:r>
      <w:r w:rsidRPr="00A011C6">
        <w:rPr>
          <w:lang w:val="fr-CA"/>
        </w:rPr>
        <w:t xml:space="preserve"> </w:t>
      </w:r>
      <w:r w:rsidRPr="003F54E9">
        <w:rPr>
          <w:lang w:val="fr-CA"/>
        </w:rPr>
        <w:t xml:space="preserve">a </w:t>
      </w:r>
      <w:r>
        <w:rPr>
          <w:lang w:val="fr-CA"/>
        </w:rPr>
        <w:t>porté atteinte au droit de</w:t>
      </w:r>
      <w:r w:rsidRPr="00A011C6">
        <w:rPr>
          <w:lang w:val="fr-CA"/>
        </w:rPr>
        <w:t xml:space="preserve"> M</w:t>
      </w:r>
      <w:r w:rsidRPr="00DE38F4">
        <w:rPr>
          <w:vertAlign w:val="superscript"/>
          <w:lang w:val="fr-CA"/>
        </w:rPr>
        <w:t>me</w:t>
      </w:r>
      <w:r>
        <w:rPr>
          <w:lang w:val="fr-CA"/>
        </w:rPr>
        <w:t> </w:t>
      </w:r>
      <w:r w:rsidRPr="00A011C6">
        <w:rPr>
          <w:lang w:val="fr-CA"/>
        </w:rPr>
        <w:t xml:space="preserve">Ryan </w:t>
      </w:r>
      <w:r>
        <w:rPr>
          <w:lang w:val="fr-CA"/>
        </w:rPr>
        <w:t>à une défense équitable</w:t>
      </w:r>
      <w:r w:rsidRPr="00A011C6">
        <w:rPr>
          <w:lang w:val="fr-CA"/>
        </w:rPr>
        <w:t xml:space="preserve">. </w:t>
      </w:r>
      <w:r>
        <w:rPr>
          <w:lang w:val="fr-CA"/>
        </w:rPr>
        <w:t xml:space="preserve"> Par conséquent, nous sommes</w:t>
      </w:r>
      <w:r w:rsidRPr="00A011C6">
        <w:rPr>
          <w:lang w:val="fr-CA"/>
        </w:rPr>
        <w:t xml:space="preserve"> d</w:t>
      </w:r>
      <w:r>
        <w:rPr>
          <w:lang w:val="fr-CA"/>
        </w:rPr>
        <w:t>’</w:t>
      </w:r>
      <w:r w:rsidRPr="00A011C6">
        <w:rPr>
          <w:lang w:val="fr-CA"/>
        </w:rPr>
        <w:t>avis d</w:t>
      </w:r>
      <w:r>
        <w:rPr>
          <w:lang w:val="fr-CA"/>
        </w:rPr>
        <w:t>’</w:t>
      </w:r>
      <w:r w:rsidRPr="00A011C6">
        <w:rPr>
          <w:lang w:val="fr-CA"/>
        </w:rPr>
        <w:t>accueillir le pourvoi et d</w:t>
      </w:r>
      <w:r>
        <w:rPr>
          <w:lang w:val="fr-CA"/>
        </w:rPr>
        <w:t>’ordonner l</w:t>
      </w:r>
      <w:r w:rsidRPr="00382F20">
        <w:rPr>
          <w:rFonts w:cs="Times New Roman"/>
          <w:lang w:val="fr-CA"/>
        </w:rPr>
        <w:t>’</w:t>
      </w:r>
      <w:r>
        <w:rPr>
          <w:lang w:val="fr-CA"/>
        </w:rPr>
        <w:t>arrêt des procédures</w:t>
      </w:r>
      <w:r w:rsidRPr="00A011C6">
        <w:rPr>
          <w:lang w:val="fr-CA"/>
        </w:rPr>
        <w:t xml:space="preserve">. </w:t>
      </w:r>
    </w:p>
    <w:p w:rsidR="00AF49CF" w:rsidRPr="00A011C6" w:rsidRDefault="00AF49CF" w:rsidP="00AF49CF">
      <w:pPr>
        <w:pStyle w:val="ParaNoNdepar-AltN"/>
        <w:rPr>
          <w:lang w:val="fr-CA"/>
        </w:rPr>
      </w:pPr>
      <w:r w:rsidRPr="00A011C6">
        <w:rPr>
          <w:lang w:val="fr-CA"/>
        </w:rPr>
        <w:t>Le pourvoi offre l</w:t>
      </w:r>
      <w:r>
        <w:rPr>
          <w:lang w:val="fr-CA"/>
        </w:rPr>
        <w:t>’</w:t>
      </w:r>
      <w:r w:rsidRPr="00A011C6">
        <w:rPr>
          <w:lang w:val="fr-CA"/>
        </w:rPr>
        <w:t xml:space="preserve">occasion de clarifier </w:t>
      </w:r>
      <w:r>
        <w:rPr>
          <w:lang w:val="fr-CA"/>
        </w:rPr>
        <w:t>le droit pénal canadien en matière de contrainte.</w:t>
      </w:r>
      <w:r w:rsidRPr="00A011C6">
        <w:rPr>
          <w:lang w:val="fr-CA"/>
        </w:rPr>
        <w:t xml:space="preserve"> </w:t>
      </w:r>
      <w:r>
        <w:rPr>
          <w:lang w:val="fr-CA"/>
        </w:rPr>
        <w:t xml:space="preserve"> </w:t>
      </w:r>
      <w:r w:rsidRPr="00A011C6">
        <w:rPr>
          <w:lang w:val="fr-CA"/>
        </w:rPr>
        <w:t xml:space="preserve">Une partie </w:t>
      </w:r>
      <w:r>
        <w:rPr>
          <w:lang w:val="fr-CA"/>
        </w:rPr>
        <w:t>du</w:t>
      </w:r>
      <w:r w:rsidRPr="00A011C6">
        <w:rPr>
          <w:lang w:val="fr-CA"/>
        </w:rPr>
        <w:t xml:space="preserve"> droit </w:t>
      </w:r>
      <w:r>
        <w:rPr>
          <w:lang w:val="fr-CA"/>
        </w:rPr>
        <w:t>applicable tire son origine de dispositions législatives, quoique</w:t>
      </w:r>
      <w:r w:rsidRPr="00A011C6">
        <w:rPr>
          <w:lang w:val="fr-CA"/>
        </w:rPr>
        <w:t xml:space="preserve"> </w:t>
      </w:r>
      <w:r>
        <w:rPr>
          <w:lang w:val="fr-CA"/>
        </w:rPr>
        <w:t xml:space="preserve">certains </w:t>
      </w:r>
      <w:r w:rsidRPr="00A011C6">
        <w:rPr>
          <w:lang w:val="fr-CA"/>
        </w:rPr>
        <w:t>aspects</w:t>
      </w:r>
      <w:r>
        <w:rPr>
          <w:lang w:val="fr-CA"/>
        </w:rPr>
        <w:t xml:space="preserve"> de celles</w:t>
      </w:r>
      <w:r>
        <w:rPr>
          <w:lang w:val="fr-CA"/>
        </w:rPr>
        <w:noBreakHyphen/>
        <w:t xml:space="preserve">ci aient </w:t>
      </w:r>
      <w:r w:rsidRPr="00A011C6">
        <w:rPr>
          <w:lang w:val="fr-CA"/>
        </w:rPr>
        <w:t>été jugés inconstitutionnels</w:t>
      </w:r>
      <w:r>
        <w:rPr>
          <w:lang w:val="fr-CA"/>
        </w:rPr>
        <w:t xml:space="preserve">.  </w:t>
      </w:r>
      <w:r w:rsidRPr="00A011C6">
        <w:rPr>
          <w:lang w:val="fr-CA"/>
        </w:rPr>
        <w:t>D</w:t>
      </w:r>
      <w:r>
        <w:rPr>
          <w:lang w:val="fr-CA"/>
        </w:rPr>
        <w:t>’</w:t>
      </w:r>
      <w:r w:rsidRPr="00A011C6">
        <w:rPr>
          <w:lang w:val="fr-CA"/>
        </w:rPr>
        <w:t xml:space="preserve">autres aspects </w:t>
      </w:r>
      <w:r>
        <w:rPr>
          <w:lang w:val="fr-CA"/>
        </w:rPr>
        <w:t>du droit applicable</w:t>
      </w:r>
      <w:r w:rsidRPr="00A011C6">
        <w:rPr>
          <w:lang w:val="fr-CA"/>
        </w:rPr>
        <w:t xml:space="preserve"> sont </w:t>
      </w:r>
      <w:r>
        <w:rPr>
          <w:lang w:val="fr-CA"/>
        </w:rPr>
        <w:t>d’origine jurisprudentielle. Ce morcellement des règles actuelles a créé</w:t>
      </w:r>
      <w:r w:rsidRPr="00A011C6">
        <w:rPr>
          <w:lang w:val="fr-CA"/>
        </w:rPr>
        <w:t xml:space="preserve"> beaucoup d</w:t>
      </w:r>
      <w:r>
        <w:rPr>
          <w:lang w:val="fr-CA"/>
        </w:rPr>
        <w:t>’</w:t>
      </w:r>
      <w:r w:rsidRPr="00A011C6">
        <w:rPr>
          <w:lang w:val="fr-CA"/>
        </w:rPr>
        <w:t>incertitude quant aux paramètres</w:t>
      </w:r>
      <w:r>
        <w:rPr>
          <w:lang w:val="fr-CA"/>
        </w:rPr>
        <w:t xml:space="preserve"> des éléments constitutifs</w:t>
      </w:r>
      <w:r w:rsidRPr="00A011C6">
        <w:rPr>
          <w:lang w:val="fr-CA"/>
        </w:rPr>
        <w:t xml:space="preserve"> </w:t>
      </w:r>
      <w:r>
        <w:rPr>
          <w:lang w:val="fr-CA"/>
        </w:rPr>
        <w:t>de ce</w:t>
      </w:r>
      <w:r w:rsidRPr="00A011C6">
        <w:rPr>
          <w:lang w:val="fr-CA"/>
        </w:rPr>
        <w:t xml:space="preserve"> moyen de défense</w:t>
      </w:r>
      <w:r>
        <w:rPr>
          <w:lang w:val="fr-CA"/>
        </w:rPr>
        <w:t>,</w:t>
      </w:r>
      <w:r w:rsidRPr="00A011C6">
        <w:rPr>
          <w:lang w:val="fr-CA"/>
        </w:rPr>
        <w:t xml:space="preserve"> </w:t>
      </w:r>
      <w:r>
        <w:rPr>
          <w:lang w:val="fr-CA"/>
        </w:rPr>
        <w:t xml:space="preserve">issus tant de dispositions législatives que de la common law, </w:t>
      </w:r>
      <w:r w:rsidRPr="00A011C6">
        <w:rPr>
          <w:lang w:val="fr-CA"/>
        </w:rPr>
        <w:t xml:space="preserve">et quant </w:t>
      </w:r>
      <w:r>
        <w:rPr>
          <w:lang w:val="fr-CA"/>
        </w:rPr>
        <w:t xml:space="preserve">au lien à établir entre les uns et les autres. </w:t>
      </w:r>
      <w:r w:rsidRPr="00A011C6">
        <w:rPr>
          <w:lang w:val="fr-CA"/>
        </w:rPr>
        <w:t xml:space="preserve"> </w:t>
      </w:r>
      <w:r>
        <w:rPr>
          <w:lang w:val="fr-CA"/>
        </w:rPr>
        <w:t>À propos de</w:t>
      </w:r>
      <w:r w:rsidRPr="00A011C6">
        <w:rPr>
          <w:lang w:val="fr-CA"/>
        </w:rPr>
        <w:t xml:space="preserve"> cette question plus large, nous estimons que </w:t>
      </w:r>
      <w:r>
        <w:rPr>
          <w:lang w:val="fr-CA"/>
        </w:rPr>
        <w:t>la version législative et la version de common law</w:t>
      </w:r>
      <w:r w:rsidRPr="00A011C6">
        <w:rPr>
          <w:lang w:val="fr-CA"/>
        </w:rPr>
        <w:t xml:space="preserve"> </w:t>
      </w:r>
      <w:r>
        <w:rPr>
          <w:lang w:val="fr-CA"/>
        </w:rPr>
        <w:t>de ce</w:t>
      </w:r>
      <w:r w:rsidRPr="00A011C6">
        <w:rPr>
          <w:lang w:val="fr-CA"/>
        </w:rPr>
        <w:t xml:space="preserve"> moyen de défense peuvent être en grande partie harmonisées de la manière que nous </w:t>
      </w:r>
      <w:r>
        <w:rPr>
          <w:lang w:val="fr-CA"/>
        </w:rPr>
        <w:t>expos</w:t>
      </w:r>
      <w:r w:rsidRPr="00A011C6">
        <w:rPr>
          <w:lang w:val="fr-CA"/>
        </w:rPr>
        <w:t>erons en détail plus loin dans nos motifs.</w:t>
      </w:r>
    </w:p>
    <w:p w:rsidR="00AF49CF" w:rsidRPr="00A011C6" w:rsidRDefault="00AF49CF" w:rsidP="004A787F">
      <w:pPr>
        <w:pStyle w:val="TitleTitre-AltT"/>
        <w:tabs>
          <w:tab w:val="clear" w:pos="360"/>
          <w:tab w:val="left" w:pos="540"/>
        </w:tabs>
        <w:ind w:left="540" w:hanging="540"/>
        <w:rPr>
          <w:lang w:val="fr-CA"/>
        </w:rPr>
      </w:pPr>
      <w:r w:rsidRPr="00A011C6">
        <w:rPr>
          <w:lang w:val="fr-CA"/>
        </w:rPr>
        <w:t>II.</w:t>
      </w:r>
      <w:r w:rsidRPr="00A011C6">
        <w:rPr>
          <w:lang w:val="fr-CA"/>
        </w:rPr>
        <w:tab/>
      </w:r>
      <w:r w:rsidRPr="00A011C6">
        <w:rPr>
          <w:u w:val="single"/>
          <w:lang w:val="fr-CA"/>
        </w:rPr>
        <w:t>Aperçu des faits et des procédures</w:t>
      </w:r>
    </w:p>
    <w:p w:rsidR="00AF49CF" w:rsidRPr="00A011C6" w:rsidRDefault="00AF49CF" w:rsidP="004A787F">
      <w:pPr>
        <w:pStyle w:val="TitleTitre-AltT"/>
        <w:tabs>
          <w:tab w:val="clear" w:pos="360"/>
          <w:tab w:val="left" w:pos="540"/>
        </w:tabs>
        <w:ind w:left="540" w:hanging="540"/>
        <w:rPr>
          <w:lang w:val="fr-CA"/>
        </w:rPr>
      </w:pPr>
      <w:r w:rsidRPr="00A011C6">
        <w:rPr>
          <w:lang w:val="fr-CA"/>
        </w:rPr>
        <w:t>A.</w:t>
      </w:r>
      <w:r w:rsidRPr="00A011C6">
        <w:rPr>
          <w:lang w:val="fr-CA"/>
        </w:rPr>
        <w:tab/>
      </w:r>
      <w:r w:rsidRPr="00A011C6">
        <w:rPr>
          <w:i/>
          <w:lang w:val="fr-CA"/>
        </w:rPr>
        <w:t>Les faits</w:t>
      </w:r>
    </w:p>
    <w:p w:rsidR="00AF49CF" w:rsidRPr="00A011C6" w:rsidRDefault="00AF49CF" w:rsidP="00AF49CF">
      <w:pPr>
        <w:pStyle w:val="ParaNoNdepar-AltN"/>
        <w:rPr>
          <w:lang w:val="fr-CA"/>
        </w:rPr>
      </w:pPr>
      <w:r w:rsidRPr="00A011C6">
        <w:rPr>
          <w:lang w:val="fr-CA"/>
        </w:rPr>
        <w:t>L</w:t>
      </w:r>
      <w:r>
        <w:rPr>
          <w:lang w:val="fr-CA"/>
        </w:rPr>
        <w:t>’</w:t>
      </w:r>
      <w:r w:rsidRPr="00A011C6">
        <w:rPr>
          <w:lang w:val="fr-CA"/>
        </w:rPr>
        <w:t>intimée</w:t>
      </w:r>
      <w:r>
        <w:rPr>
          <w:lang w:val="fr-CA"/>
        </w:rPr>
        <w:t>,</w:t>
      </w:r>
      <w:r w:rsidRPr="00A011C6">
        <w:rPr>
          <w:lang w:val="fr-CA"/>
        </w:rPr>
        <w:t xml:space="preserve"> Nicole Ryan</w:t>
      </w:r>
      <w:r>
        <w:rPr>
          <w:lang w:val="fr-CA"/>
        </w:rPr>
        <w:t>,</w:t>
      </w:r>
      <w:r w:rsidRPr="00A011C6">
        <w:rPr>
          <w:lang w:val="fr-CA"/>
        </w:rPr>
        <w:t xml:space="preserve"> </w:t>
      </w:r>
      <w:r>
        <w:rPr>
          <w:lang w:val="fr-CA"/>
        </w:rPr>
        <w:t>était</w:t>
      </w:r>
      <w:r w:rsidRPr="00A011C6">
        <w:rPr>
          <w:lang w:val="fr-CA"/>
        </w:rPr>
        <w:t xml:space="preserve"> victime d</w:t>
      </w:r>
      <w:r>
        <w:rPr>
          <w:lang w:val="fr-CA"/>
        </w:rPr>
        <w:t>’</w:t>
      </w:r>
      <w:r w:rsidRPr="00A011C6">
        <w:rPr>
          <w:lang w:val="fr-CA"/>
        </w:rPr>
        <w:t xml:space="preserve">un époux violent et </w:t>
      </w:r>
      <w:r>
        <w:rPr>
          <w:lang w:val="fr-CA"/>
        </w:rPr>
        <w:t>dominateur</w:t>
      </w:r>
      <w:r w:rsidRPr="00A011C6">
        <w:rPr>
          <w:lang w:val="fr-CA"/>
        </w:rPr>
        <w:t>.  Elle craignait qu</w:t>
      </w:r>
      <w:r>
        <w:rPr>
          <w:lang w:val="fr-CA"/>
        </w:rPr>
        <w:t>’</w:t>
      </w:r>
      <w:r w:rsidRPr="00A011C6">
        <w:rPr>
          <w:lang w:val="fr-CA"/>
        </w:rPr>
        <w:t>il les blesse gravement ou les tue, elle et sa fille, comme il avait</w:t>
      </w:r>
      <w:r>
        <w:rPr>
          <w:lang w:val="fr-CA"/>
        </w:rPr>
        <w:t xml:space="preserve"> d</w:t>
      </w:r>
      <w:r w:rsidRPr="00E33C42">
        <w:rPr>
          <w:rFonts w:cs="Times New Roman"/>
          <w:lang w:val="fr-CA"/>
        </w:rPr>
        <w:t>’</w:t>
      </w:r>
      <w:r>
        <w:rPr>
          <w:lang w:val="fr-CA"/>
        </w:rPr>
        <w:t>ailleurs</w:t>
      </w:r>
      <w:r w:rsidRPr="00A011C6">
        <w:rPr>
          <w:lang w:val="fr-CA"/>
        </w:rPr>
        <w:t xml:space="preserve"> menacé de le faire à de nombreuses reprises.  </w:t>
      </w:r>
    </w:p>
    <w:p w:rsidR="00AF49CF" w:rsidRPr="00A011C6" w:rsidRDefault="00AF49CF" w:rsidP="00AF49CF">
      <w:pPr>
        <w:pStyle w:val="ParaNoNdepar-AltN"/>
        <w:rPr>
          <w:lang w:val="fr-CA"/>
        </w:rPr>
      </w:pPr>
      <w:r w:rsidRPr="00A011C6">
        <w:rPr>
          <w:lang w:val="fr-CA"/>
        </w:rPr>
        <w:t xml:space="preserve">En septembre 2007, </w:t>
      </w:r>
      <w:r>
        <w:rPr>
          <w:lang w:val="fr-CA"/>
        </w:rPr>
        <w:t>l</w:t>
      </w:r>
      <w:r w:rsidRPr="00A3541C">
        <w:rPr>
          <w:rFonts w:cs="Times New Roman"/>
          <w:lang w:val="fr-CA"/>
        </w:rPr>
        <w:t>’</w:t>
      </w:r>
      <w:r>
        <w:rPr>
          <w:lang w:val="fr-CA"/>
        </w:rPr>
        <w:t xml:space="preserve">idée de </w:t>
      </w:r>
      <w:r w:rsidRPr="00A011C6">
        <w:rPr>
          <w:lang w:val="fr-CA"/>
        </w:rPr>
        <w:t>faire assassiner son époux</w:t>
      </w:r>
      <w:r>
        <w:rPr>
          <w:lang w:val="fr-CA"/>
        </w:rPr>
        <w:t xml:space="preserve"> a germé en elle</w:t>
      </w:r>
      <w:r w:rsidRPr="00A011C6">
        <w:rPr>
          <w:lang w:val="fr-CA"/>
        </w:rPr>
        <w:t xml:space="preserve">. </w:t>
      </w:r>
      <w:r>
        <w:rPr>
          <w:lang w:val="fr-CA"/>
        </w:rPr>
        <w:t xml:space="preserve"> </w:t>
      </w:r>
      <w:r w:rsidRPr="00A011C6">
        <w:rPr>
          <w:lang w:val="fr-CA"/>
        </w:rPr>
        <w:t xml:space="preserve">Au cours des sept mois qui ont suivi, elle a parlé à au moins trois hommes </w:t>
      </w:r>
      <w:r>
        <w:rPr>
          <w:lang w:val="fr-CA"/>
        </w:rPr>
        <w:t>qu’elle espérait voir</w:t>
      </w:r>
      <w:r w:rsidRPr="00A011C6">
        <w:rPr>
          <w:lang w:val="fr-CA"/>
        </w:rPr>
        <w:t xml:space="preserve"> tuer son époux. </w:t>
      </w:r>
      <w:r>
        <w:rPr>
          <w:lang w:val="fr-CA"/>
        </w:rPr>
        <w:t xml:space="preserve"> </w:t>
      </w:r>
      <w:r w:rsidRPr="00A011C6">
        <w:rPr>
          <w:lang w:val="fr-CA"/>
        </w:rPr>
        <w:t xml:space="preserve">En </w:t>
      </w:r>
      <w:r>
        <w:rPr>
          <w:lang w:val="fr-CA"/>
        </w:rPr>
        <w:t>déc</w:t>
      </w:r>
      <w:r w:rsidRPr="00A011C6">
        <w:rPr>
          <w:lang w:val="fr-CA"/>
        </w:rPr>
        <w:t>embre</w:t>
      </w:r>
      <w:r>
        <w:rPr>
          <w:lang w:val="fr-CA"/>
        </w:rPr>
        <w:t xml:space="preserve"> 2007 ou janvier 2008</w:t>
      </w:r>
      <w:r w:rsidRPr="00A011C6">
        <w:rPr>
          <w:lang w:val="fr-CA"/>
        </w:rPr>
        <w:t xml:space="preserve">, elle </w:t>
      </w:r>
      <w:r>
        <w:rPr>
          <w:lang w:val="fr-CA"/>
        </w:rPr>
        <w:t>a versé une somme</w:t>
      </w:r>
      <w:r w:rsidRPr="00A011C6">
        <w:rPr>
          <w:lang w:val="fr-CA"/>
        </w:rPr>
        <w:t xml:space="preserve"> de 25 000</w:t>
      </w:r>
      <w:r>
        <w:rPr>
          <w:lang w:val="fr-CA"/>
        </w:rPr>
        <w:t> $</w:t>
      </w:r>
      <w:r w:rsidRPr="00A011C6">
        <w:rPr>
          <w:lang w:val="fr-CA"/>
        </w:rPr>
        <w:t xml:space="preserve"> à un homme pour qu</w:t>
      </w:r>
      <w:r>
        <w:rPr>
          <w:lang w:val="fr-CA"/>
        </w:rPr>
        <w:t xml:space="preserve">’il </w:t>
      </w:r>
      <w:r w:rsidRPr="00A011C6">
        <w:rPr>
          <w:lang w:val="fr-CA"/>
        </w:rPr>
        <w:t xml:space="preserve">se charge du meurtre, mais </w:t>
      </w:r>
      <w:r>
        <w:rPr>
          <w:lang w:val="fr-CA"/>
        </w:rPr>
        <w:t>celui</w:t>
      </w:r>
      <w:r>
        <w:rPr>
          <w:lang w:val="fr-CA"/>
        </w:rPr>
        <w:noBreakHyphen/>
        <w:t>ci</w:t>
      </w:r>
      <w:r w:rsidRPr="00A011C6">
        <w:rPr>
          <w:lang w:val="fr-CA"/>
        </w:rPr>
        <w:t xml:space="preserve"> a </w:t>
      </w:r>
      <w:r>
        <w:rPr>
          <w:lang w:val="fr-CA"/>
        </w:rPr>
        <w:t xml:space="preserve">par la suite </w:t>
      </w:r>
      <w:r w:rsidRPr="00A011C6">
        <w:rPr>
          <w:lang w:val="fr-CA"/>
        </w:rPr>
        <w:t>refusé</w:t>
      </w:r>
      <w:r>
        <w:rPr>
          <w:lang w:val="fr-CA"/>
        </w:rPr>
        <w:t xml:space="preserve">, exigeant une somme </w:t>
      </w:r>
      <w:r w:rsidRPr="00A011C6">
        <w:rPr>
          <w:lang w:val="fr-CA"/>
        </w:rPr>
        <w:t>plus important</w:t>
      </w:r>
      <w:r>
        <w:rPr>
          <w:lang w:val="fr-CA"/>
        </w:rPr>
        <w:t>e</w:t>
      </w:r>
      <w:r w:rsidRPr="00A011C6">
        <w:rPr>
          <w:lang w:val="fr-CA"/>
        </w:rPr>
        <w:t xml:space="preserve">. </w:t>
      </w:r>
      <w:r>
        <w:rPr>
          <w:lang w:val="fr-CA"/>
        </w:rPr>
        <w:t xml:space="preserve"> M</w:t>
      </w:r>
      <w:r w:rsidRPr="00DE38F4">
        <w:rPr>
          <w:vertAlign w:val="superscript"/>
          <w:lang w:val="fr-CA"/>
        </w:rPr>
        <w:t>me</w:t>
      </w:r>
      <w:r>
        <w:rPr>
          <w:lang w:val="fr-CA"/>
        </w:rPr>
        <w:t> Ryan</w:t>
      </w:r>
      <w:r w:rsidRPr="00A011C6">
        <w:rPr>
          <w:lang w:val="fr-CA"/>
        </w:rPr>
        <w:t xml:space="preserve"> s</w:t>
      </w:r>
      <w:r>
        <w:rPr>
          <w:lang w:val="fr-CA"/>
        </w:rPr>
        <w:t>’</w:t>
      </w:r>
      <w:r w:rsidRPr="00A011C6">
        <w:rPr>
          <w:lang w:val="fr-CA"/>
        </w:rPr>
        <w:t xml:space="preserve">est </w:t>
      </w:r>
      <w:r>
        <w:rPr>
          <w:lang w:val="fr-CA"/>
        </w:rPr>
        <w:t xml:space="preserve">ensuite </w:t>
      </w:r>
      <w:r w:rsidRPr="00A011C6">
        <w:rPr>
          <w:lang w:val="fr-CA"/>
        </w:rPr>
        <w:t>adressé</w:t>
      </w:r>
      <w:r>
        <w:rPr>
          <w:lang w:val="fr-CA"/>
        </w:rPr>
        <w:t>e</w:t>
      </w:r>
      <w:r w:rsidRPr="00A011C6">
        <w:rPr>
          <w:lang w:val="fr-CA"/>
        </w:rPr>
        <w:t xml:space="preserve"> à </w:t>
      </w:r>
      <w:r>
        <w:rPr>
          <w:lang w:val="fr-CA"/>
        </w:rPr>
        <w:t>quelqu’un d’autre</w:t>
      </w:r>
      <w:r w:rsidRPr="00A011C6">
        <w:rPr>
          <w:lang w:val="fr-CA"/>
        </w:rPr>
        <w:t>, mais une troisième personne, un agent d</w:t>
      </w:r>
      <w:r>
        <w:rPr>
          <w:lang w:val="fr-CA"/>
        </w:rPr>
        <w:t>’</w:t>
      </w:r>
      <w:r w:rsidRPr="00A011C6">
        <w:rPr>
          <w:lang w:val="fr-CA"/>
        </w:rPr>
        <w:t xml:space="preserve">infiltration de la GRC se faisant passer pour un « tueur à gages », a communiqué avec elle. </w:t>
      </w:r>
      <w:r>
        <w:rPr>
          <w:lang w:val="fr-CA"/>
        </w:rPr>
        <w:t xml:space="preserve"> Le 27 </w:t>
      </w:r>
      <w:r w:rsidRPr="00A011C6">
        <w:rPr>
          <w:lang w:val="fr-CA"/>
        </w:rPr>
        <w:t>mars 2008, elle a rencontré ce</w:t>
      </w:r>
      <w:r>
        <w:rPr>
          <w:lang w:val="fr-CA"/>
        </w:rPr>
        <w:t xml:space="preserve"> dernier et </w:t>
      </w:r>
      <w:r w:rsidRPr="00A011C6">
        <w:rPr>
          <w:lang w:val="fr-CA"/>
        </w:rPr>
        <w:t xml:space="preserve">accepté de le payer pour </w:t>
      </w:r>
      <w:r>
        <w:rPr>
          <w:lang w:val="fr-CA"/>
        </w:rPr>
        <w:t>qu’il tue s</w:t>
      </w:r>
      <w:r w:rsidRPr="00A011C6">
        <w:rPr>
          <w:lang w:val="fr-CA"/>
        </w:rPr>
        <w:t xml:space="preserve">on époux. </w:t>
      </w:r>
      <w:r>
        <w:rPr>
          <w:lang w:val="fr-CA"/>
        </w:rPr>
        <w:t xml:space="preserve"> </w:t>
      </w:r>
      <w:r w:rsidRPr="00A011C6">
        <w:rPr>
          <w:lang w:val="fr-CA"/>
        </w:rPr>
        <w:t>Le prix convenu était de 25 000</w:t>
      </w:r>
      <w:r>
        <w:rPr>
          <w:lang w:val="fr-CA"/>
        </w:rPr>
        <w:t xml:space="preserve"> $, dont </w:t>
      </w:r>
      <w:r w:rsidRPr="00A011C6">
        <w:rPr>
          <w:lang w:val="fr-CA"/>
        </w:rPr>
        <w:t>2 000</w:t>
      </w:r>
      <w:r>
        <w:rPr>
          <w:lang w:val="fr-CA"/>
        </w:rPr>
        <w:t xml:space="preserve"> $ </w:t>
      </w:r>
      <w:r w:rsidRPr="00A011C6">
        <w:rPr>
          <w:lang w:val="fr-CA"/>
        </w:rPr>
        <w:t>devai</w:t>
      </w:r>
      <w:r>
        <w:rPr>
          <w:lang w:val="fr-CA"/>
        </w:rPr>
        <w:t>en</w:t>
      </w:r>
      <w:r w:rsidRPr="00A011C6">
        <w:rPr>
          <w:lang w:val="fr-CA"/>
        </w:rPr>
        <w:t>t être versé</w:t>
      </w:r>
      <w:r>
        <w:rPr>
          <w:lang w:val="fr-CA"/>
        </w:rPr>
        <w:t>s</w:t>
      </w:r>
      <w:r w:rsidRPr="00A011C6">
        <w:rPr>
          <w:lang w:val="fr-CA"/>
        </w:rPr>
        <w:t xml:space="preserve"> en argent liquide le jour même. </w:t>
      </w:r>
      <w:r>
        <w:rPr>
          <w:lang w:val="fr-CA"/>
        </w:rPr>
        <w:t xml:space="preserve"> Le meurtre devait être commis</w:t>
      </w:r>
      <w:r w:rsidRPr="00A011C6">
        <w:rPr>
          <w:lang w:val="fr-CA"/>
        </w:rPr>
        <w:t xml:space="preserve"> </w:t>
      </w:r>
      <w:r>
        <w:rPr>
          <w:lang w:val="fr-CA"/>
        </w:rPr>
        <w:t>la</w:t>
      </w:r>
      <w:r w:rsidRPr="00A011C6">
        <w:rPr>
          <w:lang w:val="fr-CA"/>
        </w:rPr>
        <w:t xml:space="preserve"> fin de semaine</w:t>
      </w:r>
      <w:r>
        <w:rPr>
          <w:lang w:val="fr-CA"/>
        </w:rPr>
        <w:t xml:space="preserve"> suivante</w:t>
      </w:r>
      <w:r w:rsidRPr="00A011C6">
        <w:rPr>
          <w:lang w:val="fr-CA"/>
        </w:rPr>
        <w:t xml:space="preserve">. </w:t>
      </w:r>
      <w:r>
        <w:rPr>
          <w:lang w:val="fr-CA"/>
        </w:rPr>
        <w:t xml:space="preserve"> </w:t>
      </w:r>
      <w:r w:rsidRPr="00A011C6">
        <w:rPr>
          <w:lang w:val="fr-CA"/>
        </w:rPr>
        <w:t xml:space="preserve">Plus tard </w:t>
      </w:r>
      <w:r>
        <w:rPr>
          <w:lang w:val="fr-CA"/>
        </w:rPr>
        <w:t>au cours de la même soirée</w:t>
      </w:r>
      <w:r w:rsidRPr="00A011C6">
        <w:rPr>
          <w:lang w:val="fr-CA"/>
        </w:rPr>
        <w:t>, elle a fourni l</w:t>
      </w:r>
      <w:r>
        <w:rPr>
          <w:lang w:val="fr-CA"/>
        </w:rPr>
        <w:t>’</w:t>
      </w:r>
      <w:r w:rsidRPr="00A011C6">
        <w:rPr>
          <w:lang w:val="fr-CA"/>
        </w:rPr>
        <w:t xml:space="preserve">adresse et une photo de son époux au « tueur à gages ». </w:t>
      </w:r>
      <w:r>
        <w:rPr>
          <w:lang w:val="fr-CA"/>
        </w:rPr>
        <w:t xml:space="preserve"> </w:t>
      </w:r>
      <w:r w:rsidRPr="00A011C6">
        <w:rPr>
          <w:lang w:val="fr-CA"/>
        </w:rPr>
        <w:t>Peu de temps après, elle a été arrêtée et accusée</w:t>
      </w:r>
      <w:r>
        <w:rPr>
          <w:lang w:val="fr-CA"/>
        </w:rPr>
        <w:t xml:space="preserve">, en vertu </w:t>
      </w:r>
      <w:r w:rsidRPr="00A011C6">
        <w:rPr>
          <w:lang w:val="fr-CA"/>
        </w:rPr>
        <w:t>de l</w:t>
      </w:r>
      <w:r>
        <w:rPr>
          <w:lang w:val="fr-CA"/>
        </w:rPr>
        <w:t>’al. </w:t>
      </w:r>
      <w:r w:rsidRPr="00A011C6">
        <w:rPr>
          <w:lang w:val="fr-CA"/>
        </w:rPr>
        <w:t>464</w:t>
      </w:r>
      <w:r w:rsidRPr="00A011C6">
        <w:rPr>
          <w:i/>
          <w:lang w:val="fr-CA"/>
        </w:rPr>
        <w:t>a</w:t>
      </w:r>
      <w:r w:rsidRPr="00A011C6">
        <w:rPr>
          <w:lang w:val="fr-CA"/>
        </w:rPr>
        <w:t xml:space="preserve">) du </w:t>
      </w:r>
      <w:r w:rsidRPr="00A011C6">
        <w:rPr>
          <w:i/>
          <w:lang w:val="fr-CA"/>
        </w:rPr>
        <w:t>Code criminel</w:t>
      </w:r>
      <w:r>
        <w:rPr>
          <w:lang w:val="fr-CA"/>
        </w:rPr>
        <w:t xml:space="preserve">, </w:t>
      </w:r>
      <w:r w:rsidR="004A787F">
        <w:rPr>
          <w:lang w:val="fr-CA"/>
        </w:rPr>
        <w:t>L.R.C.</w:t>
      </w:r>
      <w:r w:rsidRPr="00A011C6">
        <w:rPr>
          <w:lang w:val="fr-CA"/>
        </w:rPr>
        <w:t xml:space="preserve"> 1985, </w:t>
      </w:r>
      <w:r>
        <w:rPr>
          <w:lang w:val="fr-CA"/>
        </w:rPr>
        <w:t>ch. </w:t>
      </w:r>
      <w:r w:rsidRPr="00A011C6">
        <w:rPr>
          <w:lang w:val="fr-CA"/>
        </w:rPr>
        <w:t>C</w:t>
      </w:r>
      <w:r>
        <w:rPr>
          <w:lang w:val="fr-CA"/>
        </w:rPr>
        <w:noBreakHyphen/>
        <w:t>46,</w:t>
      </w:r>
      <w:r w:rsidRPr="00A011C6">
        <w:rPr>
          <w:lang w:val="fr-CA"/>
        </w:rPr>
        <w:t xml:space="preserve"> d</w:t>
      </w:r>
      <w:r>
        <w:rPr>
          <w:lang w:val="fr-CA"/>
        </w:rPr>
        <w:t>’</w:t>
      </w:r>
      <w:r w:rsidRPr="00A011C6">
        <w:rPr>
          <w:lang w:val="fr-CA"/>
        </w:rPr>
        <w:t>avoir conseillé la perpétration d</w:t>
      </w:r>
      <w:r>
        <w:rPr>
          <w:lang w:val="fr-CA"/>
        </w:rPr>
        <w:t>’</w:t>
      </w:r>
      <w:r w:rsidRPr="00A011C6">
        <w:rPr>
          <w:lang w:val="fr-CA"/>
        </w:rPr>
        <w:t>une infraction qui n</w:t>
      </w:r>
      <w:r>
        <w:rPr>
          <w:lang w:val="fr-CA"/>
        </w:rPr>
        <w:t>’</w:t>
      </w:r>
      <w:r w:rsidRPr="00A011C6">
        <w:rPr>
          <w:lang w:val="fr-CA"/>
        </w:rPr>
        <w:t>a pas été commise.</w:t>
      </w:r>
    </w:p>
    <w:p w:rsidR="00AF49CF" w:rsidRPr="00A011C6" w:rsidRDefault="00AF49CF" w:rsidP="00AF49CF">
      <w:pPr>
        <w:pStyle w:val="ParaNoNdepar-AltN"/>
        <w:rPr>
          <w:lang w:val="fr-CA"/>
        </w:rPr>
      </w:pPr>
      <w:r w:rsidRPr="00A011C6">
        <w:rPr>
          <w:lang w:val="fr-CA"/>
        </w:rPr>
        <w:t>Au procès, nul n</w:t>
      </w:r>
      <w:r>
        <w:rPr>
          <w:lang w:val="fr-CA"/>
        </w:rPr>
        <w:t>’</w:t>
      </w:r>
      <w:r w:rsidRPr="00A011C6">
        <w:rPr>
          <w:lang w:val="fr-CA"/>
        </w:rPr>
        <w:t>a contesté que les éléments de l</w:t>
      </w:r>
      <w:r>
        <w:rPr>
          <w:lang w:val="fr-CA"/>
        </w:rPr>
        <w:t>’</w:t>
      </w:r>
      <w:r w:rsidRPr="00A011C6">
        <w:rPr>
          <w:lang w:val="fr-CA"/>
        </w:rPr>
        <w:t xml:space="preserve">infraction </w:t>
      </w:r>
      <w:r>
        <w:rPr>
          <w:lang w:val="fr-CA"/>
        </w:rPr>
        <w:t xml:space="preserve">avaient été </w:t>
      </w:r>
      <w:r w:rsidRPr="00A011C6">
        <w:rPr>
          <w:lang w:val="fr-CA"/>
        </w:rPr>
        <w:t>prouvés</w:t>
      </w:r>
      <w:r>
        <w:rPr>
          <w:lang w:val="fr-CA"/>
        </w:rPr>
        <w:t>.  L</w:t>
      </w:r>
      <w:r w:rsidRPr="00A011C6">
        <w:rPr>
          <w:lang w:val="fr-CA"/>
        </w:rPr>
        <w:t>e juge de première instance, le juge Farrar (maintenant juge à la Cour d</w:t>
      </w:r>
      <w:r>
        <w:rPr>
          <w:lang w:val="fr-CA"/>
        </w:rPr>
        <w:t>’</w:t>
      </w:r>
      <w:r w:rsidRPr="00A011C6">
        <w:rPr>
          <w:lang w:val="fr-CA"/>
        </w:rPr>
        <w:t>appel de la Nouvelle</w:t>
      </w:r>
      <w:r>
        <w:rPr>
          <w:lang w:val="fr-CA"/>
        </w:rPr>
        <w:noBreakHyphen/>
      </w:r>
      <w:r w:rsidRPr="00A011C6">
        <w:rPr>
          <w:lang w:val="fr-CA"/>
        </w:rPr>
        <w:t>Écosse)</w:t>
      </w:r>
      <w:r>
        <w:rPr>
          <w:lang w:val="fr-CA"/>
        </w:rPr>
        <w:t>,</w:t>
      </w:r>
      <w:r w:rsidRPr="00A011C6">
        <w:rPr>
          <w:lang w:val="fr-CA"/>
        </w:rPr>
        <w:t xml:space="preserve"> </w:t>
      </w:r>
      <w:r>
        <w:rPr>
          <w:lang w:val="fr-CA"/>
        </w:rPr>
        <w:t xml:space="preserve">a affirmé être </w:t>
      </w:r>
      <w:r w:rsidRPr="00A011C6">
        <w:rPr>
          <w:lang w:val="fr-CA"/>
        </w:rPr>
        <w:t>convaincu hors de tout doute raisonnable que les éléments essentiels de l</w:t>
      </w:r>
      <w:r>
        <w:rPr>
          <w:lang w:val="fr-CA"/>
        </w:rPr>
        <w:t>’</w:t>
      </w:r>
      <w:r w:rsidRPr="00A011C6">
        <w:rPr>
          <w:lang w:val="fr-CA"/>
        </w:rPr>
        <w:t>infraction consistant à conseiller la perpétration d</w:t>
      </w:r>
      <w:r>
        <w:rPr>
          <w:lang w:val="fr-CA"/>
        </w:rPr>
        <w:t>’</w:t>
      </w:r>
      <w:r w:rsidRPr="00A011C6">
        <w:rPr>
          <w:lang w:val="fr-CA"/>
        </w:rPr>
        <w:t xml:space="preserve">une infraction avaient été </w:t>
      </w:r>
      <w:r>
        <w:rPr>
          <w:lang w:val="fr-CA"/>
        </w:rPr>
        <w:t xml:space="preserve">établis.  </w:t>
      </w:r>
      <w:r w:rsidRPr="00A011C6">
        <w:rPr>
          <w:lang w:val="fr-CA"/>
        </w:rPr>
        <w:t>Il a fondé cette conclusion sur</w:t>
      </w:r>
      <w:r>
        <w:rPr>
          <w:lang w:val="fr-CA"/>
        </w:rPr>
        <w:t xml:space="preserve"> l</w:t>
      </w:r>
      <w:r w:rsidRPr="00A3541C">
        <w:rPr>
          <w:rFonts w:cs="Times New Roman"/>
          <w:lang w:val="fr-CA"/>
        </w:rPr>
        <w:t>’</w:t>
      </w:r>
      <w:r>
        <w:rPr>
          <w:lang w:val="fr-CA"/>
        </w:rPr>
        <w:t xml:space="preserve">admission par </w:t>
      </w:r>
      <w:r w:rsidRPr="00A011C6">
        <w:rPr>
          <w:lang w:val="fr-CA"/>
        </w:rPr>
        <w:t>l</w:t>
      </w:r>
      <w:r>
        <w:rPr>
          <w:lang w:val="fr-CA"/>
        </w:rPr>
        <w:t>’</w:t>
      </w:r>
      <w:r w:rsidRPr="00A011C6">
        <w:rPr>
          <w:lang w:val="fr-CA"/>
        </w:rPr>
        <w:t xml:space="preserve">intimée </w:t>
      </w:r>
      <w:r>
        <w:rPr>
          <w:lang w:val="fr-CA"/>
        </w:rPr>
        <w:t>selon laquelle</w:t>
      </w:r>
      <w:r w:rsidRPr="00A011C6">
        <w:rPr>
          <w:lang w:val="fr-CA"/>
        </w:rPr>
        <w:t xml:space="preserve"> le ministère public avait </w:t>
      </w:r>
      <w:r>
        <w:rPr>
          <w:lang w:val="fr-CA"/>
        </w:rPr>
        <w:t>prouvé l’infraction</w:t>
      </w:r>
      <w:r w:rsidRPr="00A011C6">
        <w:rPr>
          <w:lang w:val="fr-CA"/>
        </w:rPr>
        <w:t xml:space="preserve"> </w:t>
      </w:r>
      <w:r w:rsidRPr="00A011C6">
        <w:rPr>
          <w:i/>
          <w:lang w:val="fr-CA"/>
        </w:rPr>
        <w:t>prima facie</w:t>
      </w:r>
      <w:r>
        <w:rPr>
          <w:lang w:val="fr-CA"/>
        </w:rPr>
        <w:t>, s</w:t>
      </w:r>
      <w:r w:rsidRPr="00A011C6">
        <w:rPr>
          <w:lang w:val="fr-CA"/>
        </w:rPr>
        <w:t xml:space="preserve">ur les </w:t>
      </w:r>
      <w:r>
        <w:rPr>
          <w:lang w:val="fr-CA"/>
        </w:rPr>
        <w:t>enregistrement</w:t>
      </w:r>
      <w:r w:rsidRPr="00A011C6">
        <w:rPr>
          <w:lang w:val="fr-CA"/>
        </w:rPr>
        <w:t xml:space="preserve">s audio et vidéo des conversations </w:t>
      </w:r>
      <w:r>
        <w:rPr>
          <w:lang w:val="fr-CA"/>
        </w:rPr>
        <w:t xml:space="preserve">entre elle et </w:t>
      </w:r>
      <w:r w:rsidRPr="00A011C6">
        <w:rPr>
          <w:lang w:val="fr-CA"/>
        </w:rPr>
        <w:t>l</w:t>
      </w:r>
      <w:r>
        <w:rPr>
          <w:lang w:val="fr-CA"/>
        </w:rPr>
        <w:t>’</w:t>
      </w:r>
      <w:r w:rsidRPr="00A011C6">
        <w:rPr>
          <w:lang w:val="fr-CA"/>
        </w:rPr>
        <w:t>agent d</w:t>
      </w:r>
      <w:r>
        <w:rPr>
          <w:lang w:val="fr-CA"/>
        </w:rPr>
        <w:t>’</w:t>
      </w:r>
      <w:r w:rsidRPr="00A011C6">
        <w:rPr>
          <w:lang w:val="fr-CA"/>
        </w:rPr>
        <w:t xml:space="preserve">infiltration et </w:t>
      </w:r>
      <w:r>
        <w:rPr>
          <w:lang w:val="fr-CA"/>
        </w:rPr>
        <w:t xml:space="preserve">sur </w:t>
      </w:r>
      <w:r w:rsidRPr="00A011C6">
        <w:rPr>
          <w:lang w:val="fr-CA"/>
        </w:rPr>
        <w:t xml:space="preserve">une déclaration </w:t>
      </w:r>
      <w:r>
        <w:rPr>
          <w:lang w:val="fr-CA"/>
        </w:rPr>
        <w:t xml:space="preserve">qu’elle avait </w:t>
      </w:r>
      <w:r w:rsidRPr="00A011C6">
        <w:rPr>
          <w:lang w:val="fr-CA"/>
        </w:rPr>
        <w:t xml:space="preserve">faite lors de </w:t>
      </w:r>
      <w:r>
        <w:rPr>
          <w:lang w:val="fr-CA"/>
        </w:rPr>
        <w:t xml:space="preserve">son </w:t>
      </w:r>
      <w:r w:rsidRPr="00A011C6">
        <w:rPr>
          <w:lang w:val="fr-CA"/>
        </w:rPr>
        <w:t>arrestation </w:t>
      </w:r>
      <w:r w:rsidR="00CF752F">
        <w:rPr>
          <w:lang w:val="fr-CA"/>
        </w:rPr>
        <w:t>(</w:t>
      </w:r>
      <w:r w:rsidRPr="00A011C6">
        <w:rPr>
          <w:lang w:val="fr-CA"/>
        </w:rPr>
        <w:t xml:space="preserve">motifs du juge de première instance, </w:t>
      </w:r>
      <w:r>
        <w:rPr>
          <w:lang w:val="fr-CA"/>
        </w:rPr>
        <w:t>par. </w:t>
      </w:r>
      <w:r w:rsidRPr="00A011C6">
        <w:rPr>
          <w:lang w:val="fr-CA"/>
        </w:rPr>
        <w:t>4</w:t>
      </w:r>
      <w:r w:rsidR="00CF752F">
        <w:rPr>
          <w:lang w:val="fr-CA"/>
        </w:rPr>
        <w:t>-</w:t>
      </w:r>
      <w:r w:rsidRPr="00A011C6">
        <w:rPr>
          <w:lang w:val="fr-CA"/>
        </w:rPr>
        <w:t>6</w:t>
      </w:r>
      <w:r w:rsidR="00CF752F">
        <w:rPr>
          <w:lang w:val="fr-CA"/>
        </w:rPr>
        <w:t>)</w:t>
      </w:r>
      <w:r>
        <w:rPr>
          <w:lang w:val="fr-CA"/>
        </w:rPr>
        <w:t xml:space="preserve">.  </w:t>
      </w:r>
      <w:r w:rsidRPr="00A011C6">
        <w:rPr>
          <w:lang w:val="fr-CA"/>
        </w:rPr>
        <w:t xml:space="preserve">La seule question en litige au procès </w:t>
      </w:r>
      <w:r>
        <w:rPr>
          <w:lang w:val="fr-CA"/>
        </w:rPr>
        <w:t>consistait à déterminer</w:t>
      </w:r>
      <w:r w:rsidRPr="00A011C6">
        <w:rPr>
          <w:lang w:val="fr-CA"/>
        </w:rPr>
        <w:t xml:space="preserve"> si </w:t>
      </w:r>
      <w:r>
        <w:rPr>
          <w:lang w:val="fr-CA"/>
        </w:rPr>
        <w:t xml:space="preserve">la contrainte excusait </w:t>
      </w:r>
      <w:r w:rsidRPr="00A011C6">
        <w:rPr>
          <w:lang w:val="fr-CA"/>
        </w:rPr>
        <w:t xml:space="preserve">les actes </w:t>
      </w:r>
      <w:r>
        <w:rPr>
          <w:lang w:val="fr-CA"/>
        </w:rPr>
        <w:t xml:space="preserve">par ailleurs </w:t>
      </w:r>
      <w:r w:rsidRPr="00A011C6">
        <w:rPr>
          <w:lang w:val="fr-CA"/>
        </w:rPr>
        <w:t xml:space="preserve">criminels </w:t>
      </w:r>
      <w:r>
        <w:rPr>
          <w:lang w:val="fr-CA"/>
        </w:rPr>
        <w:t xml:space="preserve">commis par </w:t>
      </w:r>
      <w:r w:rsidRPr="00A011C6">
        <w:rPr>
          <w:lang w:val="fr-CA"/>
        </w:rPr>
        <w:t>l</w:t>
      </w:r>
      <w:r>
        <w:rPr>
          <w:lang w:val="fr-CA"/>
        </w:rPr>
        <w:t>’</w:t>
      </w:r>
      <w:r w:rsidRPr="00A011C6">
        <w:rPr>
          <w:lang w:val="fr-CA"/>
        </w:rPr>
        <w:t xml:space="preserve">intimée. </w:t>
      </w:r>
      <w:r>
        <w:rPr>
          <w:lang w:val="fr-CA"/>
        </w:rPr>
        <w:t xml:space="preserve"> </w:t>
      </w:r>
      <w:r w:rsidRPr="00A011C6">
        <w:rPr>
          <w:lang w:val="fr-CA"/>
        </w:rPr>
        <w:t>L</w:t>
      </w:r>
      <w:r>
        <w:rPr>
          <w:lang w:val="fr-CA"/>
        </w:rPr>
        <w:t>’</w:t>
      </w:r>
      <w:r w:rsidRPr="00A011C6">
        <w:rPr>
          <w:lang w:val="fr-CA"/>
        </w:rPr>
        <w:t xml:space="preserve">accusée a </w:t>
      </w:r>
      <w:r>
        <w:rPr>
          <w:lang w:val="fr-CA"/>
        </w:rPr>
        <w:t>soutenu</w:t>
      </w:r>
      <w:r w:rsidRPr="00A011C6">
        <w:rPr>
          <w:lang w:val="fr-CA"/>
        </w:rPr>
        <w:t xml:space="preserve"> que le moyen de défense de common law fondé sur la contrainte s</w:t>
      </w:r>
      <w:r>
        <w:rPr>
          <w:lang w:val="fr-CA"/>
        </w:rPr>
        <w:t>’</w:t>
      </w:r>
      <w:r w:rsidRPr="00A011C6">
        <w:rPr>
          <w:lang w:val="fr-CA"/>
        </w:rPr>
        <w:t xml:space="preserve">appliquait. </w:t>
      </w:r>
      <w:r>
        <w:rPr>
          <w:lang w:val="fr-CA"/>
        </w:rPr>
        <w:t xml:space="preserve"> Pour sa part, l</w:t>
      </w:r>
      <w:r w:rsidRPr="00A011C6">
        <w:rPr>
          <w:lang w:val="fr-CA"/>
        </w:rPr>
        <w:t xml:space="preserve">e ministère public a </w:t>
      </w:r>
      <w:r>
        <w:rPr>
          <w:lang w:val="fr-CA"/>
        </w:rPr>
        <w:t>plaidé</w:t>
      </w:r>
      <w:r w:rsidRPr="00A011C6">
        <w:rPr>
          <w:lang w:val="fr-CA"/>
        </w:rPr>
        <w:t xml:space="preserve"> que, </w:t>
      </w:r>
      <w:r w:rsidRPr="00A011C6">
        <w:rPr>
          <w:i/>
          <w:lang w:val="fr-CA"/>
        </w:rPr>
        <w:t>compte tenu des faits de l</w:t>
      </w:r>
      <w:r>
        <w:rPr>
          <w:i/>
          <w:lang w:val="fr-CA"/>
        </w:rPr>
        <w:t>’</w:t>
      </w:r>
      <w:r w:rsidRPr="00A011C6">
        <w:rPr>
          <w:i/>
          <w:lang w:val="fr-CA"/>
        </w:rPr>
        <w:t>espèce</w:t>
      </w:r>
      <w:r w:rsidRPr="00A011C6">
        <w:rPr>
          <w:lang w:val="fr-CA"/>
        </w:rPr>
        <w:t>, les éléments constitutifs de la contrainte n</w:t>
      </w:r>
      <w:r>
        <w:rPr>
          <w:lang w:val="fr-CA"/>
        </w:rPr>
        <w:t>’</w:t>
      </w:r>
      <w:r w:rsidRPr="00A011C6">
        <w:rPr>
          <w:lang w:val="fr-CA"/>
        </w:rPr>
        <w:t xml:space="preserve">étaient pas présents.  Mais, </w:t>
      </w:r>
      <w:r>
        <w:rPr>
          <w:lang w:val="fr-CA"/>
        </w:rPr>
        <w:t>en première instance</w:t>
      </w:r>
      <w:r w:rsidRPr="00A011C6">
        <w:rPr>
          <w:lang w:val="fr-CA"/>
        </w:rPr>
        <w:t>, il n</w:t>
      </w:r>
      <w:r>
        <w:rPr>
          <w:lang w:val="fr-CA"/>
        </w:rPr>
        <w:t>’</w:t>
      </w:r>
      <w:r w:rsidRPr="00A011C6">
        <w:rPr>
          <w:lang w:val="fr-CA"/>
        </w:rPr>
        <w:t xml:space="preserve">a pas </w:t>
      </w:r>
      <w:r>
        <w:rPr>
          <w:lang w:val="fr-CA"/>
        </w:rPr>
        <w:t>plaidé</w:t>
      </w:r>
      <w:r w:rsidRPr="00A011C6">
        <w:rPr>
          <w:lang w:val="fr-CA"/>
        </w:rPr>
        <w:t>, comme il l</w:t>
      </w:r>
      <w:r>
        <w:rPr>
          <w:lang w:val="fr-CA"/>
        </w:rPr>
        <w:t>’</w:t>
      </w:r>
      <w:r w:rsidRPr="00A011C6">
        <w:rPr>
          <w:lang w:val="fr-CA"/>
        </w:rPr>
        <w:t xml:space="preserve">a fait plus tard en appel, que le  moyen de défense </w:t>
      </w:r>
      <w:r>
        <w:rPr>
          <w:lang w:val="fr-CA"/>
        </w:rPr>
        <w:t xml:space="preserve">fondé sur </w:t>
      </w:r>
      <w:r w:rsidRPr="00A011C6">
        <w:rPr>
          <w:lang w:val="fr-CA"/>
        </w:rPr>
        <w:t xml:space="preserve">la contrainte ne pouvait pas être invoqué </w:t>
      </w:r>
      <w:r w:rsidRPr="00A011C6">
        <w:rPr>
          <w:i/>
          <w:lang w:val="fr-CA"/>
        </w:rPr>
        <w:t>en droit</w:t>
      </w:r>
      <w:r w:rsidRPr="00A011C6">
        <w:rPr>
          <w:lang w:val="fr-CA"/>
        </w:rPr>
        <w:t xml:space="preserve"> par l</w:t>
      </w:r>
      <w:r>
        <w:rPr>
          <w:lang w:val="fr-CA"/>
        </w:rPr>
        <w:t>’</w:t>
      </w:r>
      <w:r w:rsidRPr="00A011C6">
        <w:rPr>
          <w:lang w:val="fr-CA"/>
        </w:rPr>
        <w:t xml:space="preserve">intimée (transcription, </w:t>
      </w:r>
      <w:r>
        <w:rPr>
          <w:lang w:val="fr-CA"/>
        </w:rPr>
        <w:t>p. </w:t>
      </w:r>
      <w:r w:rsidRPr="00A011C6">
        <w:rPr>
          <w:lang w:val="fr-CA"/>
        </w:rPr>
        <w:t>22</w:t>
      </w:r>
      <w:r>
        <w:rPr>
          <w:lang w:val="fr-CA"/>
        </w:rPr>
        <w:noBreakHyphen/>
      </w:r>
      <w:r w:rsidRPr="00A011C6">
        <w:rPr>
          <w:lang w:val="fr-CA"/>
        </w:rPr>
        <w:t xml:space="preserve">23; </w:t>
      </w:r>
      <w:r>
        <w:rPr>
          <w:lang w:val="fr-CA"/>
        </w:rPr>
        <w:t>jugement de première instance, 2010 NSSC 114</w:t>
      </w:r>
      <w:r w:rsidR="00F339F0">
        <w:rPr>
          <w:lang w:val="fr-CA"/>
        </w:rPr>
        <w:t xml:space="preserve"> (CanLII)</w:t>
      </w:r>
      <w:r w:rsidRPr="00A011C6">
        <w:rPr>
          <w:lang w:val="fr-CA"/>
        </w:rPr>
        <w:t xml:space="preserve">, </w:t>
      </w:r>
      <w:r>
        <w:rPr>
          <w:lang w:val="fr-CA"/>
        </w:rPr>
        <w:t>par. </w:t>
      </w:r>
      <w:r w:rsidRPr="00A011C6">
        <w:rPr>
          <w:lang w:val="fr-CA"/>
        </w:rPr>
        <w:t>7</w:t>
      </w:r>
      <w:r>
        <w:rPr>
          <w:lang w:val="fr-CA"/>
        </w:rPr>
        <w:noBreakHyphen/>
      </w:r>
      <w:r w:rsidRPr="00A011C6">
        <w:rPr>
          <w:lang w:val="fr-CA"/>
        </w:rPr>
        <w:t xml:space="preserve">8). </w:t>
      </w:r>
    </w:p>
    <w:p w:rsidR="00AF49CF" w:rsidRPr="00A011C6" w:rsidRDefault="00AF49CF" w:rsidP="00AF49CF">
      <w:pPr>
        <w:pStyle w:val="ParaNoNdepar-AltN"/>
        <w:rPr>
          <w:lang w:val="fr-CA"/>
        </w:rPr>
      </w:pPr>
      <w:r w:rsidRPr="00A011C6">
        <w:rPr>
          <w:lang w:val="fr-CA"/>
        </w:rPr>
        <w:t xml:space="preserve">Le juge de première instance a </w:t>
      </w:r>
      <w:r>
        <w:rPr>
          <w:lang w:val="fr-CA"/>
        </w:rPr>
        <w:t>cru que</w:t>
      </w:r>
      <w:r w:rsidRPr="00A011C6">
        <w:rPr>
          <w:lang w:val="fr-CA"/>
        </w:rPr>
        <w:t xml:space="preserve"> le témoignage de l</w:t>
      </w:r>
      <w:r>
        <w:rPr>
          <w:lang w:val="fr-CA"/>
        </w:rPr>
        <w:t>’</w:t>
      </w:r>
      <w:r w:rsidRPr="00A011C6">
        <w:rPr>
          <w:lang w:val="fr-CA"/>
        </w:rPr>
        <w:t xml:space="preserve">intimée </w:t>
      </w:r>
      <w:r>
        <w:rPr>
          <w:lang w:val="fr-CA"/>
        </w:rPr>
        <w:t>sur sa</w:t>
      </w:r>
      <w:r w:rsidRPr="00A011C6">
        <w:rPr>
          <w:lang w:val="fr-CA"/>
        </w:rPr>
        <w:t xml:space="preserve"> relation </w:t>
      </w:r>
      <w:r>
        <w:rPr>
          <w:lang w:val="fr-CA"/>
        </w:rPr>
        <w:t xml:space="preserve">avec son époux </w:t>
      </w:r>
      <w:r w:rsidRPr="00A011C6">
        <w:rPr>
          <w:lang w:val="fr-CA"/>
        </w:rPr>
        <w:t xml:space="preserve">et </w:t>
      </w:r>
      <w:r>
        <w:rPr>
          <w:lang w:val="fr-CA"/>
        </w:rPr>
        <w:t>sa description d</w:t>
      </w:r>
      <w:r w:rsidRPr="00A011C6">
        <w:rPr>
          <w:lang w:val="fr-CA"/>
        </w:rPr>
        <w:t xml:space="preserve">es événements </w:t>
      </w:r>
      <w:r>
        <w:rPr>
          <w:lang w:val="fr-CA"/>
        </w:rPr>
        <w:t>s’y rapportant correspondaient à la réalité.</w:t>
      </w:r>
      <w:r w:rsidRPr="00A011C6">
        <w:rPr>
          <w:lang w:val="fr-CA"/>
        </w:rPr>
        <w:t xml:space="preserve"> </w:t>
      </w:r>
      <w:r>
        <w:rPr>
          <w:lang w:val="fr-CA"/>
        </w:rPr>
        <w:t xml:space="preserve"> </w:t>
      </w:r>
      <w:r w:rsidRPr="00A011C6">
        <w:rPr>
          <w:lang w:val="fr-CA"/>
        </w:rPr>
        <w:t>Par exemple,</w:t>
      </w:r>
      <w:r>
        <w:rPr>
          <w:lang w:val="fr-CA"/>
        </w:rPr>
        <w:t xml:space="preserve"> le comportement violent et menaçant de</w:t>
      </w:r>
      <w:r w:rsidRPr="00A011C6">
        <w:rPr>
          <w:lang w:val="fr-CA"/>
        </w:rPr>
        <w:t xml:space="preserve"> </w:t>
      </w:r>
      <w:r>
        <w:rPr>
          <w:lang w:val="fr-CA"/>
        </w:rPr>
        <w:t>M. </w:t>
      </w:r>
      <w:r w:rsidRPr="00A011C6">
        <w:rPr>
          <w:lang w:val="fr-CA"/>
        </w:rPr>
        <w:t xml:space="preserve">Ryan se </w:t>
      </w:r>
      <w:r>
        <w:rPr>
          <w:lang w:val="fr-CA"/>
        </w:rPr>
        <w:t xml:space="preserve">manifestait </w:t>
      </w:r>
      <w:r w:rsidRPr="00A011C6">
        <w:rPr>
          <w:lang w:val="fr-CA"/>
        </w:rPr>
        <w:t>au moins une fois par semaine</w:t>
      </w:r>
      <w:r>
        <w:rPr>
          <w:lang w:val="fr-CA"/>
        </w:rPr>
        <w:t xml:space="preserve"> par des scènes au cours desquelles il</w:t>
      </w:r>
      <w:r w:rsidRPr="00A011C6">
        <w:rPr>
          <w:lang w:val="fr-CA"/>
        </w:rPr>
        <w:t xml:space="preserve"> lançait des objets à la tête de l</w:t>
      </w:r>
      <w:r>
        <w:rPr>
          <w:lang w:val="fr-CA"/>
        </w:rPr>
        <w:t>’</w:t>
      </w:r>
      <w:r w:rsidRPr="00A011C6">
        <w:rPr>
          <w:lang w:val="fr-CA"/>
        </w:rPr>
        <w:t>intimée, l</w:t>
      </w:r>
      <w:r>
        <w:rPr>
          <w:lang w:val="fr-CA"/>
        </w:rPr>
        <w:t>’</w:t>
      </w:r>
      <w:r w:rsidRPr="00A011C6">
        <w:rPr>
          <w:lang w:val="fr-CA"/>
        </w:rPr>
        <w:t>agressait physiquement et</w:t>
      </w:r>
      <w:r>
        <w:rPr>
          <w:lang w:val="fr-CA"/>
        </w:rPr>
        <w:t xml:space="preserve"> menaçait de la tuer</w:t>
      </w:r>
      <w:r w:rsidRPr="00A011C6">
        <w:rPr>
          <w:lang w:val="fr-CA"/>
        </w:rPr>
        <w:t xml:space="preserve"> (</w:t>
      </w:r>
      <w:r>
        <w:rPr>
          <w:lang w:val="fr-CA"/>
        </w:rPr>
        <w:t>jugement de première instance</w:t>
      </w:r>
      <w:r w:rsidRPr="00A011C6">
        <w:rPr>
          <w:lang w:val="fr-CA"/>
        </w:rPr>
        <w:t xml:space="preserve">, </w:t>
      </w:r>
      <w:r>
        <w:rPr>
          <w:lang w:val="fr-CA"/>
        </w:rPr>
        <w:t>par. </w:t>
      </w:r>
      <w:r w:rsidRPr="00A011C6">
        <w:rPr>
          <w:lang w:val="fr-CA"/>
        </w:rPr>
        <w:t>17).  L</w:t>
      </w:r>
      <w:r>
        <w:rPr>
          <w:lang w:val="fr-CA"/>
        </w:rPr>
        <w:t>’</w:t>
      </w:r>
      <w:r w:rsidRPr="00A011C6">
        <w:rPr>
          <w:lang w:val="fr-CA"/>
        </w:rPr>
        <w:t xml:space="preserve">intimée a </w:t>
      </w:r>
      <w:r>
        <w:rPr>
          <w:lang w:val="fr-CA"/>
        </w:rPr>
        <w:t>témoigné</w:t>
      </w:r>
      <w:r w:rsidRPr="00A011C6">
        <w:rPr>
          <w:lang w:val="fr-CA"/>
        </w:rPr>
        <w:t xml:space="preserve"> </w:t>
      </w:r>
      <w:r>
        <w:rPr>
          <w:lang w:val="fr-CA"/>
        </w:rPr>
        <w:t>q</w:t>
      </w:r>
      <w:r w:rsidRPr="00A011C6">
        <w:rPr>
          <w:lang w:val="fr-CA"/>
        </w:rPr>
        <w:t>ue M</w:t>
      </w:r>
      <w:r>
        <w:rPr>
          <w:lang w:val="fr-CA"/>
        </w:rPr>
        <w:t>. </w:t>
      </w:r>
      <w:r w:rsidRPr="00A011C6">
        <w:rPr>
          <w:lang w:val="fr-CA"/>
        </w:rPr>
        <w:t>Ryan lui disait souvent qu</w:t>
      </w:r>
      <w:r>
        <w:rPr>
          <w:lang w:val="fr-CA"/>
        </w:rPr>
        <w:t>’</w:t>
      </w:r>
      <w:r w:rsidRPr="00A011C6">
        <w:rPr>
          <w:lang w:val="fr-CA"/>
        </w:rPr>
        <w:t>il les tuerait, elle et sa fille, si jamais elle tentait de le quitter (</w:t>
      </w:r>
      <w:r>
        <w:rPr>
          <w:lang w:val="fr-CA"/>
        </w:rPr>
        <w:t>par. </w:t>
      </w:r>
      <w:r w:rsidRPr="00A011C6">
        <w:rPr>
          <w:lang w:val="fr-CA"/>
        </w:rPr>
        <w:t>33), et qu</w:t>
      </w:r>
      <w:r>
        <w:rPr>
          <w:lang w:val="fr-CA"/>
        </w:rPr>
        <w:t>’</w:t>
      </w:r>
      <w:r w:rsidRPr="00A011C6">
        <w:rPr>
          <w:lang w:val="fr-CA"/>
        </w:rPr>
        <w:t xml:space="preserve">il </w:t>
      </w:r>
      <w:r w:rsidRPr="00A011C6">
        <w:rPr>
          <w:smallCaps/>
          <w:lang w:val="fr-CA"/>
        </w:rPr>
        <w:t>[traduction]</w:t>
      </w:r>
      <w:r w:rsidRPr="00A011C6">
        <w:rPr>
          <w:lang w:val="fr-CA"/>
        </w:rPr>
        <w:t xml:space="preserve"> « mettrait le feu à la foutue maison</w:t>
      </w:r>
      <w:r>
        <w:rPr>
          <w:lang w:val="fr-CA"/>
        </w:rPr>
        <w:t> </w:t>
      </w:r>
      <w:r w:rsidRPr="00A011C6">
        <w:rPr>
          <w:lang w:val="fr-CA"/>
        </w:rPr>
        <w:t>» pendant qu</w:t>
      </w:r>
      <w:r>
        <w:rPr>
          <w:lang w:val="fr-CA"/>
        </w:rPr>
        <w:t>’</w:t>
      </w:r>
      <w:r w:rsidRPr="00A011C6">
        <w:rPr>
          <w:lang w:val="fr-CA"/>
        </w:rPr>
        <w:t>elle et sa fille se trouvai</w:t>
      </w:r>
      <w:r>
        <w:rPr>
          <w:lang w:val="fr-CA"/>
        </w:rPr>
        <w:t>en</w:t>
      </w:r>
      <w:r w:rsidRPr="00A011C6">
        <w:rPr>
          <w:lang w:val="fr-CA"/>
        </w:rPr>
        <w:t xml:space="preserve">t </w:t>
      </w:r>
      <w:r>
        <w:rPr>
          <w:lang w:val="fr-CA"/>
        </w:rPr>
        <w:t>à l’intérieur</w:t>
      </w:r>
      <w:r w:rsidRPr="00A011C6">
        <w:rPr>
          <w:lang w:val="fr-CA"/>
        </w:rPr>
        <w:t xml:space="preserve"> (</w:t>
      </w:r>
      <w:r>
        <w:rPr>
          <w:lang w:val="fr-CA"/>
        </w:rPr>
        <w:t>par. </w:t>
      </w:r>
      <w:r w:rsidRPr="00A011C6">
        <w:rPr>
          <w:lang w:val="fr-CA"/>
        </w:rPr>
        <w:t xml:space="preserve">45). </w:t>
      </w:r>
    </w:p>
    <w:p w:rsidR="00AF49CF" w:rsidRPr="00A011C6" w:rsidRDefault="00AF49CF" w:rsidP="00AF49CF">
      <w:pPr>
        <w:pStyle w:val="ParaNoNdepar-AltN"/>
        <w:rPr>
          <w:lang w:val="fr-CA"/>
        </w:rPr>
      </w:pPr>
      <w:r w:rsidRPr="00A011C6">
        <w:rPr>
          <w:lang w:val="fr-CA"/>
        </w:rPr>
        <w:t>Le juge de première instance a conclu sans difficulté que M</w:t>
      </w:r>
      <w:r>
        <w:rPr>
          <w:lang w:val="fr-CA"/>
        </w:rPr>
        <w:t>. </w:t>
      </w:r>
      <w:r w:rsidRPr="00A011C6">
        <w:rPr>
          <w:lang w:val="fr-CA"/>
        </w:rPr>
        <w:t xml:space="preserve">Ryan était un époux manipulateur, </w:t>
      </w:r>
      <w:r>
        <w:rPr>
          <w:lang w:val="fr-CA"/>
        </w:rPr>
        <w:t>dominateur</w:t>
      </w:r>
      <w:r w:rsidRPr="00A011C6">
        <w:rPr>
          <w:lang w:val="fr-CA"/>
        </w:rPr>
        <w:t xml:space="preserve"> et violent</w:t>
      </w:r>
      <w:r>
        <w:rPr>
          <w:lang w:val="fr-CA"/>
        </w:rPr>
        <w:t>,</w:t>
      </w:r>
      <w:r w:rsidRPr="00A011C6">
        <w:rPr>
          <w:lang w:val="fr-CA"/>
        </w:rPr>
        <w:t xml:space="preserve"> qui tentait de contrôler les faits et gestes de l</w:t>
      </w:r>
      <w:r>
        <w:rPr>
          <w:lang w:val="fr-CA"/>
        </w:rPr>
        <w:t>’</w:t>
      </w:r>
      <w:r w:rsidRPr="00A011C6">
        <w:rPr>
          <w:lang w:val="fr-CA"/>
        </w:rPr>
        <w:t xml:space="preserve">intimée, </w:t>
      </w:r>
      <w:r>
        <w:rPr>
          <w:lang w:val="fr-CA"/>
        </w:rPr>
        <w:t>dans tous les aspects de sa vie</w:t>
      </w:r>
      <w:r w:rsidRPr="00A011C6">
        <w:rPr>
          <w:lang w:val="fr-CA"/>
        </w:rPr>
        <w:t xml:space="preserve"> sociale, familiale ou </w:t>
      </w:r>
      <w:r>
        <w:rPr>
          <w:lang w:val="fr-CA"/>
        </w:rPr>
        <w:t>conjug</w:t>
      </w:r>
      <w:r w:rsidRPr="00A011C6">
        <w:rPr>
          <w:lang w:val="fr-CA"/>
        </w:rPr>
        <w:t>ale</w:t>
      </w:r>
      <w:r>
        <w:rPr>
          <w:lang w:val="fr-CA"/>
        </w:rPr>
        <w:t>.  Selon lui,</w:t>
      </w:r>
      <w:r w:rsidRPr="00A011C6">
        <w:rPr>
          <w:lang w:val="fr-CA"/>
        </w:rPr>
        <w:t xml:space="preserve"> l</w:t>
      </w:r>
      <w:r>
        <w:rPr>
          <w:lang w:val="fr-CA"/>
        </w:rPr>
        <w:t>’</w:t>
      </w:r>
      <w:r w:rsidRPr="00A011C6">
        <w:rPr>
          <w:lang w:val="fr-CA"/>
        </w:rPr>
        <w:t>unique motif invoqué par l</w:t>
      </w:r>
      <w:r>
        <w:rPr>
          <w:lang w:val="fr-CA"/>
        </w:rPr>
        <w:t>’</w:t>
      </w:r>
      <w:r w:rsidRPr="00A011C6">
        <w:rPr>
          <w:lang w:val="fr-CA"/>
        </w:rPr>
        <w:t>intimée pour justifier ses actes était la crainte que lui inspirait son époux lorsqu</w:t>
      </w:r>
      <w:r>
        <w:rPr>
          <w:lang w:val="fr-CA"/>
        </w:rPr>
        <w:t>’</w:t>
      </w:r>
      <w:r w:rsidRPr="00A011C6">
        <w:rPr>
          <w:lang w:val="fr-CA"/>
        </w:rPr>
        <w:t xml:space="preserve">il les menaçait, elle et leur fille, de les tuer ou de leur infliger des </w:t>
      </w:r>
      <w:r>
        <w:rPr>
          <w:lang w:val="fr-CA"/>
        </w:rPr>
        <w:t>lésions corporelles graves </w:t>
      </w:r>
      <w:r w:rsidR="009F6BFD">
        <w:rPr>
          <w:lang w:val="fr-CA"/>
        </w:rPr>
        <w:t>(</w:t>
      </w:r>
      <w:r>
        <w:rPr>
          <w:lang w:val="fr-CA"/>
        </w:rPr>
        <w:t>par. </w:t>
      </w:r>
      <w:r w:rsidRPr="00A011C6">
        <w:rPr>
          <w:lang w:val="fr-CA"/>
        </w:rPr>
        <w:t>149</w:t>
      </w:r>
      <w:r>
        <w:rPr>
          <w:lang w:val="fr-CA"/>
        </w:rPr>
        <w:noBreakHyphen/>
      </w:r>
      <w:r w:rsidRPr="00A011C6">
        <w:rPr>
          <w:lang w:val="fr-CA"/>
        </w:rPr>
        <w:t>152</w:t>
      </w:r>
      <w:r w:rsidR="009F6BFD">
        <w:rPr>
          <w:lang w:val="fr-CA"/>
        </w:rPr>
        <w:t>)</w:t>
      </w:r>
      <w:r>
        <w:rPr>
          <w:lang w:val="fr-CA"/>
        </w:rPr>
        <w:t xml:space="preserve">.  </w:t>
      </w:r>
      <w:r w:rsidRPr="00A011C6">
        <w:rPr>
          <w:lang w:val="fr-CA"/>
        </w:rPr>
        <w:t>Il était également convaincu que l</w:t>
      </w:r>
      <w:r>
        <w:rPr>
          <w:lang w:val="fr-CA"/>
        </w:rPr>
        <w:t>’</w:t>
      </w:r>
      <w:r w:rsidRPr="00A011C6">
        <w:rPr>
          <w:lang w:val="fr-CA"/>
        </w:rPr>
        <w:t xml:space="preserve">intimée avait prouvé, selon la norme </w:t>
      </w:r>
      <w:r>
        <w:rPr>
          <w:lang w:val="fr-CA"/>
        </w:rPr>
        <w:t>applicabl</w:t>
      </w:r>
      <w:r w:rsidRPr="00A011C6">
        <w:rPr>
          <w:lang w:val="fr-CA"/>
        </w:rPr>
        <w:t>e, qu</w:t>
      </w:r>
      <w:r>
        <w:rPr>
          <w:lang w:val="fr-CA"/>
        </w:rPr>
        <w:t xml:space="preserve">’elle avait des motifs raisonnables de croire </w:t>
      </w:r>
      <w:r w:rsidRPr="00A011C6">
        <w:rPr>
          <w:lang w:val="fr-CA"/>
        </w:rPr>
        <w:t>que M</w:t>
      </w:r>
      <w:r>
        <w:rPr>
          <w:lang w:val="fr-CA"/>
        </w:rPr>
        <w:t>. </w:t>
      </w:r>
      <w:r w:rsidRPr="00A011C6">
        <w:rPr>
          <w:lang w:val="fr-CA"/>
        </w:rPr>
        <w:t xml:space="preserve">Ryan </w:t>
      </w:r>
      <w:r>
        <w:rPr>
          <w:lang w:val="fr-CA"/>
        </w:rPr>
        <w:t xml:space="preserve">leur </w:t>
      </w:r>
      <w:r w:rsidRPr="00A011C6">
        <w:rPr>
          <w:lang w:val="fr-CA"/>
        </w:rPr>
        <w:t>infligerait</w:t>
      </w:r>
      <w:r>
        <w:rPr>
          <w:lang w:val="fr-CA"/>
        </w:rPr>
        <w:t xml:space="preserve">, à elle et à sa fille, </w:t>
      </w:r>
      <w:r w:rsidRPr="00A011C6">
        <w:rPr>
          <w:lang w:val="fr-CA"/>
        </w:rPr>
        <w:t xml:space="preserve">des </w:t>
      </w:r>
      <w:r>
        <w:rPr>
          <w:lang w:val="fr-CA"/>
        </w:rPr>
        <w:t xml:space="preserve">lésions corporelles </w:t>
      </w:r>
      <w:r w:rsidRPr="00A011C6">
        <w:rPr>
          <w:lang w:val="fr-CA"/>
        </w:rPr>
        <w:t>graves</w:t>
      </w:r>
      <w:r>
        <w:rPr>
          <w:lang w:val="fr-CA"/>
        </w:rPr>
        <w:t xml:space="preserve"> </w:t>
      </w:r>
      <w:r w:rsidRPr="00A011C6">
        <w:rPr>
          <w:lang w:val="fr-CA"/>
        </w:rPr>
        <w:t xml:space="preserve">et </w:t>
      </w:r>
      <w:r>
        <w:rPr>
          <w:lang w:val="fr-CA"/>
        </w:rPr>
        <w:t>que le seul moyen</w:t>
      </w:r>
      <w:r w:rsidRPr="00A011C6">
        <w:rPr>
          <w:lang w:val="fr-CA"/>
        </w:rPr>
        <w:t xml:space="preserve"> de s</w:t>
      </w:r>
      <w:r>
        <w:rPr>
          <w:lang w:val="fr-CA"/>
        </w:rPr>
        <w:t>’</w:t>
      </w:r>
      <w:r w:rsidRPr="00A011C6">
        <w:rPr>
          <w:lang w:val="fr-CA"/>
        </w:rPr>
        <w:t xml:space="preserve">en sortir sans danger </w:t>
      </w:r>
      <w:r>
        <w:rPr>
          <w:lang w:val="fr-CA"/>
        </w:rPr>
        <w:t>était</w:t>
      </w:r>
      <w:r w:rsidRPr="00A011C6">
        <w:rPr>
          <w:lang w:val="fr-CA"/>
        </w:rPr>
        <w:t xml:space="preserve"> de le faire tuer.  </w:t>
      </w:r>
    </w:p>
    <w:p w:rsidR="00AF49CF" w:rsidRPr="00A011C6" w:rsidRDefault="00AF49CF" w:rsidP="00EB1DAC">
      <w:pPr>
        <w:pStyle w:val="ParaNoNdepar-AltN"/>
        <w:tabs>
          <w:tab w:val="clear" w:pos="1166"/>
        </w:tabs>
        <w:rPr>
          <w:lang w:val="fr-CA"/>
        </w:rPr>
      </w:pPr>
      <w:r w:rsidRPr="00A011C6">
        <w:rPr>
          <w:lang w:val="fr-CA"/>
        </w:rPr>
        <w:t xml:space="preserve">Le juge a </w:t>
      </w:r>
      <w:r>
        <w:rPr>
          <w:lang w:val="fr-CA"/>
        </w:rPr>
        <w:t>jugé</w:t>
      </w:r>
      <w:r w:rsidRPr="00A011C6">
        <w:rPr>
          <w:lang w:val="fr-CA"/>
        </w:rPr>
        <w:t xml:space="preserve"> que l</w:t>
      </w:r>
      <w:r>
        <w:rPr>
          <w:lang w:val="fr-CA"/>
        </w:rPr>
        <w:t>’</w:t>
      </w:r>
      <w:r w:rsidRPr="00A011C6">
        <w:rPr>
          <w:lang w:val="fr-CA"/>
        </w:rPr>
        <w:t>intimée se trouvait dans un état de très grande vulnérabilité, qu</w:t>
      </w:r>
      <w:r>
        <w:rPr>
          <w:lang w:val="fr-CA"/>
        </w:rPr>
        <w:t>’</w:t>
      </w:r>
      <w:r w:rsidRPr="00A011C6">
        <w:rPr>
          <w:lang w:val="fr-CA"/>
        </w:rPr>
        <w:t xml:space="preserve">elle avait perdu beaucoup de poids, </w:t>
      </w:r>
      <w:r>
        <w:rPr>
          <w:lang w:val="fr-CA"/>
        </w:rPr>
        <w:t xml:space="preserve">et </w:t>
      </w:r>
      <w:r w:rsidRPr="00A011C6">
        <w:rPr>
          <w:lang w:val="fr-CA"/>
        </w:rPr>
        <w:t>qu</w:t>
      </w:r>
      <w:r>
        <w:rPr>
          <w:lang w:val="fr-CA"/>
        </w:rPr>
        <w:t>’</w:t>
      </w:r>
      <w:r w:rsidRPr="00A011C6">
        <w:rPr>
          <w:lang w:val="fr-CA"/>
        </w:rPr>
        <w:t xml:space="preserve">elle était déconnectée et découragée. </w:t>
      </w:r>
      <w:r>
        <w:rPr>
          <w:lang w:val="fr-CA"/>
        </w:rPr>
        <w:t xml:space="preserve"> Victime d’</w:t>
      </w:r>
      <w:r w:rsidRPr="00A011C6">
        <w:rPr>
          <w:lang w:val="fr-CA"/>
        </w:rPr>
        <w:t xml:space="preserve">une peur intense et raisonnable de M. Ryan, elle se sentait impuissante, </w:t>
      </w:r>
      <w:r>
        <w:rPr>
          <w:lang w:val="fr-CA"/>
        </w:rPr>
        <w:t xml:space="preserve">et </w:t>
      </w:r>
      <w:r w:rsidRPr="00A011C6">
        <w:rPr>
          <w:lang w:val="fr-CA"/>
        </w:rPr>
        <w:t>elle avait l</w:t>
      </w:r>
      <w:r>
        <w:rPr>
          <w:lang w:val="fr-CA"/>
        </w:rPr>
        <w:t>’</w:t>
      </w:r>
      <w:r w:rsidRPr="00A011C6">
        <w:rPr>
          <w:lang w:val="fr-CA"/>
        </w:rPr>
        <w:t>impression d</w:t>
      </w:r>
      <w:r>
        <w:rPr>
          <w:lang w:val="fr-CA"/>
        </w:rPr>
        <w:t>’</w:t>
      </w:r>
      <w:r w:rsidRPr="00A011C6">
        <w:rPr>
          <w:lang w:val="fr-CA"/>
        </w:rPr>
        <w:t xml:space="preserve">avoir perdu le contrôle </w:t>
      </w:r>
      <w:r>
        <w:rPr>
          <w:lang w:val="fr-CA"/>
        </w:rPr>
        <w:t xml:space="preserve">de sa vie </w:t>
      </w:r>
      <w:r w:rsidRPr="00A011C6">
        <w:rPr>
          <w:lang w:val="fr-CA"/>
        </w:rPr>
        <w:t xml:space="preserve">et </w:t>
      </w:r>
      <w:r>
        <w:rPr>
          <w:lang w:val="fr-CA"/>
        </w:rPr>
        <w:t>d</w:t>
      </w:r>
      <w:r w:rsidRPr="00D73416">
        <w:rPr>
          <w:rFonts w:cs="Times New Roman"/>
          <w:lang w:val="fr-CA"/>
        </w:rPr>
        <w:t>’</w:t>
      </w:r>
      <w:r>
        <w:rPr>
          <w:lang w:val="fr-CA"/>
        </w:rPr>
        <w:t>être menacée d</w:t>
      </w:r>
      <w:r w:rsidRPr="00D73416">
        <w:rPr>
          <w:rFonts w:cs="Times New Roman"/>
          <w:lang w:val="fr-CA"/>
        </w:rPr>
        <w:t>’</w:t>
      </w:r>
      <w:r>
        <w:rPr>
          <w:lang w:val="fr-CA"/>
        </w:rPr>
        <w:t>anéantissement.</w:t>
      </w:r>
      <w:r w:rsidRPr="00A011C6">
        <w:rPr>
          <w:lang w:val="fr-CA"/>
        </w:rPr>
        <w:t xml:space="preserve"> </w:t>
      </w:r>
      <w:r>
        <w:rPr>
          <w:lang w:val="fr-CA"/>
        </w:rPr>
        <w:t xml:space="preserve"> </w:t>
      </w:r>
      <w:r w:rsidRPr="00A011C6">
        <w:rPr>
          <w:lang w:val="fr-CA"/>
        </w:rPr>
        <w:t>Même si</w:t>
      </w:r>
      <w:r>
        <w:rPr>
          <w:lang w:val="fr-CA"/>
        </w:rPr>
        <w:t>,</w:t>
      </w:r>
      <w:r w:rsidRPr="00A011C6">
        <w:rPr>
          <w:lang w:val="fr-CA"/>
        </w:rPr>
        <w:t xml:space="preserve"> par le passé</w:t>
      </w:r>
      <w:r>
        <w:rPr>
          <w:lang w:val="fr-CA"/>
        </w:rPr>
        <w:t>,</w:t>
      </w:r>
      <w:r w:rsidRPr="00A011C6">
        <w:rPr>
          <w:lang w:val="fr-CA"/>
        </w:rPr>
        <w:t xml:space="preserve"> elle avait fait intervenir la police ainsi que d</w:t>
      </w:r>
      <w:r>
        <w:rPr>
          <w:lang w:val="fr-CA"/>
        </w:rPr>
        <w:t>’</w:t>
      </w:r>
      <w:r w:rsidRPr="00A011C6">
        <w:rPr>
          <w:lang w:val="fr-CA"/>
        </w:rPr>
        <w:t>autres</w:t>
      </w:r>
      <w:r>
        <w:rPr>
          <w:lang w:val="fr-CA"/>
        </w:rPr>
        <w:t xml:space="preserve"> organismes </w:t>
      </w:r>
      <w:r w:rsidRPr="00A011C6">
        <w:rPr>
          <w:lang w:val="fr-CA"/>
        </w:rPr>
        <w:t>dans le but d</w:t>
      </w:r>
      <w:r>
        <w:rPr>
          <w:lang w:val="fr-CA"/>
        </w:rPr>
        <w:t>’</w:t>
      </w:r>
      <w:r w:rsidRPr="00A011C6">
        <w:rPr>
          <w:lang w:val="fr-CA"/>
        </w:rPr>
        <w:t>obtenir de l</w:t>
      </w:r>
      <w:r>
        <w:rPr>
          <w:lang w:val="fr-CA"/>
        </w:rPr>
        <w:t>’</w:t>
      </w:r>
      <w:r w:rsidRPr="00A011C6">
        <w:rPr>
          <w:lang w:val="fr-CA"/>
        </w:rPr>
        <w:t>aide, la preuve révèle que ses problèmes</w:t>
      </w:r>
      <w:r>
        <w:rPr>
          <w:lang w:val="fr-CA"/>
        </w:rPr>
        <w:t xml:space="preserve"> étaient considérés comme </w:t>
      </w:r>
      <w:r w:rsidRPr="00A011C6">
        <w:rPr>
          <w:lang w:val="fr-CA"/>
        </w:rPr>
        <w:t xml:space="preserve">une </w:t>
      </w:r>
      <w:r w:rsidR="00EB1DAC">
        <w:rPr>
          <w:lang w:val="fr-CA"/>
        </w:rPr>
        <w:t>[</w:t>
      </w:r>
      <w:r w:rsidR="00EB1DAC" w:rsidRPr="00EB1DAC">
        <w:rPr>
          <w:smallCaps/>
          <w:lang w:val="fr-CA"/>
        </w:rPr>
        <w:t>traduction</w:t>
      </w:r>
      <w:r w:rsidR="00EB1DAC">
        <w:rPr>
          <w:lang w:val="fr-CA"/>
        </w:rPr>
        <w:t xml:space="preserve">] </w:t>
      </w:r>
      <w:r w:rsidRPr="00A011C6">
        <w:rPr>
          <w:lang w:val="fr-CA"/>
        </w:rPr>
        <w:t>« affaire de nature civile ».  Elle se sentait tellement vulnérable que l</w:t>
      </w:r>
      <w:r>
        <w:rPr>
          <w:lang w:val="fr-CA"/>
        </w:rPr>
        <w:t>’</w:t>
      </w:r>
      <w:r w:rsidRPr="00A011C6">
        <w:rPr>
          <w:lang w:val="fr-CA"/>
        </w:rPr>
        <w:t>appel téléphonique de l</w:t>
      </w:r>
      <w:r>
        <w:rPr>
          <w:lang w:val="fr-CA"/>
        </w:rPr>
        <w:t>’</w:t>
      </w:r>
      <w:r w:rsidRPr="00A011C6">
        <w:rPr>
          <w:lang w:val="fr-CA"/>
        </w:rPr>
        <w:t>agent d</w:t>
      </w:r>
      <w:r>
        <w:rPr>
          <w:lang w:val="fr-CA"/>
        </w:rPr>
        <w:t>’</w:t>
      </w:r>
      <w:r w:rsidRPr="00A011C6">
        <w:rPr>
          <w:lang w:val="fr-CA"/>
        </w:rPr>
        <w:t>infiltration lui a</w:t>
      </w:r>
      <w:r>
        <w:rPr>
          <w:lang w:val="fr-CA"/>
        </w:rPr>
        <w:t>vait</w:t>
      </w:r>
      <w:r w:rsidRPr="00A011C6">
        <w:rPr>
          <w:lang w:val="fr-CA"/>
        </w:rPr>
        <w:t xml:space="preserve"> semblé être la solution à tous ses problèmes (</w:t>
      </w:r>
      <w:r>
        <w:rPr>
          <w:lang w:val="fr-CA"/>
        </w:rPr>
        <w:t>par. </w:t>
      </w:r>
      <w:r w:rsidRPr="00A011C6">
        <w:rPr>
          <w:lang w:val="fr-CA"/>
        </w:rPr>
        <w:t xml:space="preserve">73). </w:t>
      </w:r>
      <w:r>
        <w:rPr>
          <w:lang w:val="fr-CA"/>
        </w:rPr>
        <w:t xml:space="preserve"> </w:t>
      </w:r>
      <w:r w:rsidRPr="00A011C6">
        <w:rPr>
          <w:lang w:val="fr-CA"/>
        </w:rPr>
        <w:t xml:space="preserve">À la lumière de ces conclusions, le juge de première instance a </w:t>
      </w:r>
      <w:r>
        <w:rPr>
          <w:lang w:val="fr-CA"/>
        </w:rPr>
        <w:t>jugé</w:t>
      </w:r>
      <w:r w:rsidRPr="00A011C6">
        <w:rPr>
          <w:lang w:val="fr-CA"/>
        </w:rPr>
        <w:t xml:space="preserve"> que le moyen de défense de common law fondé sur la contrainte s</w:t>
      </w:r>
      <w:r>
        <w:rPr>
          <w:lang w:val="fr-CA"/>
        </w:rPr>
        <w:t>’</w:t>
      </w:r>
      <w:r w:rsidRPr="00A011C6">
        <w:rPr>
          <w:lang w:val="fr-CA"/>
        </w:rPr>
        <w:t>appliquait</w:t>
      </w:r>
      <w:r>
        <w:rPr>
          <w:lang w:val="fr-CA"/>
        </w:rPr>
        <w:t>,</w:t>
      </w:r>
      <w:r w:rsidRPr="00A011C6">
        <w:rPr>
          <w:lang w:val="fr-CA"/>
        </w:rPr>
        <w:t xml:space="preserve"> et a acquitté l</w:t>
      </w:r>
      <w:r>
        <w:rPr>
          <w:lang w:val="fr-CA"/>
        </w:rPr>
        <w:t>’</w:t>
      </w:r>
      <w:r w:rsidRPr="00A011C6">
        <w:rPr>
          <w:lang w:val="fr-CA"/>
        </w:rPr>
        <w:t>accusée.</w:t>
      </w:r>
    </w:p>
    <w:p w:rsidR="00AF49CF" w:rsidRPr="00A011C6" w:rsidRDefault="00AF49CF" w:rsidP="00AF49CF">
      <w:pPr>
        <w:pStyle w:val="ParaNoNdepar-AltN"/>
        <w:rPr>
          <w:lang w:val="fr-CA"/>
        </w:rPr>
      </w:pPr>
      <w:r w:rsidRPr="00A011C6">
        <w:rPr>
          <w:lang w:val="fr-CA"/>
        </w:rPr>
        <w:t>Le ministère public a interjeté appel, mais la Cour d</w:t>
      </w:r>
      <w:r>
        <w:rPr>
          <w:lang w:val="fr-CA"/>
        </w:rPr>
        <w:t>’</w:t>
      </w:r>
      <w:r w:rsidRPr="00A011C6">
        <w:rPr>
          <w:lang w:val="fr-CA"/>
        </w:rPr>
        <w:t>appel a confirmé à l</w:t>
      </w:r>
      <w:r>
        <w:rPr>
          <w:lang w:val="fr-CA"/>
        </w:rPr>
        <w:t>’</w:t>
      </w:r>
      <w:r w:rsidRPr="00A011C6">
        <w:rPr>
          <w:lang w:val="fr-CA"/>
        </w:rPr>
        <w:t>unanimité le verdict d</w:t>
      </w:r>
      <w:r>
        <w:rPr>
          <w:lang w:val="fr-CA"/>
        </w:rPr>
        <w:t>’</w:t>
      </w:r>
      <w:r w:rsidRPr="00A011C6">
        <w:rPr>
          <w:lang w:val="fr-CA"/>
        </w:rPr>
        <w:t xml:space="preserve">acquittement rendu par le juge de première instance. </w:t>
      </w:r>
      <w:r>
        <w:rPr>
          <w:lang w:val="fr-CA"/>
        </w:rPr>
        <w:t xml:space="preserve"> </w:t>
      </w:r>
      <w:r w:rsidRPr="00A011C6">
        <w:rPr>
          <w:lang w:val="fr-CA"/>
        </w:rPr>
        <w:t>Lors de l</w:t>
      </w:r>
      <w:r>
        <w:rPr>
          <w:lang w:val="fr-CA"/>
        </w:rPr>
        <w:t>’</w:t>
      </w:r>
      <w:r w:rsidRPr="00A011C6">
        <w:rPr>
          <w:lang w:val="fr-CA"/>
        </w:rPr>
        <w:t xml:space="preserve">appel, pour la première fois, le ministère public </w:t>
      </w:r>
      <w:r>
        <w:rPr>
          <w:lang w:val="fr-CA"/>
        </w:rPr>
        <w:t>a soutenu que, compte tenu d</w:t>
      </w:r>
      <w:r w:rsidRPr="00A011C6">
        <w:rPr>
          <w:lang w:val="fr-CA"/>
        </w:rPr>
        <w:t>e</w:t>
      </w:r>
      <w:r>
        <w:rPr>
          <w:lang w:val="fr-CA"/>
        </w:rPr>
        <w:t>s faits de l</w:t>
      </w:r>
      <w:r w:rsidRPr="0087017E">
        <w:rPr>
          <w:rFonts w:cs="Times New Roman"/>
          <w:lang w:val="fr-CA"/>
        </w:rPr>
        <w:t>’</w:t>
      </w:r>
      <w:r>
        <w:rPr>
          <w:lang w:val="fr-CA"/>
        </w:rPr>
        <w:t>espèce,</w:t>
      </w:r>
      <w:r w:rsidRPr="00A011C6">
        <w:rPr>
          <w:lang w:val="fr-CA"/>
        </w:rPr>
        <w:t xml:space="preserve"> l</w:t>
      </w:r>
      <w:r>
        <w:rPr>
          <w:lang w:val="fr-CA"/>
        </w:rPr>
        <w:t>’</w:t>
      </w:r>
      <w:r w:rsidRPr="00A011C6">
        <w:rPr>
          <w:lang w:val="fr-CA"/>
        </w:rPr>
        <w:t xml:space="preserve">intimée ne pouvait pas invoquer la contrainte comme moyen de défense en droit. </w:t>
      </w:r>
      <w:r>
        <w:rPr>
          <w:lang w:val="fr-CA"/>
        </w:rPr>
        <w:t xml:space="preserve"> S</w:t>
      </w:r>
      <w:r w:rsidRPr="00A011C6">
        <w:rPr>
          <w:lang w:val="fr-CA"/>
        </w:rPr>
        <w:t xml:space="preserve">elon le ministère public, </w:t>
      </w:r>
      <w:r>
        <w:rPr>
          <w:lang w:val="fr-CA"/>
        </w:rPr>
        <w:t xml:space="preserve">la contrainte </w:t>
      </w:r>
      <w:r w:rsidRPr="00A011C6">
        <w:rPr>
          <w:lang w:val="fr-CA"/>
        </w:rPr>
        <w:t>s</w:t>
      </w:r>
      <w:r>
        <w:rPr>
          <w:lang w:val="fr-CA"/>
        </w:rPr>
        <w:t>’</w:t>
      </w:r>
      <w:r w:rsidRPr="00A011C6">
        <w:rPr>
          <w:lang w:val="fr-CA"/>
        </w:rPr>
        <w:t>applique</w:t>
      </w:r>
      <w:r>
        <w:rPr>
          <w:lang w:val="fr-CA"/>
        </w:rPr>
        <w:t xml:space="preserve"> seulement </w:t>
      </w:r>
      <w:r w:rsidRPr="00A011C6">
        <w:rPr>
          <w:lang w:val="fr-CA"/>
        </w:rPr>
        <w:t>lorsqu</w:t>
      </w:r>
      <w:r>
        <w:rPr>
          <w:lang w:val="fr-CA"/>
        </w:rPr>
        <w:t>’</w:t>
      </w:r>
      <w:r w:rsidRPr="00A011C6">
        <w:rPr>
          <w:lang w:val="fr-CA"/>
        </w:rPr>
        <w:t xml:space="preserve">un accusé </w:t>
      </w:r>
      <w:r>
        <w:rPr>
          <w:lang w:val="fr-CA"/>
        </w:rPr>
        <w:t xml:space="preserve">est forcé, sous </w:t>
      </w:r>
      <w:r w:rsidRPr="00A011C6">
        <w:rPr>
          <w:lang w:val="fr-CA"/>
        </w:rPr>
        <w:t>la menace</w:t>
      </w:r>
      <w:r>
        <w:rPr>
          <w:lang w:val="fr-CA"/>
        </w:rPr>
        <w:t>,</w:t>
      </w:r>
      <w:r w:rsidRPr="00A011C6">
        <w:rPr>
          <w:lang w:val="fr-CA"/>
        </w:rPr>
        <w:t xml:space="preserve"> à commettre une infraction contre un tiers </w:t>
      </w:r>
      <w:r>
        <w:rPr>
          <w:lang w:val="fr-CA"/>
        </w:rPr>
        <w:t>(2011 NSCA 30, 301 N.S.R. (2d) 255, par. </w:t>
      </w:r>
      <w:r w:rsidRPr="00A011C6">
        <w:rPr>
          <w:lang w:val="fr-CA"/>
        </w:rPr>
        <w:t>56</w:t>
      </w:r>
      <w:r>
        <w:rPr>
          <w:lang w:val="fr-CA"/>
        </w:rPr>
        <w:t xml:space="preserve">).  </w:t>
      </w:r>
      <w:r w:rsidRPr="00A011C6">
        <w:rPr>
          <w:lang w:val="fr-CA"/>
        </w:rPr>
        <w:t>Le juge en chef MacDonald (avec l</w:t>
      </w:r>
      <w:r>
        <w:rPr>
          <w:lang w:val="fr-CA"/>
        </w:rPr>
        <w:t>’</w:t>
      </w:r>
      <w:r w:rsidRPr="00A011C6">
        <w:rPr>
          <w:lang w:val="fr-CA"/>
        </w:rPr>
        <w:t>accord des juges Saunders et Oland) a rejeté l</w:t>
      </w:r>
      <w:r>
        <w:rPr>
          <w:lang w:val="fr-CA"/>
        </w:rPr>
        <w:t>’</w:t>
      </w:r>
      <w:r w:rsidRPr="00A011C6">
        <w:rPr>
          <w:lang w:val="fr-CA"/>
        </w:rPr>
        <w:t xml:space="preserve">argument du ministère public. </w:t>
      </w:r>
      <w:r>
        <w:rPr>
          <w:lang w:val="fr-CA"/>
        </w:rPr>
        <w:t xml:space="preserve"> En bref</w:t>
      </w:r>
      <w:r w:rsidRPr="00A011C6">
        <w:rPr>
          <w:lang w:val="fr-CA"/>
        </w:rPr>
        <w:t>, la Cour d</w:t>
      </w:r>
      <w:r>
        <w:rPr>
          <w:lang w:val="fr-CA"/>
        </w:rPr>
        <w:t>’</w:t>
      </w:r>
      <w:r w:rsidRPr="00A011C6">
        <w:rPr>
          <w:lang w:val="fr-CA"/>
        </w:rPr>
        <w:t xml:space="preserve">appel a conclu que le moyen de défense </w:t>
      </w:r>
      <w:r>
        <w:rPr>
          <w:lang w:val="fr-CA"/>
        </w:rPr>
        <w:t xml:space="preserve">fondé sur </w:t>
      </w:r>
      <w:r w:rsidRPr="00A011C6">
        <w:rPr>
          <w:lang w:val="fr-CA"/>
        </w:rPr>
        <w:t>la contrainte vise à dégager un accusé de</w:t>
      </w:r>
      <w:r>
        <w:rPr>
          <w:lang w:val="fr-CA"/>
        </w:rPr>
        <w:t xml:space="preserve"> sa</w:t>
      </w:r>
      <w:r w:rsidRPr="00A011C6">
        <w:rPr>
          <w:lang w:val="fr-CA"/>
        </w:rPr>
        <w:t xml:space="preserve"> responsabilité criminelle lorsque son comportement est involontaire</w:t>
      </w:r>
      <w:r>
        <w:rPr>
          <w:lang w:val="fr-CA"/>
        </w:rPr>
        <w:t xml:space="preserve"> au sens moral.  </w:t>
      </w:r>
      <w:r w:rsidRPr="00A011C6">
        <w:rPr>
          <w:lang w:val="fr-CA"/>
        </w:rPr>
        <w:t>Par conséquent, l</w:t>
      </w:r>
      <w:r>
        <w:rPr>
          <w:lang w:val="fr-CA"/>
        </w:rPr>
        <w:t>’</w:t>
      </w:r>
      <w:r w:rsidRPr="00A011C6">
        <w:rPr>
          <w:lang w:val="fr-CA"/>
        </w:rPr>
        <w:t xml:space="preserve">analyse </w:t>
      </w:r>
      <w:r>
        <w:rPr>
          <w:lang w:val="fr-CA"/>
        </w:rPr>
        <w:t xml:space="preserve">devait principalement porter </w:t>
      </w:r>
      <w:r w:rsidRPr="00A011C6">
        <w:rPr>
          <w:lang w:val="fr-CA"/>
        </w:rPr>
        <w:t>sur la situation d</w:t>
      </w:r>
      <w:r>
        <w:rPr>
          <w:lang w:val="fr-CA"/>
        </w:rPr>
        <w:t>ifficile dans laquelle se trouvait</w:t>
      </w:r>
      <w:r w:rsidRPr="00A011C6">
        <w:rPr>
          <w:lang w:val="fr-CA"/>
        </w:rPr>
        <w:t xml:space="preserve"> l</w:t>
      </w:r>
      <w:r>
        <w:rPr>
          <w:lang w:val="fr-CA"/>
        </w:rPr>
        <w:t>’</w:t>
      </w:r>
      <w:r w:rsidRPr="00A011C6">
        <w:rPr>
          <w:lang w:val="fr-CA"/>
        </w:rPr>
        <w:t>accusée</w:t>
      </w:r>
      <w:r>
        <w:rPr>
          <w:lang w:val="fr-CA"/>
        </w:rPr>
        <w:t>,</w:t>
      </w:r>
      <w:r w:rsidRPr="00A011C6">
        <w:rPr>
          <w:lang w:val="fr-CA"/>
        </w:rPr>
        <w:t xml:space="preserve"> et non pas sur la quest</w:t>
      </w:r>
      <w:r>
        <w:rPr>
          <w:lang w:val="fr-CA"/>
        </w:rPr>
        <w:t xml:space="preserve">ion de savoir qui avait fait quoi, </w:t>
      </w:r>
      <w:r w:rsidRPr="00A011C6">
        <w:rPr>
          <w:lang w:val="fr-CA"/>
        </w:rPr>
        <w:t>à qui</w:t>
      </w:r>
      <w:r>
        <w:rPr>
          <w:lang w:val="fr-CA"/>
        </w:rPr>
        <w:t>,</w:t>
      </w:r>
      <w:r w:rsidRPr="00A011C6">
        <w:rPr>
          <w:lang w:val="fr-CA"/>
        </w:rPr>
        <w:t xml:space="preserve"> et en présence de qui. </w:t>
      </w:r>
      <w:r>
        <w:rPr>
          <w:lang w:val="fr-CA"/>
        </w:rPr>
        <w:t xml:space="preserve"> En conséquence, l’intimée ne dev</w:t>
      </w:r>
      <w:r w:rsidRPr="00A011C6">
        <w:rPr>
          <w:lang w:val="fr-CA"/>
        </w:rPr>
        <w:t xml:space="preserve">ait pas être privée du moyen de défense </w:t>
      </w:r>
      <w:r>
        <w:rPr>
          <w:lang w:val="fr-CA"/>
        </w:rPr>
        <w:t>fondé sur</w:t>
      </w:r>
      <w:r w:rsidRPr="00A011C6">
        <w:rPr>
          <w:lang w:val="fr-CA"/>
        </w:rPr>
        <w:t xml:space="preserve"> la contrainte </w:t>
      </w:r>
      <w:r>
        <w:rPr>
          <w:lang w:val="fr-CA"/>
        </w:rPr>
        <w:t xml:space="preserve">du seul fait </w:t>
      </w:r>
      <w:r w:rsidRPr="00A011C6">
        <w:rPr>
          <w:lang w:val="fr-CA"/>
        </w:rPr>
        <w:t>que la victime n</w:t>
      </w:r>
      <w:r>
        <w:rPr>
          <w:lang w:val="fr-CA"/>
        </w:rPr>
        <w:t>’</w:t>
      </w:r>
      <w:r w:rsidRPr="00A011C6">
        <w:rPr>
          <w:lang w:val="fr-CA"/>
        </w:rPr>
        <w:t>était pas un tiers, mais l</w:t>
      </w:r>
      <w:r>
        <w:rPr>
          <w:lang w:val="fr-CA"/>
        </w:rPr>
        <w:t>’</w:t>
      </w:r>
      <w:r w:rsidRPr="00A011C6">
        <w:rPr>
          <w:lang w:val="fr-CA"/>
        </w:rPr>
        <w:t xml:space="preserve">agresseur. </w:t>
      </w:r>
      <w:r>
        <w:rPr>
          <w:lang w:val="fr-CA"/>
        </w:rPr>
        <w:t xml:space="preserve"> </w:t>
      </w:r>
      <w:r w:rsidRPr="00A011C6">
        <w:rPr>
          <w:lang w:val="fr-CA"/>
        </w:rPr>
        <w:t xml:space="preserve">La </w:t>
      </w:r>
      <w:r>
        <w:rPr>
          <w:lang w:val="fr-CA"/>
        </w:rPr>
        <w:t>c</w:t>
      </w:r>
      <w:r w:rsidRPr="00A011C6">
        <w:rPr>
          <w:lang w:val="fr-CA"/>
        </w:rPr>
        <w:t xml:space="preserve">our </w:t>
      </w:r>
      <w:r>
        <w:rPr>
          <w:lang w:val="fr-CA"/>
        </w:rPr>
        <w:t>n</w:t>
      </w:r>
      <w:r w:rsidRPr="00181EF8">
        <w:rPr>
          <w:rFonts w:cs="Times New Roman"/>
          <w:lang w:val="fr-CA"/>
        </w:rPr>
        <w:t>’</w:t>
      </w:r>
      <w:r>
        <w:rPr>
          <w:lang w:val="fr-CA"/>
        </w:rPr>
        <w:t xml:space="preserve">a reconnu </w:t>
      </w:r>
      <w:r w:rsidRPr="00A011C6">
        <w:rPr>
          <w:lang w:val="fr-CA"/>
        </w:rPr>
        <w:t>aucun</w:t>
      </w:r>
      <w:r>
        <w:rPr>
          <w:lang w:val="fr-CA"/>
        </w:rPr>
        <w:t>e</w:t>
      </w:r>
      <w:r w:rsidRPr="00A011C6">
        <w:rPr>
          <w:lang w:val="fr-CA"/>
        </w:rPr>
        <w:t xml:space="preserve"> raison de </w:t>
      </w:r>
      <w:r>
        <w:rPr>
          <w:lang w:val="fr-CA"/>
        </w:rPr>
        <w:t xml:space="preserve">principe capable de justifier </w:t>
      </w:r>
      <w:r w:rsidRPr="00A011C6">
        <w:rPr>
          <w:lang w:val="fr-CA"/>
        </w:rPr>
        <w:t>une distinction entre l</w:t>
      </w:r>
      <w:r>
        <w:rPr>
          <w:lang w:val="fr-CA"/>
        </w:rPr>
        <w:t>’</w:t>
      </w:r>
      <w:r w:rsidRPr="00A011C6">
        <w:rPr>
          <w:lang w:val="fr-CA"/>
        </w:rPr>
        <w:t>agresseur et un tiers pris en cible.</w:t>
      </w:r>
    </w:p>
    <w:p w:rsidR="00AF49CF" w:rsidRPr="00A011C6" w:rsidRDefault="00AF49CF" w:rsidP="00AF49CF">
      <w:pPr>
        <w:pStyle w:val="ParaNoNdepar-AltN"/>
        <w:rPr>
          <w:lang w:val="fr-CA"/>
        </w:rPr>
      </w:pPr>
      <w:r>
        <w:rPr>
          <w:lang w:val="fr-CA"/>
        </w:rPr>
        <w:t>À cette occasion, la c</w:t>
      </w:r>
      <w:r w:rsidRPr="00A011C6">
        <w:rPr>
          <w:lang w:val="fr-CA"/>
        </w:rPr>
        <w:t xml:space="preserve">our a passé en revue la jurisprudence en la matière qui souligne que les juges des faits doivent bien comprendre la situation pénible dans laquelle se trouvent les conjoints battus qui, </w:t>
      </w:r>
      <w:r>
        <w:rPr>
          <w:lang w:val="fr-CA"/>
        </w:rPr>
        <w:t>en réaction</w:t>
      </w:r>
      <w:r w:rsidRPr="00A011C6">
        <w:rPr>
          <w:lang w:val="fr-CA"/>
        </w:rPr>
        <w:t xml:space="preserve"> aux menaces proférées par leur conjoint</w:t>
      </w:r>
      <w:r>
        <w:rPr>
          <w:lang w:val="fr-CA"/>
        </w:rPr>
        <w:t xml:space="preserve"> violent</w:t>
      </w:r>
      <w:r w:rsidRPr="00A011C6">
        <w:rPr>
          <w:lang w:val="fr-CA"/>
        </w:rPr>
        <w:t xml:space="preserve">, invoquent le moyen de défense </w:t>
      </w:r>
      <w:r>
        <w:rPr>
          <w:lang w:val="fr-CA"/>
        </w:rPr>
        <w:t xml:space="preserve">fondé sur </w:t>
      </w:r>
      <w:r w:rsidRPr="00A011C6">
        <w:rPr>
          <w:lang w:val="fr-CA"/>
        </w:rPr>
        <w:t xml:space="preserve">la contrainte.  Le juge en chef MacDonald </w:t>
      </w:r>
      <w:r>
        <w:rPr>
          <w:lang w:val="fr-CA"/>
        </w:rPr>
        <w:t>a également insisté sur le fait que c</w:t>
      </w:r>
      <w:r w:rsidRPr="00A011C6">
        <w:rPr>
          <w:lang w:val="fr-CA"/>
        </w:rPr>
        <w:t>e moyen de défense</w:t>
      </w:r>
      <w:r>
        <w:rPr>
          <w:lang w:val="fr-CA"/>
        </w:rPr>
        <w:t xml:space="preserve"> </w:t>
      </w:r>
      <w:r w:rsidRPr="00A011C6">
        <w:rPr>
          <w:lang w:val="fr-CA"/>
        </w:rPr>
        <w:t>devait être suffisamment souple, lorsqu</w:t>
      </w:r>
      <w:r>
        <w:rPr>
          <w:lang w:val="fr-CA"/>
        </w:rPr>
        <w:t>e cela est approprié</w:t>
      </w:r>
      <w:r w:rsidRPr="00A011C6">
        <w:rPr>
          <w:lang w:val="fr-CA"/>
        </w:rPr>
        <w:t xml:space="preserve">, pour </w:t>
      </w:r>
      <w:r>
        <w:rPr>
          <w:lang w:val="fr-CA"/>
        </w:rPr>
        <w:t>tenir compte de l</w:t>
      </w:r>
      <w:r w:rsidRPr="00A011C6">
        <w:rPr>
          <w:lang w:val="fr-CA"/>
        </w:rPr>
        <w:t xml:space="preserve">a sombre réalité de la violence conjugale. </w:t>
      </w:r>
    </w:p>
    <w:p w:rsidR="00AF49CF" w:rsidRPr="00A011C6" w:rsidRDefault="00AF49CF" w:rsidP="00AF49CF">
      <w:pPr>
        <w:pStyle w:val="TitleTitre-AltT"/>
        <w:rPr>
          <w:lang w:val="fr-CA"/>
        </w:rPr>
      </w:pPr>
      <w:r w:rsidRPr="00A011C6">
        <w:rPr>
          <w:lang w:val="fr-CA"/>
        </w:rPr>
        <w:t>III.</w:t>
      </w:r>
      <w:r w:rsidRPr="00A011C6">
        <w:rPr>
          <w:lang w:val="fr-CA"/>
        </w:rPr>
        <w:tab/>
      </w:r>
      <w:r w:rsidRPr="00A011C6">
        <w:rPr>
          <w:u w:val="single"/>
          <w:lang w:val="fr-CA"/>
        </w:rPr>
        <w:t>Analyse</w:t>
      </w:r>
    </w:p>
    <w:p w:rsidR="00AF49CF" w:rsidRPr="00A011C6" w:rsidRDefault="00AF49CF" w:rsidP="00AF49CF">
      <w:pPr>
        <w:pStyle w:val="TitleTitre-AltT"/>
        <w:rPr>
          <w:lang w:val="fr-CA"/>
        </w:rPr>
      </w:pPr>
      <w:r w:rsidRPr="00A011C6">
        <w:rPr>
          <w:lang w:val="fr-CA"/>
        </w:rPr>
        <w:t>A.</w:t>
      </w:r>
      <w:r w:rsidRPr="00A011C6">
        <w:rPr>
          <w:lang w:val="fr-CA"/>
        </w:rPr>
        <w:tab/>
      </w:r>
      <w:r w:rsidRPr="00A011C6">
        <w:rPr>
          <w:i/>
          <w:lang w:val="fr-CA"/>
        </w:rPr>
        <w:t>Les questions en litige</w:t>
      </w:r>
    </w:p>
    <w:p w:rsidR="00AF49CF" w:rsidRDefault="00AF49CF" w:rsidP="00AF49CF">
      <w:pPr>
        <w:pStyle w:val="ParaNoNdepar-AltN"/>
        <w:rPr>
          <w:lang w:val="fr-CA"/>
        </w:rPr>
      </w:pPr>
      <w:r w:rsidRPr="00A011C6">
        <w:rPr>
          <w:lang w:val="fr-CA"/>
        </w:rPr>
        <w:t xml:space="preserve">Le </w:t>
      </w:r>
      <w:r>
        <w:rPr>
          <w:lang w:val="fr-CA"/>
        </w:rPr>
        <w:t xml:space="preserve">présent </w:t>
      </w:r>
      <w:r w:rsidRPr="00A011C6">
        <w:rPr>
          <w:lang w:val="fr-CA"/>
        </w:rPr>
        <w:t>pourvoi soulève trois questions</w:t>
      </w:r>
      <w:r>
        <w:rPr>
          <w:lang w:val="fr-CA"/>
        </w:rPr>
        <w:t> :</w:t>
      </w:r>
    </w:p>
    <w:p w:rsidR="00AF49CF" w:rsidRPr="00A011C6" w:rsidRDefault="00AF49CF" w:rsidP="00EB1DAC">
      <w:pPr>
        <w:pStyle w:val="Citation-AltC"/>
        <w:numPr>
          <w:ilvl w:val="0"/>
          <w:numId w:val="19"/>
        </w:numPr>
        <w:spacing w:after="480" w:line="480" w:lineRule="auto"/>
        <w:ind w:left="540" w:hanging="540"/>
        <w:contextualSpacing w:val="0"/>
        <w:rPr>
          <w:lang w:val="fr-CA"/>
        </w:rPr>
      </w:pPr>
      <w:r w:rsidRPr="00A011C6">
        <w:rPr>
          <w:lang w:val="fr-CA"/>
        </w:rPr>
        <w:t>Peut</w:t>
      </w:r>
      <w:r>
        <w:rPr>
          <w:lang w:val="fr-CA"/>
        </w:rPr>
        <w:noBreakHyphen/>
      </w:r>
      <w:r w:rsidRPr="00A011C6">
        <w:rPr>
          <w:lang w:val="fr-CA"/>
        </w:rPr>
        <w:t>on invoquer en droit la contrainte comme moyen de défense lorsque les menaces dont l</w:t>
      </w:r>
      <w:r>
        <w:rPr>
          <w:lang w:val="fr-CA"/>
        </w:rPr>
        <w:t>’</w:t>
      </w:r>
      <w:r w:rsidRPr="00A011C6">
        <w:rPr>
          <w:lang w:val="fr-CA"/>
        </w:rPr>
        <w:t>accusée a fait l</w:t>
      </w:r>
      <w:r>
        <w:rPr>
          <w:lang w:val="fr-CA"/>
        </w:rPr>
        <w:t>’</w:t>
      </w:r>
      <w:r w:rsidRPr="00A011C6">
        <w:rPr>
          <w:lang w:val="fr-CA"/>
        </w:rPr>
        <w:t>objet n</w:t>
      </w:r>
      <w:r>
        <w:rPr>
          <w:lang w:val="fr-CA"/>
        </w:rPr>
        <w:t>’</w:t>
      </w:r>
      <w:r w:rsidRPr="00A011C6">
        <w:rPr>
          <w:lang w:val="fr-CA"/>
        </w:rPr>
        <w:t>ont pas été proféré</w:t>
      </w:r>
      <w:r>
        <w:rPr>
          <w:lang w:val="fr-CA"/>
        </w:rPr>
        <w:t>es dans le but de la forcer</w:t>
      </w:r>
      <w:r w:rsidRPr="00A011C6">
        <w:rPr>
          <w:lang w:val="fr-CA"/>
        </w:rPr>
        <w:t xml:space="preserve"> à commettre une infraction?</w:t>
      </w:r>
    </w:p>
    <w:p w:rsidR="00AF49CF" w:rsidRPr="00A011C6" w:rsidRDefault="00AF49CF" w:rsidP="00EB1DAC">
      <w:pPr>
        <w:pStyle w:val="Citation-AltC"/>
        <w:numPr>
          <w:ilvl w:val="0"/>
          <w:numId w:val="19"/>
        </w:numPr>
        <w:spacing w:after="480" w:line="480" w:lineRule="auto"/>
        <w:ind w:left="540" w:hanging="540"/>
        <w:contextualSpacing w:val="0"/>
        <w:rPr>
          <w:lang w:val="fr-CA"/>
        </w:rPr>
      </w:pPr>
      <w:r w:rsidRPr="00A011C6">
        <w:rPr>
          <w:lang w:val="fr-CA"/>
        </w:rPr>
        <w:t>Dans la négative, le pourvoi doit être accueilli, mais</w:t>
      </w:r>
      <w:r>
        <w:rPr>
          <w:lang w:val="fr-CA"/>
        </w:rPr>
        <w:t xml:space="preserve"> dans ce cas, quelle ordonnance devrait être rendue et, notamment, vu les circonstances inhabituelles de l</w:t>
      </w:r>
      <w:r w:rsidRPr="006A268C">
        <w:rPr>
          <w:lang w:val="fr-CA"/>
        </w:rPr>
        <w:t>’</w:t>
      </w:r>
      <w:r>
        <w:rPr>
          <w:lang w:val="fr-CA"/>
        </w:rPr>
        <w:t>affaire, un arrêt des procédures devrait</w:t>
      </w:r>
      <w:r>
        <w:rPr>
          <w:lang w:val="fr-CA"/>
        </w:rPr>
        <w:noBreakHyphen/>
        <w:t>il être ordonné</w:t>
      </w:r>
      <w:r w:rsidRPr="00A011C6">
        <w:rPr>
          <w:lang w:val="fr-CA"/>
        </w:rPr>
        <w:t>?</w:t>
      </w:r>
    </w:p>
    <w:p w:rsidR="00AF49CF" w:rsidRPr="00A011C6" w:rsidRDefault="00AF49CF" w:rsidP="00EB1DAC">
      <w:pPr>
        <w:pStyle w:val="Citation-AltC"/>
        <w:numPr>
          <w:ilvl w:val="0"/>
          <w:numId w:val="19"/>
        </w:numPr>
        <w:spacing w:after="480" w:line="480" w:lineRule="auto"/>
        <w:ind w:left="540" w:hanging="540"/>
        <w:contextualSpacing w:val="0"/>
        <w:rPr>
          <w:lang w:val="fr-CA"/>
        </w:rPr>
      </w:pPr>
      <w:r w:rsidRPr="00A011C6">
        <w:rPr>
          <w:lang w:val="fr-CA"/>
        </w:rPr>
        <w:t>Le dro</w:t>
      </w:r>
      <w:r>
        <w:rPr>
          <w:lang w:val="fr-CA"/>
        </w:rPr>
        <w:t>it en matière de contrainte peut</w:t>
      </w:r>
      <w:r>
        <w:rPr>
          <w:lang w:val="fr-CA"/>
        </w:rPr>
        <w:noBreakHyphen/>
      </w:r>
      <w:r w:rsidRPr="00A011C6">
        <w:rPr>
          <w:lang w:val="fr-CA"/>
        </w:rPr>
        <w:t>il être clarifié et, dans l</w:t>
      </w:r>
      <w:r>
        <w:rPr>
          <w:lang w:val="fr-CA"/>
        </w:rPr>
        <w:t>’</w:t>
      </w:r>
      <w:r w:rsidRPr="00A011C6">
        <w:rPr>
          <w:lang w:val="fr-CA"/>
        </w:rPr>
        <w:t>affirmative, de quelle manière?</w:t>
      </w:r>
    </w:p>
    <w:p w:rsidR="00AF49CF" w:rsidRPr="00A011C6" w:rsidRDefault="00AF49CF" w:rsidP="00EB1DAC">
      <w:pPr>
        <w:pStyle w:val="TitleTitre-AltT"/>
        <w:tabs>
          <w:tab w:val="clear" w:pos="360"/>
          <w:tab w:val="left" w:pos="540"/>
        </w:tabs>
        <w:ind w:left="540" w:hanging="540"/>
        <w:rPr>
          <w:lang w:val="fr-CA"/>
        </w:rPr>
      </w:pPr>
      <w:r w:rsidRPr="00A011C6">
        <w:rPr>
          <w:lang w:val="fr-CA"/>
        </w:rPr>
        <w:t>B.</w:t>
      </w:r>
      <w:r w:rsidRPr="00A011C6">
        <w:rPr>
          <w:lang w:val="fr-CA"/>
        </w:rPr>
        <w:tab/>
      </w:r>
      <w:r>
        <w:rPr>
          <w:i/>
          <w:lang w:val="fr-CA"/>
        </w:rPr>
        <w:t>La contrainte constitue</w:t>
      </w:r>
      <w:r>
        <w:rPr>
          <w:i/>
          <w:lang w:val="fr-CA"/>
        </w:rPr>
        <w:noBreakHyphen/>
        <w:t>t</w:t>
      </w:r>
      <w:r>
        <w:rPr>
          <w:i/>
          <w:lang w:val="fr-CA"/>
        </w:rPr>
        <w:noBreakHyphen/>
      </w:r>
      <w:r w:rsidRPr="00A011C6">
        <w:rPr>
          <w:i/>
          <w:lang w:val="fr-CA"/>
        </w:rPr>
        <w:t>elle un moyen de défense</w:t>
      </w:r>
      <w:r>
        <w:rPr>
          <w:i/>
          <w:lang w:val="fr-CA"/>
        </w:rPr>
        <w:t xml:space="preserve"> pouvant être invoqué?</w:t>
      </w:r>
    </w:p>
    <w:p w:rsidR="00AF49CF" w:rsidRPr="00A011C6" w:rsidRDefault="00AF49CF" w:rsidP="00AF49CF">
      <w:pPr>
        <w:pStyle w:val="ParaNoNdepar-AltN"/>
        <w:rPr>
          <w:lang w:val="fr-CA"/>
        </w:rPr>
      </w:pPr>
      <w:r w:rsidRPr="00A011C6">
        <w:rPr>
          <w:lang w:val="fr-CA"/>
        </w:rPr>
        <w:t>Le ministère public a affirmé que, d</w:t>
      </w:r>
      <w:r>
        <w:rPr>
          <w:lang w:val="fr-CA"/>
        </w:rPr>
        <w:t>’</w:t>
      </w:r>
      <w:r w:rsidRPr="00A011C6">
        <w:rPr>
          <w:lang w:val="fr-CA"/>
        </w:rPr>
        <w:t>après les faits de l</w:t>
      </w:r>
      <w:r>
        <w:rPr>
          <w:lang w:val="fr-CA"/>
        </w:rPr>
        <w:t>’</w:t>
      </w:r>
      <w:r w:rsidRPr="00A011C6">
        <w:rPr>
          <w:lang w:val="fr-CA"/>
        </w:rPr>
        <w:t>espèce, l</w:t>
      </w:r>
      <w:r>
        <w:rPr>
          <w:lang w:val="fr-CA"/>
        </w:rPr>
        <w:t>’</w:t>
      </w:r>
      <w:r w:rsidRPr="00A011C6">
        <w:rPr>
          <w:lang w:val="fr-CA"/>
        </w:rPr>
        <w:t>accusé</w:t>
      </w:r>
      <w:r>
        <w:rPr>
          <w:lang w:val="fr-CA"/>
        </w:rPr>
        <w:t>e</w:t>
      </w:r>
      <w:r w:rsidRPr="00A011C6">
        <w:rPr>
          <w:lang w:val="fr-CA"/>
        </w:rPr>
        <w:t xml:space="preserve"> </w:t>
      </w:r>
      <w:r>
        <w:rPr>
          <w:lang w:val="fr-CA"/>
        </w:rPr>
        <w:t xml:space="preserve">ne pouvait </w:t>
      </w:r>
      <w:r w:rsidRPr="00A011C6">
        <w:rPr>
          <w:lang w:val="fr-CA"/>
        </w:rPr>
        <w:t>invoqu</w:t>
      </w:r>
      <w:r>
        <w:rPr>
          <w:lang w:val="fr-CA"/>
        </w:rPr>
        <w:t>er</w:t>
      </w:r>
      <w:r w:rsidRPr="00A011C6">
        <w:rPr>
          <w:lang w:val="fr-CA"/>
        </w:rPr>
        <w:t xml:space="preserve"> le moyen de défense </w:t>
      </w:r>
      <w:r>
        <w:rPr>
          <w:lang w:val="fr-CA"/>
        </w:rPr>
        <w:t>fondé sur la contrainte</w:t>
      </w:r>
      <w:r w:rsidRPr="00A011C6">
        <w:rPr>
          <w:lang w:val="fr-CA"/>
        </w:rPr>
        <w:t xml:space="preserve">. </w:t>
      </w:r>
      <w:r>
        <w:rPr>
          <w:lang w:val="fr-CA"/>
        </w:rPr>
        <w:t xml:space="preserve"> </w:t>
      </w:r>
      <w:r w:rsidRPr="00A011C6">
        <w:rPr>
          <w:lang w:val="fr-CA"/>
        </w:rPr>
        <w:t xml:space="preserve">La </w:t>
      </w:r>
      <w:r w:rsidR="009F0B58">
        <w:rPr>
          <w:lang w:val="fr-CA"/>
        </w:rPr>
        <w:t>C</w:t>
      </w:r>
      <w:r w:rsidRPr="00A011C6">
        <w:rPr>
          <w:lang w:val="fr-CA"/>
        </w:rPr>
        <w:t>our d</w:t>
      </w:r>
      <w:r>
        <w:rPr>
          <w:lang w:val="fr-CA"/>
        </w:rPr>
        <w:t>’</w:t>
      </w:r>
      <w:r w:rsidRPr="00A011C6">
        <w:rPr>
          <w:lang w:val="fr-CA"/>
        </w:rPr>
        <w:t xml:space="preserve">appel </w:t>
      </w:r>
      <w:r>
        <w:rPr>
          <w:lang w:val="fr-CA"/>
        </w:rPr>
        <w:t>a estimé</w:t>
      </w:r>
      <w:r w:rsidRPr="00A011C6">
        <w:rPr>
          <w:lang w:val="fr-CA"/>
        </w:rPr>
        <w:t xml:space="preserve"> que, si l</w:t>
      </w:r>
      <w:r>
        <w:rPr>
          <w:lang w:val="fr-CA"/>
        </w:rPr>
        <w:t>’</w:t>
      </w:r>
      <w:r w:rsidRPr="00A011C6">
        <w:rPr>
          <w:lang w:val="fr-CA"/>
        </w:rPr>
        <w:t>intimée avait elle</w:t>
      </w:r>
      <w:r>
        <w:rPr>
          <w:lang w:val="fr-CA"/>
        </w:rPr>
        <w:noBreakHyphen/>
      </w:r>
      <w:r w:rsidRPr="00A011C6">
        <w:rPr>
          <w:lang w:val="fr-CA"/>
        </w:rPr>
        <w:t xml:space="preserve">même agressé son époux, </w:t>
      </w:r>
      <w:r>
        <w:rPr>
          <w:lang w:val="fr-CA"/>
        </w:rPr>
        <w:t xml:space="preserve">la légitime défense aurait constitué </w:t>
      </w:r>
      <w:r w:rsidRPr="00A011C6">
        <w:rPr>
          <w:lang w:val="fr-CA"/>
        </w:rPr>
        <w:t>un possible moyen de défense</w:t>
      </w:r>
      <w:r>
        <w:rPr>
          <w:lang w:val="fr-CA"/>
        </w:rPr>
        <w:t> </w:t>
      </w:r>
      <w:r w:rsidR="00EB1DAC">
        <w:rPr>
          <w:lang w:val="fr-CA"/>
        </w:rPr>
        <w:t>(</w:t>
      </w:r>
      <w:r>
        <w:rPr>
          <w:lang w:val="fr-CA"/>
        </w:rPr>
        <w:t>par. </w:t>
      </w:r>
      <w:r w:rsidRPr="00A011C6">
        <w:rPr>
          <w:lang w:val="fr-CA"/>
        </w:rPr>
        <w:t>99</w:t>
      </w:r>
      <w:r w:rsidR="00EB1DAC">
        <w:rPr>
          <w:lang w:val="fr-CA"/>
        </w:rPr>
        <w:t>)</w:t>
      </w:r>
      <w:r w:rsidRPr="00A011C6">
        <w:rPr>
          <w:lang w:val="fr-CA"/>
        </w:rPr>
        <w:t xml:space="preserve">.  La </w:t>
      </w:r>
      <w:r>
        <w:rPr>
          <w:lang w:val="fr-CA"/>
        </w:rPr>
        <w:t>c</w:t>
      </w:r>
      <w:r w:rsidRPr="00A011C6">
        <w:rPr>
          <w:lang w:val="fr-CA"/>
        </w:rPr>
        <w:t xml:space="preserve">our </w:t>
      </w:r>
      <w:r>
        <w:rPr>
          <w:lang w:val="fr-CA"/>
        </w:rPr>
        <w:t>n</w:t>
      </w:r>
      <w:r w:rsidRPr="00570A16">
        <w:rPr>
          <w:rFonts w:cs="Times New Roman"/>
          <w:lang w:val="fr-CA"/>
        </w:rPr>
        <w:t>’</w:t>
      </w:r>
      <w:r>
        <w:rPr>
          <w:lang w:val="fr-CA"/>
        </w:rPr>
        <w:t>a reconnu</w:t>
      </w:r>
      <w:r w:rsidRPr="00A011C6">
        <w:rPr>
          <w:lang w:val="fr-CA"/>
        </w:rPr>
        <w:t xml:space="preserve"> </w:t>
      </w:r>
      <w:r w:rsidRPr="00F5674A">
        <w:rPr>
          <w:smallCaps/>
          <w:lang w:val="fr-CA"/>
        </w:rPr>
        <w:t>[traduction]</w:t>
      </w:r>
      <w:r>
        <w:rPr>
          <w:lang w:val="fr-CA"/>
        </w:rPr>
        <w:t xml:space="preserve"> </w:t>
      </w:r>
      <w:r w:rsidRPr="00A011C6">
        <w:rPr>
          <w:lang w:val="fr-CA"/>
        </w:rPr>
        <w:t>« </w:t>
      </w:r>
      <w:r>
        <w:rPr>
          <w:lang w:val="fr-CA"/>
        </w:rPr>
        <w:t>aucune</w:t>
      </w:r>
      <w:r w:rsidRPr="00A011C6">
        <w:rPr>
          <w:lang w:val="fr-CA"/>
        </w:rPr>
        <w:t xml:space="preserve"> raison de principe </w:t>
      </w:r>
      <w:r>
        <w:rPr>
          <w:lang w:val="fr-CA"/>
        </w:rPr>
        <w:t>permettant d</w:t>
      </w:r>
      <w:r w:rsidRPr="00570A16">
        <w:rPr>
          <w:rFonts w:cs="Times New Roman"/>
          <w:lang w:val="fr-CA"/>
        </w:rPr>
        <w:t>’</w:t>
      </w:r>
      <w:r>
        <w:rPr>
          <w:lang w:val="fr-CA"/>
        </w:rPr>
        <w:t xml:space="preserve">établir </w:t>
      </w:r>
      <w:r w:rsidRPr="00A011C6">
        <w:rPr>
          <w:lang w:val="fr-CA"/>
        </w:rPr>
        <w:t>une distinction entre l</w:t>
      </w:r>
      <w:r>
        <w:rPr>
          <w:lang w:val="fr-CA"/>
        </w:rPr>
        <w:t>’</w:t>
      </w:r>
      <w:r w:rsidRPr="00A011C6">
        <w:rPr>
          <w:lang w:val="fr-CA"/>
        </w:rPr>
        <w:t>agresseur et un tiers pris en cible »</w:t>
      </w:r>
      <w:r>
        <w:rPr>
          <w:lang w:val="fr-CA"/>
        </w:rPr>
        <w:t> </w:t>
      </w:r>
      <w:r w:rsidR="00EB1DAC">
        <w:rPr>
          <w:lang w:val="fr-CA"/>
        </w:rPr>
        <w:t>(</w:t>
      </w:r>
      <w:r>
        <w:rPr>
          <w:lang w:val="fr-CA"/>
        </w:rPr>
        <w:t>par. </w:t>
      </w:r>
      <w:r w:rsidRPr="00A011C6">
        <w:rPr>
          <w:lang w:val="fr-CA"/>
        </w:rPr>
        <w:t>99</w:t>
      </w:r>
      <w:r w:rsidR="00EB1DAC">
        <w:rPr>
          <w:lang w:val="fr-CA"/>
        </w:rPr>
        <w:t>)</w:t>
      </w:r>
      <w:r>
        <w:rPr>
          <w:lang w:val="fr-CA"/>
        </w:rPr>
        <w:t xml:space="preserve">.  </w:t>
      </w:r>
      <w:r w:rsidRPr="00A011C6">
        <w:rPr>
          <w:lang w:val="fr-CA"/>
        </w:rPr>
        <w:t>En d</w:t>
      </w:r>
      <w:r>
        <w:rPr>
          <w:lang w:val="fr-CA"/>
        </w:rPr>
        <w:t>’autres termes</w:t>
      </w:r>
      <w:r w:rsidRPr="00A011C6">
        <w:rPr>
          <w:lang w:val="fr-CA"/>
        </w:rPr>
        <w:t xml:space="preserve">, bien que le moyen de défense </w:t>
      </w:r>
      <w:r>
        <w:rPr>
          <w:lang w:val="fr-CA"/>
        </w:rPr>
        <w:t xml:space="preserve">fondé sur </w:t>
      </w:r>
      <w:r w:rsidRPr="00A011C6">
        <w:rPr>
          <w:lang w:val="fr-CA"/>
        </w:rPr>
        <w:t>la contrainte a</w:t>
      </w:r>
      <w:r>
        <w:rPr>
          <w:lang w:val="fr-CA"/>
        </w:rPr>
        <w:t>it</w:t>
      </w:r>
      <w:r w:rsidRPr="00A011C6">
        <w:rPr>
          <w:lang w:val="fr-CA"/>
        </w:rPr>
        <w:t xml:space="preserve"> traditionnellement été appliqué </w:t>
      </w:r>
      <w:r>
        <w:rPr>
          <w:lang w:val="fr-CA"/>
        </w:rPr>
        <w:t xml:space="preserve">dans les cas où </w:t>
      </w:r>
      <w:r w:rsidRPr="00A011C6">
        <w:rPr>
          <w:lang w:val="fr-CA"/>
        </w:rPr>
        <w:t xml:space="preserve">la personne </w:t>
      </w:r>
      <w:r>
        <w:rPr>
          <w:lang w:val="fr-CA"/>
        </w:rPr>
        <w:t xml:space="preserve">proférant des </w:t>
      </w:r>
      <w:r w:rsidRPr="00A011C6">
        <w:rPr>
          <w:lang w:val="fr-CA"/>
        </w:rPr>
        <w:t>menace</w:t>
      </w:r>
      <w:r>
        <w:rPr>
          <w:lang w:val="fr-CA"/>
        </w:rPr>
        <w:t>s</w:t>
      </w:r>
      <w:r w:rsidRPr="00A011C6">
        <w:rPr>
          <w:lang w:val="fr-CA"/>
        </w:rPr>
        <w:t xml:space="preserve"> et la victime étaient des personnes différentes, ce</w:t>
      </w:r>
      <w:r>
        <w:rPr>
          <w:lang w:val="fr-CA"/>
        </w:rPr>
        <w:t xml:space="preserve"> seul</w:t>
      </w:r>
      <w:r w:rsidRPr="00A011C6">
        <w:rPr>
          <w:lang w:val="fr-CA"/>
        </w:rPr>
        <w:t xml:space="preserve"> fait ne justifie</w:t>
      </w:r>
      <w:r>
        <w:rPr>
          <w:lang w:val="fr-CA"/>
        </w:rPr>
        <w:t>rait</w:t>
      </w:r>
      <w:r w:rsidRPr="00A011C6">
        <w:rPr>
          <w:lang w:val="fr-CA"/>
        </w:rPr>
        <w:t xml:space="preserve"> pas de restreindre</w:t>
      </w:r>
      <w:r>
        <w:rPr>
          <w:lang w:val="fr-CA"/>
        </w:rPr>
        <w:t xml:space="preserve"> ce moyen de défense </w:t>
      </w:r>
      <w:r w:rsidRPr="00A011C6">
        <w:rPr>
          <w:lang w:val="fr-CA"/>
        </w:rPr>
        <w:t>à ce genre de situation.  Comme la Cour d</w:t>
      </w:r>
      <w:r>
        <w:rPr>
          <w:lang w:val="fr-CA"/>
        </w:rPr>
        <w:t>’</w:t>
      </w:r>
      <w:r w:rsidRPr="00A011C6">
        <w:rPr>
          <w:lang w:val="fr-CA"/>
        </w:rPr>
        <w:t>appel l</w:t>
      </w:r>
      <w:r>
        <w:rPr>
          <w:lang w:val="fr-CA"/>
        </w:rPr>
        <w:t>’a précisé</w:t>
      </w:r>
      <w:r w:rsidRPr="00A011C6">
        <w:rPr>
          <w:lang w:val="fr-CA"/>
        </w:rPr>
        <w:t xml:space="preserve">, il serait </w:t>
      </w:r>
      <w:r w:rsidRPr="00AF0FFC">
        <w:rPr>
          <w:smallCaps/>
          <w:lang w:val="fr-CA"/>
        </w:rPr>
        <w:t>[traduction]</w:t>
      </w:r>
      <w:r>
        <w:rPr>
          <w:lang w:val="fr-CA"/>
        </w:rPr>
        <w:t> </w:t>
      </w:r>
      <w:r w:rsidRPr="00A011C6">
        <w:rPr>
          <w:lang w:val="fr-CA"/>
        </w:rPr>
        <w:t>« ironique » que l</w:t>
      </w:r>
      <w:r>
        <w:rPr>
          <w:lang w:val="fr-CA"/>
        </w:rPr>
        <w:t>’</w:t>
      </w:r>
      <w:r w:rsidRPr="00A011C6">
        <w:rPr>
          <w:lang w:val="fr-CA"/>
        </w:rPr>
        <w:t>intimée puisse invoquer la légitime défense</w:t>
      </w:r>
      <w:r>
        <w:rPr>
          <w:lang w:val="fr-CA"/>
        </w:rPr>
        <w:t xml:space="preserve"> </w:t>
      </w:r>
      <w:r w:rsidRPr="00A011C6">
        <w:rPr>
          <w:lang w:val="fr-CA"/>
        </w:rPr>
        <w:t xml:space="preserve">si elle a agressé </w:t>
      </w:r>
      <w:r>
        <w:rPr>
          <w:lang w:val="fr-CA"/>
        </w:rPr>
        <w:t>elle</w:t>
      </w:r>
      <w:r>
        <w:rPr>
          <w:lang w:val="fr-CA"/>
        </w:rPr>
        <w:noBreakHyphen/>
        <w:t xml:space="preserve">même </w:t>
      </w:r>
      <w:r w:rsidRPr="00A011C6">
        <w:rPr>
          <w:lang w:val="fr-CA"/>
        </w:rPr>
        <w:t>son époux, mais qu</w:t>
      </w:r>
      <w:r>
        <w:rPr>
          <w:lang w:val="fr-CA"/>
        </w:rPr>
        <w:t>’</w:t>
      </w:r>
      <w:r w:rsidRPr="00A011C6">
        <w:rPr>
          <w:lang w:val="fr-CA"/>
        </w:rPr>
        <w:t>elle ne puisse invoquer aucun moyen de défense si elle a rép</w:t>
      </w:r>
      <w:r>
        <w:rPr>
          <w:lang w:val="fr-CA"/>
        </w:rPr>
        <w:t>liqué</w:t>
      </w:r>
      <w:r w:rsidRPr="00A011C6">
        <w:rPr>
          <w:lang w:val="fr-CA"/>
        </w:rPr>
        <w:t xml:space="preserve"> </w:t>
      </w:r>
      <w:r>
        <w:rPr>
          <w:lang w:val="fr-CA"/>
        </w:rPr>
        <w:t xml:space="preserve">aux </w:t>
      </w:r>
      <w:r w:rsidRPr="00A011C6">
        <w:rPr>
          <w:lang w:val="fr-CA"/>
        </w:rPr>
        <w:t>même</w:t>
      </w:r>
      <w:r>
        <w:rPr>
          <w:lang w:val="fr-CA"/>
        </w:rPr>
        <w:t>s</w:t>
      </w:r>
      <w:r w:rsidRPr="00A011C6">
        <w:rPr>
          <w:lang w:val="fr-CA"/>
        </w:rPr>
        <w:t xml:space="preserve"> </w:t>
      </w:r>
      <w:r>
        <w:rPr>
          <w:lang w:val="fr-CA"/>
        </w:rPr>
        <w:t>menaces en recrutant</w:t>
      </w:r>
      <w:r w:rsidRPr="00A011C6">
        <w:rPr>
          <w:lang w:val="fr-CA"/>
        </w:rPr>
        <w:t xml:space="preserve"> une autre personne pour</w:t>
      </w:r>
      <w:r>
        <w:rPr>
          <w:lang w:val="fr-CA"/>
        </w:rPr>
        <w:t xml:space="preserve"> le</w:t>
      </w:r>
      <w:r w:rsidRPr="00A011C6">
        <w:rPr>
          <w:lang w:val="fr-CA"/>
        </w:rPr>
        <w:t xml:space="preserve"> tuer</w:t>
      </w:r>
      <w:r>
        <w:rPr>
          <w:lang w:val="fr-CA"/>
        </w:rPr>
        <w:t> </w:t>
      </w:r>
      <w:r w:rsidR="00EB1DAC">
        <w:rPr>
          <w:lang w:val="fr-CA"/>
        </w:rPr>
        <w:t>(</w:t>
      </w:r>
      <w:r>
        <w:rPr>
          <w:lang w:val="fr-CA"/>
        </w:rPr>
        <w:t>par. </w:t>
      </w:r>
      <w:r w:rsidRPr="00A011C6">
        <w:rPr>
          <w:lang w:val="fr-CA"/>
        </w:rPr>
        <w:t>99</w:t>
      </w:r>
      <w:r w:rsidR="00EB1DAC">
        <w:rPr>
          <w:lang w:val="fr-CA"/>
        </w:rPr>
        <w:t>)</w:t>
      </w:r>
      <w:r w:rsidRPr="00A011C6">
        <w:rPr>
          <w:lang w:val="fr-CA"/>
        </w:rPr>
        <w:t xml:space="preserve">. </w:t>
      </w:r>
      <w:r>
        <w:rPr>
          <w:lang w:val="fr-CA"/>
        </w:rPr>
        <w:t xml:space="preserve"> </w:t>
      </w:r>
      <w:r w:rsidRPr="00A011C6">
        <w:rPr>
          <w:lang w:val="fr-CA"/>
        </w:rPr>
        <w:t>Bref, la Cour d</w:t>
      </w:r>
      <w:r>
        <w:rPr>
          <w:lang w:val="fr-CA"/>
        </w:rPr>
        <w:t>’</w:t>
      </w:r>
      <w:r w:rsidRPr="00A011C6">
        <w:rPr>
          <w:lang w:val="fr-CA"/>
        </w:rPr>
        <w:t xml:space="preserve">appel a </w:t>
      </w:r>
      <w:r>
        <w:rPr>
          <w:lang w:val="fr-CA"/>
        </w:rPr>
        <w:t xml:space="preserve">jugé approprié de faire évoluer les règles de </w:t>
      </w:r>
      <w:r w:rsidRPr="00A011C6">
        <w:rPr>
          <w:lang w:val="fr-CA"/>
        </w:rPr>
        <w:t>common law</w:t>
      </w:r>
      <w:r>
        <w:rPr>
          <w:lang w:val="fr-CA"/>
        </w:rPr>
        <w:t xml:space="preserve"> en matière de contrainte</w:t>
      </w:r>
      <w:r w:rsidRPr="00A011C6">
        <w:rPr>
          <w:lang w:val="fr-CA"/>
        </w:rPr>
        <w:t xml:space="preserve"> afin de combler une lacune dans le droit applicable à la légitime défense.</w:t>
      </w:r>
    </w:p>
    <w:p w:rsidR="00AF49CF" w:rsidRPr="00A011C6" w:rsidRDefault="00AF49CF" w:rsidP="00AF49CF">
      <w:pPr>
        <w:pStyle w:val="ParaNoNdepar-AltN"/>
        <w:rPr>
          <w:lang w:val="fr-CA"/>
        </w:rPr>
      </w:pPr>
      <w:r>
        <w:rPr>
          <w:lang w:val="fr-CA"/>
        </w:rPr>
        <w:t>Le ministère public soutient</w:t>
      </w:r>
      <w:r w:rsidRPr="00A011C6">
        <w:rPr>
          <w:lang w:val="fr-CA"/>
        </w:rPr>
        <w:t xml:space="preserve"> que la Cour d</w:t>
      </w:r>
      <w:r>
        <w:rPr>
          <w:lang w:val="fr-CA"/>
        </w:rPr>
        <w:t>’</w:t>
      </w:r>
      <w:r w:rsidRPr="00A011C6">
        <w:rPr>
          <w:lang w:val="fr-CA"/>
        </w:rPr>
        <w:t>appel a conclu à tort qu</w:t>
      </w:r>
      <w:r>
        <w:rPr>
          <w:lang w:val="fr-CA"/>
        </w:rPr>
        <w:t>’</w:t>
      </w:r>
      <w:r w:rsidRPr="00A011C6">
        <w:rPr>
          <w:lang w:val="fr-CA"/>
        </w:rPr>
        <w:t xml:space="preserve">aucune raison de principe </w:t>
      </w:r>
      <w:r>
        <w:rPr>
          <w:lang w:val="fr-CA"/>
        </w:rPr>
        <w:t>ne permettait</w:t>
      </w:r>
      <w:r w:rsidRPr="00A011C6">
        <w:rPr>
          <w:lang w:val="fr-CA"/>
        </w:rPr>
        <w:t xml:space="preserve"> de refuser d</w:t>
      </w:r>
      <w:r>
        <w:rPr>
          <w:lang w:val="fr-CA"/>
        </w:rPr>
        <w:t>’</w:t>
      </w:r>
      <w:r w:rsidRPr="00A011C6">
        <w:rPr>
          <w:lang w:val="fr-CA"/>
        </w:rPr>
        <w:t>étendre aux faits en cause l</w:t>
      </w:r>
      <w:r w:rsidRPr="00387553">
        <w:rPr>
          <w:rFonts w:cs="Times New Roman"/>
          <w:lang w:val="fr-CA"/>
        </w:rPr>
        <w:t>’</w:t>
      </w:r>
      <w:r>
        <w:rPr>
          <w:lang w:val="fr-CA"/>
        </w:rPr>
        <w:t>application du</w:t>
      </w:r>
      <w:r w:rsidRPr="00A011C6">
        <w:rPr>
          <w:lang w:val="fr-CA"/>
        </w:rPr>
        <w:t xml:space="preserve"> moyen de défense </w:t>
      </w:r>
      <w:r>
        <w:rPr>
          <w:lang w:val="fr-CA"/>
        </w:rPr>
        <w:t xml:space="preserve">fondé sur </w:t>
      </w:r>
      <w:r w:rsidRPr="00A011C6">
        <w:rPr>
          <w:lang w:val="fr-CA"/>
        </w:rPr>
        <w:t xml:space="preserve">la contrainte. </w:t>
      </w:r>
      <w:r>
        <w:rPr>
          <w:lang w:val="fr-CA"/>
        </w:rPr>
        <w:t xml:space="preserve"> Pour répondre à cet argument</w:t>
      </w:r>
      <w:r w:rsidRPr="00A011C6">
        <w:rPr>
          <w:lang w:val="fr-CA"/>
        </w:rPr>
        <w:t>, nous dev</w:t>
      </w:r>
      <w:r>
        <w:rPr>
          <w:lang w:val="fr-CA"/>
        </w:rPr>
        <w:t>r</w:t>
      </w:r>
      <w:r w:rsidRPr="00A011C6">
        <w:rPr>
          <w:lang w:val="fr-CA"/>
        </w:rPr>
        <w:t xml:space="preserve">ons examiner </w:t>
      </w:r>
      <w:r>
        <w:rPr>
          <w:lang w:val="fr-CA"/>
        </w:rPr>
        <w:t>les règles actuelles de la common law quant à ce m</w:t>
      </w:r>
      <w:r w:rsidRPr="00A011C6">
        <w:rPr>
          <w:lang w:val="fr-CA"/>
        </w:rPr>
        <w:t>oyen de défense</w:t>
      </w:r>
      <w:r>
        <w:rPr>
          <w:lang w:val="fr-CA"/>
        </w:rPr>
        <w:t>.</w:t>
      </w:r>
    </w:p>
    <w:p w:rsidR="00AF49CF" w:rsidRPr="00A011C6" w:rsidRDefault="00AF49CF" w:rsidP="00AF49CF">
      <w:pPr>
        <w:pStyle w:val="ParaNoNdepar-AltN"/>
        <w:rPr>
          <w:lang w:val="fr-CA"/>
        </w:rPr>
      </w:pPr>
      <w:r>
        <w:rPr>
          <w:lang w:val="fr-CA"/>
        </w:rPr>
        <w:t>Nous commencer</w:t>
      </w:r>
      <w:r w:rsidRPr="00A011C6">
        <w:rPr>
          <w:lang w:val="fr-CA"/>
        </w:rPr>
        <w:t>ons notre analyse par un examen de l</w:t>
      </w:r>
      <w:r>
        <w:rPr>
          <w:lang w:val="fr-CA"/>
        </w:rPr>
        <w:t>’</w:t>
      </w:r>
      <w:r w:rsidRPr="00A011C6">
        <w:rPr>
          <w:lang w:val="fr-CA"/>
        </w:rPr>
        <w:t>arrêt</w:t>
      </w:r>
      <w:r w:rsidRPr="00A011C6">
        <w:rPr>
          <w:i/>
          <w:lang w:val="fr-CA"/>
        </w:rPr>
        <w:t xml:space="preserve"> R. c. Hibbert</w:t>
      </w:r>
      <w:r w:rsidRPr="00A011C6">
        <w:rPr>
          <w:lang w:val="fr-CA"/>
        </w:rPr>
        <w:t xml:space="preserve">, [1995] 2 R.C.S. 973, </w:t>
      </w:r>
      <w:r>
        <w:rPr>
          <w:lang w:val="fr-CA"/>
        </w:rPr>
        <w:t xml:space="preserve">qui traitait notamment </w:t>
      </w:r>
      <w:r w:rsidRPr="00A011C6">
        <w:rPr>
          <w:lang w:val="fr-CA"/>
        </w:rPr>
        <w:t>des différences et de</w:t>
      </w:r>
      <w:r>
        <w:rPr>
          <w:lang w:val="fr-CA"/>
        </w:rPr>
        <w:t xml:space="preserve">s liens </w:t>
      </w:r>
      <w:r w:rsidRPr="00A011C6">
        <w:rPr>
          <w:lang w:val="fr-CA"/>
        </w:rPr>
        <w:t>existant entre la contrainte, la nécessité et la légitime défense.  L</w:t>
      </w:r>
      <w:r>
        <w:rPr>
          <w:lang w:val="fr-CA"/>
        </w:rPr>
        <w:t>’</w:t>
      </w:r>
      <w:r w:rsidRPr="00A011C6">
        <w:rPr>
          <w:lang w:val="fr-CA"/>
        </w:rPr>
        <w:t xml:space="preserve">une des questions soulevées </w:t>
      </w:r>
      <w:r>
        <w:rPr>
          <w:lang w:val="fr-CA"/>
        </w:rPr>
        <w:t>dans cette affaire</w:t>
      </w:r>
      <w:r w:rsidRPr="00A011C6">
        <w:rPr>
          <w:lang w:val="fr-CA"/>
        </w:rPr>
        <w:t xml:space="preserve"> était de savoir si le moyen de défense de common law fondé sur la contrainte comportait l</w:t>
      </w:r>
      <w:r>
        <w:rPr>
          <w:lang w:val="fr-CA"/>
        </w:rPr>
        <w:t>’</w:t>
      </w:r>
      <w:r w:rsidRPr="00A011C6">
        <w:rPr>
          <w:lang w:val="fr-CA"/>
        </w:rPr>
        <w:t>exigence que l</w:t>
      </w:r>
      <w:r>
        <w:rPr>
          <w:lang w:val="fr-CA"/>
        </w:rPr>
        <w:t>’accusé ne dispose</w:t>
      </w:r>
      <w:r w:rsidRPr="00A011C6">
        <w:rPr>
          <w:lang w:val="fr-CA"/>
        </w:rPr>
        <w:t xml:space="preserve"> d</w:t>
      </w:r>
      <w:r>
        <w:rPr>
          <w:lang w:val="fr-CA"/>
        </w:rPr>
        <w:t>’</w:t>
      </w:r>
      <w:r w:rsidRPr="00A011C6">
        <w:rPr>
          <w:lang w:val="fr-CA"/>
        </w:rPr>
        <w:t>aucun  « moyen de s</w:t>
      </w:r>
      <w:r>
        <w:rPr>
          <w:lang w:val="fr-CA"/>
        </w:rPr>
        <w:t>’</w:t>
      </w:r>
      <w:r w:rsidRPr="00A011C6">
        <w:rPr>
          <w:lang w:val="fr-CA"/>
        </w:rPr>
        <w:t xml:space="preserve">en sortir sans danger ». </w:t>
      </w:r>
      <w:r>
        <w:rPr>
          <w:lang w:val="fr-CA"/>
        </w:rPr>
        <w:t xml:space="preserve"> </w:t>
      </w:r>
      <w:r w:rsidRPr="00A011C6">
        <w:rPr>
          <w:lang w:val="fr-CA"/>
        </w:rPr>
        <w:t xml:space="preserve">Le juge en chef Lamer a abordé cette </w:t>
      </w:r>
      <w:r>
        <w:rPr>
          <w:lang w:val="fr-CA"/>
        </w:rPr>
        <w:t>question par l</w:t>
      </w:r>
      <w:r w:rsidRPr="00E079E5">
        <w:rPr>
          <w:rFonts w:cs="Times New Roman"/>
          <w:lang w:val="fr-CA"/>
        </w:rPr>
        <w:t>’</w:t>
      </w:r>
      <w:r>
        <w:rPr>
          <w:lang w:val="fr-CA"/>
        </w:rPr>
        <w:t xml:space="preserve">étude de </w:t>
      </w:r>
      <w:r w:rsidRPr="00A011C6">
        <w:rPr>
          <w:lang w:val="fr-CA"/>
        </w:rPr>
        <w:t>la nature juridique du moyen de défense fondé sur la contrainte et son lien avec</w:t>
      </w:r>
      <w:r>
        <w:rPr>
          <w:lang w:val="fr-CA"/>
        </w:rPr>
        <w:t xml:space="preserve"> les autres moyens de défense en</w:t>
      </w:r>
      <w:r w:rsidRPr="00A011C6">
        <w:rPr>
          <w:lang w:val="fr-CA"/>
        </w:rPr>
        <w:t xml:space="preserve"> common law</w:t>
      </w:r>
      <w:r>
        <w:rPr>
          <w:lang w:val="fr-CA"/>
        </w:rPr>
        <w:t> </w:t>
      </w:r>
      <w:r w:rsidR="00EB1DAC">
        <w:rPr>
          <w:lang w:val="fr-CA"/>
        </w:rPr>
        <w:t>(</w:t>
      </w:r>
      <w:r>
        <w:rPr>
          <w:lang w:val="fr-CA"/>
        </w:rPr>
        <w:t>par. </w:t>
      </w:r>
      <w:r w:rsidRPr="00A011C6">
        <w:rPr>
          <w:lang w:val="fr-CA"/>
        </w:rPr>
        <w:t>46</w:t>
      </w:r>
      <w:r w:rsidR="00EB1DAC">
        <w:rPr>
          <w:lang w:val="fr-CA"/>
        </w:rPr>
        <w:t>)</w:t>
      </w:r>
      <w:r>
        <w:rPr>
          <w:lang w:val="fr-CA"/>
        </w:rPr>
        <w:t xml:space="preserve">.  </w:t>
      </w:r>
      <w:r w:rsidRPr="00A011C6">
        <w:rPr>
          <w:lang w:val="fr-CA"/>
        </w:rPr>
        <w:t>Ce</w:t>
      </w:r>
      <w:r>
        <w:rPr>
          <w:lang w:val="fr-CA"/>
        </w:rPr>
        <w:t xml:space="preserve">tte étude </w:t>
      </w:r>
      <w:r w:rsidRPr="00A011C6">
        <w:rPr>
          <w:lang w:val="fr-CA"/>
        </w:rPr>
        <w:t>l</w:t>
      </w:r>
      <w:r>
        <w:rPr>
          <w:lang w:val="fr-CA"/>
        </w:rPr>
        <w:t>’</w:t>
      </w:r>
      <w:r w:rsidRPr="00A011C6">
        <w:rPr>
          <w:lang w:val="fr-CA"/>
        </w:rPr>
        <w:t xml:space="preserve">a amené à </w:t>
      </w:r>
      <w:r>
        <w:rPr>
          <w:lang w:val="fr-CA"/>
        </w:rPr>
        <w:t xml:space="preserve">se pencher sur la question des </w:t>
      </w:r>
      <w:r w:rsidRPr="00A011C6">
        <w:rPr>
          <w:lang w:val="fr-CA"/>
        </w:rPr>
        <w:t>lien</w:t>
      </w:r>
      <w:r>
        <w:rPr>
          <w:lang w:val="fr-CA"/>
        </w:rPr>
        <w:t xml:space="preserve">s </w:t>
      </w:r>
      <w:r w:rsidRPr="00A011C6">
        <w:rPr>
          <w:lang w:val="fr-CA"/>
        </w:rPr>
        <w:t xml:space="preserve">entre la légitime défense, la contrainte et la nécessité.  </w:t>
      </w:r>
    </w:p>
    <w:p w:rsidR="00AF49CF" w:rsidRPr="00A011C6" w:rsidRDefault="00AF49CF" w:rsidP="00AF49CF">
      <w:pPr>
        <w:pStyle w:val="ParaNoNdepar-AltN"/>
        <w:rPr>
          <w:lang w:val="fr-CA"/>
        </w:rPr>
      </w:pPr>
      <w:r w:rsidRPr="00A011C6">
        <w:rPr>
          <w:lang w:val="fr-CA"/>
        </w:rPr>
        <w:t>En l</w:t>
      </w:r>
      <w:r>
        <w:rPr>
          <w:lang w:val="fr-CA"/>
        </w:rPr>
        <w:t>’</w:t>
      </w:r>
      <w:r w:rsidRPr="00A011C6">
        <w:rPr>
          <w:lang w:val="fr-CA"/>
        </w:rPr>
        <w:t>espèce, contrairement à</w:t>
      </w:r>
      <w:r>
        <w:rPr>
          <w:lang w:val="fr-CA"/>
        </w:rPr>
        <w:t xml:space="preserve"> l’affaire</w:t>
      </w:r>
      <w:r w:rsidRPr="00A011C6">
        <w:rPr>
          <w:lang w:val="fr-CA"/>
        </w:rPr>
        <w:t xml:space="preserve"> </w:t>
      </w:r>
      <w:r w:rsidRPr="00A011C6">
        <w:rPr>
          <w:i/>
          <w:lang w:val="fr-CA"/>
        </w:rPr>
        <w:t>Hibbert</w:t>
      </w:r>
      <w:r w:rsidRPr="00A011C6">
        <w:rPr>
          <w:lang w:val="fr-CA"/>
        </w:rPr>
        <w:t xml:space="preserve">, nous devons </w:t>
      </w:r>
      <w:r>
        <w:rPr>
          <w:lang w:val="fr-CA"/>
        </w:rPr>
        <w:t>décider</w:t>
      </w:r>
      <w:r w:rsidRPr="00A011C6">
        <w:rPr>
          <w:lang w:val="fr-CA"/>
        </w:rPr>
        <w:t xml:space="preserve"> si les différences entre la contrainte et la légitime défense justifient le maintien d</w:t>
      </w:r>
      <w:r>
        <w:rPr>
          <w:lang w:val="fr-CA"/>
        </w:rPr>
        <w:t>’</w:t>
      </w:r>
      <w:r w:rsidRPr="00A011C6">
        <w:rPr>
          <w:lang w:val="fr-CA"/>
        </w:rPr>
        <w:t xml:space="preserve">une différence juridique importante entre </w:t>
      </w:r>
      <w:r>
        <w:rPr>
          <w:lang w:val="fr-CA"/>
        </w:rPr>
        <w:t>ces deux moyens de défense</w:t>
      </w:r>
      <w:r w:rsidRPr="00A011C6">
        <w:rPr>
          <w:lang w:val="fr-CA"/>
        </w:rPr>
        <w:t>.  En toute déférence pour l</w:t>
      </w:r>
      <w:r>
        <w:rPr>
          <w:lang w:val="fr-CA"/>
        </w:rPr>
        <w:t>’</w:t>
      </w:r>
      <w:r w:rsidRPr="00A011C6">
        <w:rPr>
          <w:lang w:val="fr-CA"/>
        </w:rPr>
        <w:t xml:space="preserve">opinion contraire de la </w:t>
      </w:r>
      <w:r>
        <w:rPr>
          <w:lang w:val="fr-CA"/>
        </w:rPr>
        <w:t>C</w:t>
      </w:r>
      <w:r w:rsidRPr="00A011C6">
        <w:rPr>
          <w:lang w:val="fr-CA"/>
        </w:rPr>
        <w:t>our d</w:t>
      </w:r>
      <w:r>
        <w:rPr>
          <w:lang w:val="fr-CA"/>
        </w:rPr>
        <w:t>’</w:t>
      </w:r>
      <w:r w:rsidRPr="00A011C6">
        <w:rPr>
          <w:lang w:val="fr-CA"/>
        </w:rPr>
        <w:t>appel, nous estimons que c</w:t>
      </w:r>
      <w:r>
        <w:rPr>
          <w:lang w:val="fr-CA"/>
        </w:rPr>
        <w:t>’</w:t>
      </w:r>
      <w:r w:rsidRPr="00A011C6">
        <w:rPr>
          <w:lang w:val="fr-CA"/>
        </w:rPr>
        <w:t>est le cas</w:t>
      </w:r>
      <w:r>
        <w:rPr>
          <w:lang w:val="fr-CA"/>
        </w:rPr>
        <w:t xml:space="preserve">.  </w:t>
      </w:r>
      <w:r w:rsidRPr="00A011C6">
        <w:rPr>
          <w:lang w:val="fr-CA"/>
        </w:rPr>
        <w:t>En d</w:t>
      </w:r>
      <w:r>
        <w:rPr>
          <w:lang w:val="fr-CA"/>
        </w:rPr>
        <w:t>’</w:t>
      </w:r>
      <w:r w:rsidRPr="00A011C6">
        <w:rPr>
          <w:lang w:val="fr-CA"/>
        </w:rPr>
        <w:t>autres mots, nous concluons que la Cour d</w:t>
      </w:r>
      <w:r>
        <w:rPr>
          <w:lang w:val="fr-CA"/>
        </w:rPr>
        <w:t>’</w:t>
      </w:r>
      <w:r w:rsidRPr="00A011C6">
        <w:rPr>
          <w:lang w:val="fr-CA"/>
        </w:rPr>
        <w:t xml:space="preserve">appel a commis une erreur </w:t>
      </w:r>
      <w:r>
        <w:rPr>
          <w:lang w:val="fr-CA"/>
        </w:rPr>
        <w:t>de droit en déclarant</w:t>
      </w:r>
      <w:r w:rsidRPr="00A011C6">
        <w:rPr>
          <w:lang w:val="fr-CA"/>
        </w:rPr>
        <w:t xml:space="preserve"> qu</w:t>
      </w:r>
      <w:r>
        <w:rPr>
          <w:lang w:val="fr-CA"/>
        </w:rPr>
        <w:t>’</w:t>
      </w:r>
      <w:r w:rsidRPr="00A011C6">
        <w:rPr>
          <w:lang w:val="fr-CA"/>
        </w:rPr>
        <w:t>il n</w:t>
      </w:r>
      <w:r>
        <w:rPr>
          <w:lang w:val="fr-CA"/>
        </w:rPr>
        <w:t>’</w:t>
      </w:r>
      <w:r w:rsidRPr="00A011C6">
        <w:rPr>
          <w:lang w:val="fr-CA"/>
        </w:rPr>
        <w:t>existe</w:t>
      </w:r>
      <w:r>
        <w:rPr>
          <w:lang w:val="fr-CA"/>
        </w:rPr>
        <w:t xml:space="preserve"> </w:t>
      </w:r>
      <w:r w:rsidRPr="00A011C6">
        <w:rPr>
          <w:smallCaps/>
          <w:lang w:val="fr-CA"/>
        </w:rPr>
        <w:t>[traduction]</w:t>
      </w:r>
      <w:r w:rsidRPr="00A011C6">
        <w:rPr>
          <w:lang w:val="fr-CA"/>
        </w:rPr>
        <w:t xml:space="preserve">  « </w:t>
      </w:r>
      <w:r>
        <w:rPr>
          <w:lang w:val="fr-CA"/>
        </w:rPr>
        <w:t>aucune</w:t>
      </w:r>
      <w:r w:rsidRPr="00A011C6">
        <w:rPr>
          <w:lang w:val="fr-CA"/>
        </w:rPr>
        <w:t xml:space="preserve"> raison de principe » </w:t>
      </w:r>
      <w:r>
        <w:rPr>
          <w:lang w:val="fr-CA"/>
        </w:rPr>
        <w:t>permettant d</w:t>
      </w:r>
      <w:r w:rsidRPr="00E079E5">
        <w:rPr>
          <w:rFonts w:cs="Times New Roman"/>
          <w:lang w:val="fr-CA"/>
        </w:rPr>
        <w:t>’</w:t>
      </w:r>
      <w:r>
        <w:rPr>
          <w:lang w:val="fr-CA"/>
        </w:rPr>
        <w:t>interdire à</w:t>
      </w:r>
      <w:r w:rsidRPr="00A011C6">
        <w:rPr>
          <w:lang w:val="fr-CA"/>
        </w:rPr>
        <w:t xml:space="preserve"> l</w:t>
      </w:r>
      <w:r>
        <w:rPr>
          <w:lang w:val="fr-CA"/>
        </w:rPr>
        <w:t>’</w:t>
      </w:r>
      <w:r w:rsidRPr="00A011C6">
        <w:rPr>
          <w:lang w:val="fr-CA"/>
        </w:rPr>
        <w:t xml:space="preserve">intimée </w:t>
      </w:r>
      <w:r>
        <w:rPr>
          <w:lang w:val="fr-CA"/>
        </w:rPr>
        <w:t>d</w:t>
      </w:r>
      <w:r w:rsidRPr="00E079E5">
        <w:rPr>
          <w:rFonts w:cs="Times New Roman"/>
          <w:lang w:val="fr-CA"/>
        </w:rPr>
        <w:t>’</w:t>
      </w:r>
      <w:r w:rsidRPr="00A011C6">
        <w:rPr>
          <w:lang w:val="fr-CA"/>
        </w:rPr>
        <w:t xml:space="preserve">invoquer le moyen de défense </w:t>
      </w:r>
      <w:r>
        <w:rPr>
          <w:lang w:val="fr-CA"/>
        </w:rPr>
        <w:t xml:space="preserve">fondé sur </w:t>
      </w:r>
      <w:r w:rsidRPr="00A011C6">
        <w:rPr>
          <w:lang w:val="fr-CA"/>
        </w:rPr>
        <w:t>la contrainte.</w:t>
      </w:r>
    </w:p>
    <w:p w:rsidR="00AF49CF" w:rsidRPr="00A011C6" w:rsidRDefault="00AF49CF" w:rsidP="00AF49CF">
      <w:pPr>
        <w:pStyle w:val="ParaNoNdepar-AltN"/>
        <w:rPr>
          <w:lang w:val="fr-CA"/>
        </w:rPr>
      </w:pPr>
      <w:r>
        <w:rPr>
          <w:lang w:val="fr-CA"/>
        </w:rPr>
        <w:t>Dans son étude du</w:t>
      </w:r>
      <w:r w:rsidRPr="00A011C6">
        <w:rPr>
          <w:lang w:val="fr-CA"/>
        </w:rPr>
        <w:t xml:space="preserve"> lien entre la contrainte et la nécessité, le juge en chef Lamer, dans </w:t>
      </w:r>
      <w:r w:rsidRPr="00A011C6">
        <w:rPr>
          <w:i/>
          <w:lang w:val="fr-CA"/>
        </w:rPr>
        <w:t>Hibbert</w:t>
      </w:r>
      <w:r w:rsidRPr="00A011C6">
        <w:rPr>
          <w:lang w:val="fr-CA"/>
        </w:rPr>
        <w:t>, a conclu que « les ressemblances entre les deux moyens de défense sont telles qu</w:t>
      </w:r>
      <w:r>
        <w:rPr>
          <w:lang w:val="fr-CA"/>
        </w:rPr>
        <w:t>’</w:t>
      </w:r>
      <w:r w:rsidRPr="00A011C6">
        <w:rPr>
          <w:lang w:val="fr-CA"/>
        </w:rPr>
        <w:t>il s</w:t>
      </w:r>
      <w:r>
        <w:rPr>
          <w:lang w:val="fr-CA"/>
        </w:rPr>
        <w:t>’</w:t>
      </w:r>
      <w:r w:rsidRPr="00A011C6">
        <w:rPr>
          <w:lang w:val="fr-CA"/>
        </w:rPr>
        <w:t>impose, par souci d</w:t>
      </w:r>
      <w:r>
        <w:rPr>
          <w:lang w:val="fr-CA"/>
        </w:rPr>
        <w:t>’</w:t>
      </w:r>
      <w:r w:rsidRPr="00A011C6">
        <w:rPr>
          <w:lang w:val="fr-CA"/>
        </w:rPr>
        <w:t>uniformité et de logique, de les considérer comme fondés sur les mêmes principes juridiques » et que «</w:t>
      </w:r>
      <w:r>
        <w:rPr>
          <w:lang w:val="fr-CA"/>
        </w:rPr>
        <w:t xml:space="preserve"> toute autre solution </w:t>
      </w:r>
      <w:r w:rsidRPr="00A011C6">
        <w:rPr>
          <w:lang w:val="fr-CA"/>
        </w:rPr>
        <w:t>reviendrait à favoriser l</w:t>
      </w:r>
      <w:r>
        <w:rPr>
          <w:lang w:val="fr-CA"/>
        </w:rPr>
        <w:t>’</w:t>
      </w:r>
      <w:r w:rsidRPr="00A011C6">
        <w:rPr>
          <w:lang w:val="fr-CA"/>
        </w:rPr>
        <w:t>incohérence et l</w:t>
      </w:r>
      <w:r>
        <w:rPr>
          <w:lang w:val="fr-CA"/>
        </w:rPr>
        <w:t>’</w:t>
      </w:r>
      <w:r w:rsidRPr="00A011C6">
        <w:rPr>
          <w:lang w:val="fr-CA"/>
        </w:rPr>
        <w:t>an</w:t>
      </w:r>
      <w:r>
        <w:rPr>
          <w:lang w:val="fr-CA"/>
        </w:rPr>
        <w:t>o</w:t>
      </w:r>
      <w:r w:rsidR="00EB1DAC">
        <w:rPr>
          <w:lang w:val="fr-CA"/>
        </w:rPr>
        <w:t>malie dans le droit criminel » </w:t>
      </w:r>
      <w:r>
        <w:rPr>
          <w:lang w:val="fr-CA"/>
        </w:rPr>
        <w:t xml:space="preserve"> </w:t>
      </w:r>
      <w:r w:rsidR="00EB1DAC">
        <w:rPr>
          <w:lang w:val="fr-CA"/>
        </w:rPr>
        <w:t>(</w:t>
      </w:r>
      <w:r>
        <w:rPr>
          <w:lang w:val="fr-CA"/>
        </w:rPr>
        <w:t>par. </w:t>
      </w:r>
      <w:r w:rsidRPr="00A011C6">
        <w:rPr>
          <w:lang w:val="fr-CA"/>
        </w:rPr>
        <w:t>54</w:t>
      </w:r>
      <w:r w:rsidR="00EB1DAC">
        <w:rPr>
          <w:lang w:val="fr-CA"/>
        </w:rPr>
        <w:t>)</w:t>
      </w:r>
      <w:r>
        <w:rPr>
          <w:lang w:val="fr-CA"/>
        </w:rPr>
        <w:t xml:space="preserve">.  Le </w:t>
      </w:r>
      <w:r w:rsidRPr="00A011C6">
        <w:rPr>
          <w:lang w:val="fr-CA"/>
        </w:rPr>
        <w:t>fondement commun</w:t>
      </w:r>
      <w:r>
        <w:rPr>
          <w:lang w:val="fr-CA"/>
        </w:rPr>
        <w:t xml:space="preserve"> de ces deux moyens de défense réside dans le fait qu</w:t>
      </w:r>
      <w:r w:rsidRPr="006930D0">
        <w:rPr>
          <w:rFonts w:cs="Times New Roman"/>
          <w:lang w:val="fr-CA"/>
        </w:rPr>
        <w:t>’</w:t>
      </w:r>
      <w:r>
        <w:rPr>
          <w:lang w:val="fr-CA"/>
        </w:rPr>
        <w:t>ils constituent, dans l</w:t>
      </w:r>
      <w:r w:rsidRPr="009B7A0A">
        <w:rPr>
          <w:rFonts w:cs="Times New Roman"/>
          <w:lang w:val="fr-CA"/>
        </w:rPr>
        <w:t>’</w:t>
      </w:r>
      <w:r>
        <w:rPr>
          <w:lang w:val="fr-CA"/>
        </w:rPr>
        <w:t>un et l</w:t>
      </w:r>
      <w:r w:rsidRPr="009B7A0A">
        <w:rPr>
          <w:rFonts w:cs="Times New Roman"/>
          <w:lang w:val="fr-CA"/>
        </w:rPr>
        <w:t>’</w:t>
      </w:r>
      <w:r>
        <w:rPr>
          <w:lang w:val="fr-CA"/>
        </w:rPr>
        <w:t>autre cas, des excuses qui « repose</w:t>
      </w:r>
      <w:r w:rsidRPr="00A011C6">
        <w:rPr>
          <w:lang w:val="fr-CA"/>
        </w:rPr>
        <w:t>[nt] sur l</w:t>
      </w:r>
      <w:r>
        <w:rPr>
          <w:lang w:val="fr-CA"/>
        </w:rPr>
        <w:t>’</w:t>
      </w:r>
      <w:r w:rsidRPr="00A011C6">
        <w:rPr>
          <w:lang w:val="fr-CA"/>
        </w:rPr>
        <w:t>idée de caractère involontaire normatif »</w:t>
      </w:r>
      <w:r w:rsidR="00CD513F">
        <w:rPr>
          <w:lang w:val="fr-CA"/>
        </w:rPr>
        <w:t xml:space="preserve"> (par. 54)</w:t>
      </w:r>
      <w:r>
        <w:rPr>
          <w:lang w:val="fr-CA"/>
        </w:rPr>
        <w:t xml:space="preserve">, </w:t>
      </w:r>
      <w:r w:rsidRPr="00A011C6">
        <w:rPr>
          <w:lang w:val="fr-CA"/>
        </w:rPr>
        <w:t xml:space="preserve">comme le </w:t>
      </w:r>
      <w:r>
        <w:rPr>
          <w:lang w:val="fr-CA"/>
        </w:rPr>
        <w:t xml:space="preserve">juge </w:t>
      </w:r>
      <w:r w:rsidRPr="00A011C6">
        <w:rPr>
          <w:lang w:val="fr-CA"/>
        </w:rPr>
        <w:t xml:space="preserve">Dickson </w:t>
      </w:r>
      <w:r>
        <w:rPr>
          <w:lang w:val="fr-CA"/>
        </w:rPr>
        <w:t>(plus tard J</w:t>
      </w:r>
      <w:r w:rsidRPr="00A011C6">
        <w:rPr>
          <w:lang w:val="fr-CA"/>
        </w:rPr>
        <w:t>uge en chef</w:t>
      </w:r>
      <w:r>
        <w:rPr>
          <w:lang w:val="fr-CA"/>
        </w:rPr>
        <w:t>)</w:t>
      </w:r>
      <w:r w:rsidRPr="00A011C6">
        <w:rPr>
          <w:lang w:val="fr-CA"/>
        </w:rPr>
        <w:t xml:space="preserve"> l</w:t>
      </w:r>
      <w:r>
        <w:rPr>
          <w:lang w:val="fr-CA"/>
        </w:rPr>
        <w:t>’avait conclu à l</w:t>
      </w:r>
      <w:r w:rsidRPr="00E079E5">
        <w:rPr>
          <w:rFonts w:cs="Times New Roman"/>
          <w:lang w:val="fr-CA"/>
        </w:rPr>
        <w:t>’</w:t>
      </w:r>
      <w:r>
        <w:rPr>
          <w:lang w:val="fr-CA"/>
        </w:rPr>
        <w:t>égard du</w:t>
      </w:r>
      <w:r w:rsidRPr="00A011C6">
        <w:rPr>
          <w:lang w:val="fr-CA"/>
        </w:rPr>
        <w:t xml:space="preserve"> moyen de défense </w:t>
      </w:r>
      <w:r>
        <w:rPr>
          <w:lang w:val="fr-CA"/>
        </w:rPr>
        <w:t xml:space="preserve">fondé sur </w:t>
      </w:r>
      <w:r w:rsidRPr="00A011C6">
        <w:rPr>
          <w:lang w:val="fr-CA"/>
        </w:rPr>
        <w:t>la nécessité dans</w:t>
      </w:r>
      <w:r>
        <w:rPr>
          <w:lang w:val="fr-CA"/>
        </w:rPr>
        <w:t xml:space="preserve"> l</w:t>
      </w:r>
      <w:r w:rsidRPr="00FA1D8A">
        <w:rPr>
          <w:rFonts w:cs="Times New Roman"/>
          <w:lang w:val="fr-CA"/>
        </w:rPr>
        <w:t>’</w:t>
      </w:r>
      <w:r>
        <w:rPr>
          <w:lang w:val="fr-CA"/>
        </w:rPr>
        <w:t xml:space="preserve">arrêt </w:t>
      </w:r>
      <w:r w:rsidRPr="00A011C6">
        <w:rPr>
          <w:i/>
          <w:lang w:val="fr-CA"/>
        </w:rPr>
        <w:t>Perka c. La Reine</w:t>
      </w:r>
      <w:r>
        <w:rPr>
          <w:lang w:val="fr-CA"/>
        </w:rPr>
        <w:t>,</w:t>
      </w:r>
      <w:r w:rsidRPr="00A011C6">
        <w:rPr>
          <w:lang w:val="fr-CA"/>
        </w:rPr>
        <w:t xml:space="preserve"> [1984] 2 R.C.S. 232</w:t>
      </w:r>
      <w:r w:rsidR="00EB1DAC">
        <w:rPr>
          <w:lang w:val="fr-CA"/>
        </w:rPr>
        <w:t>, par. 54</w:t>
      </w:r>
      <w:r w:rsidRPr="00A011C6">
        <w:rPr>
          <w:lang w:val="fr-CA"/>
        </w:rPr>
        <w:t xml:space="preserve">. </w:t>
      </w:r>
      <w:r>
        <w:rPr>
          <w:lang w:val="fr-CA"/>
        </w:rPr>
        <w:t xml:space="preserve"> Toutefois, l</w:t>
      </w:r>
      <w:r w:rsidRPr="00A011C6">
        <w:rPr>
          <w:lang w:val="fr-CA"/>
        </w:rPr>
        <w:t>e lien entre la contrainte et la nécessité, d</w:t>
      </w:r>
      <w:r>
        <w:rPr>
          <w:lang w:val="fr-CA"/>
        </w:rPr>
        <w:t>’</w:t>
      </w:r>
      <w:r w:rsidRPr="00A011C6">
        <w:rPr>
          <w:lang w:val="fr-CA"/>
        </w:rPr>
        <w:t>une part, et la légitime défense, d</w:t>
      </w:r>
      <w:r>
        <w:rPr>
          <w:lang w:val="fr-CA"/>
        </w:rPr>
        <w:t>’</w:t>
      </w:r>
      <w:r w:rsidRPr="00A011C6">
        <w:rPr>
          <w:lang w:val="fr-CA"/>
        </w:rPr>
        <w:t>autre part, était moins évident.  Les trois moyens de défense s</w:t>
      </w:r>
      <w:r>
        <w:rPr>
          <w:lang w:val="fr-CA"/>
        </w:rPr>
        <w:t>’</w:t>
      </w:r>
      <w:r w:rsidRPr="00A011C6">
        <w:rPr>
          <w:lang w:val="fr-CA"/>
        </w:rPr>
        <w:t>appliquent dans des situations</w:t>
      </w:r>
      <w:r w:rsidR="00EB1DAC">
        <w:rPr>
          <w:lang w:val="fr-CA"/>
        </w:rPr>
        <w:t xml:space="preserve"> [</w:t>
      </w:r>
      <w:r w:rsidR="00EB1DAC" w:rsidRPr="00EB1DAC">
        <w:rPr>
          <w:smallCaps/>
          <w:lang w:val="fr-CA"/>
        </w:rPr>
        <w:t>traduction</w:t>
      </w:r>
      <w:r w:rsidR="00EB1DAC">
        <w:rPr>
          <w:lang w:val="fr-CA"/>
        </w:rPr>
        <w:t>]</w:t>
      </w:r>
      <w:r w:rsidRPr="00A011C6">
        <w:rPr>
          <w:lang w:val="fr-CA"/>
        </w:rPr>
        <w:t xml:space="preserve"> « essentiellement </w:t>
      </w:r>
      <w:r>
        <w:rPr>
          <w:lang w:val="fr-CA"/>
        </w:rPr>
        <w:t>similaires</w:t>
      </w:r>
      <w:r w:rsidRPr="00A011C6">
        <w:rPr>
          <w:lang w:val="fr-CA"/>
        </w:rPr>
        <w:t> »</w:t>
      </w:r>
      <w:r>
        <w:rPr>
          <w:lang w:val="fr-CA"/>
        </w:rPr>
        <w:t> :</w:t>
      </w:r>
      <w:r w:rsidRPr="00A011C6">
        <w:rPr>
          <w:lang w:val="fr-CA"/>
        </w:rPr>
        <w:t xml:space="preserve"> ils visent</w:t>
      </w:r>
      <w:r>
        <w:rPr>
          <w:lang w:val="fr-CA"/>
        </w:rPr>
        <w:t xml:space="preserve"> tous à justifier ce qui, </w:t>
      </w:r>
      <w:r w:rsidRPr="00A011C6">
        <w:rPr>
          <w:lang w:val="fr-CA"/>
        </w:rPr>
        <w:t>par ailleurs</w:t>
      </w:r>
      <w:r>
        <w:rPr>
          <w:lang w:val="fr-CA"/>
        </w:rPr>
        <w:t>, constituerait</w:t>
      </w:r>
      <w:r w:rsidRPr="00A011C6">
        <w:rPr>
          <w:lang w:val="fr-CA"/>
        </w:rPr>
        <w:t xml:space="preserve"> un comportement criminel parce que l</w:t>
      </w:r>
      <w:r>
        <w:rPr>
          <w:lang w:val="fr-CA"/>
        </w:rPr>
        <w:t>’</w:t>
      </w:r>
      <w:r w:rsidRPr="00A011C6">
        <w:rPr>
          <w:lang w:val="fr-CA"/>
        </w:rPr>
        <w:t>accusé a agi en réaction à un</w:t>
      </w:r>
      <w:r>
        <w:rPr>
          <w:lang w:val="fr-CA"/>
        </w:rPr>
        <w:t>e menace</w:t>
      </w:r>
      <w:r w:rsidRPr="00A011C6">
        <w:rPr>
          <w:lang w:val="fr-CA"/>
        </w:rPr>
        <w:t xml:space="preserve"> extérieur</w:t>
      </w:r>
      <w:r w:rsidR="00EB1DAC">
        <w:rPr>
          <w:lang w:val="fr-CA"/>
        </w:rPr>
        <w:t>e (</w:t>
      </w:r>
      <w:r>
        <w:rPr>
          <w:lang w:val="fr-CA"/>
        </w:rPr>
        <w:t>par. </w:t>
      </w:r>
      <w:r w:rsidRPr="00A011C6">
        <w:rPr>
          <w:lang w:val="fr-CA"/>
        </w:rPr>
        <w:t>60</w:t>
      </w:r>
      <w:r w:rsidR="00EB1DAC">
        <w:rPr>
          <w:lang w:val="fr-CA"/>
        </w:rPr>
        <w:t>)</w:t>
      </w:r>
      <w:r w:rsidRPr="00A011C6">
        <w:rPr>
          <w:lang w:val="fr-CA"/>
        </w:rPr>
        <w:t xml:space="preserve">.  </w:t>
      </w:r>
      <w:r>
        <w:rPr>
          <w:lang w:val="fr-CA"/>
        </w:rPr>
        <w:t>Le</w:t>
      </w:r>
      <w:r w:rsidRPr="00A011C6">
        <w:rPr>
          <w:lang w:val="fr-CA"/>
        </w:rPr>
        <w:t xml:space="preserve"> juge</w:t>
      </w:r>
      <w:r>
        <w:rPr>
          <w:lang w:val="fr-CA"/>
        </w:rPr>
        <w:t xml:space="preserve"> en chef Lamer a résumé comme </w:t>
      </w:r>
      <w:r w:rsidRPr="00A011C6">
        <w:rPr>
          <w:lang w:val="fr-CA"/>
        </w:rPr>
        <w:t>suit dans</w:t>
      </w:r>
      <w:r>
        <w:rPr>
          <w:lang w:val="fr-CA"/>
        </w:rPr>
        <w:t xml:space="preserve"> l</w:t>
      </w:r>
      <w:r w:rsidRPr="00FA1D8A">
        <w:rPr>
          <w:rFonts w:cs="Times New Roman"/>
          <w:lang w:val="fr-CA"/>
        </w:rPr>
        <w:t>’</w:t>
      </w:r>
      <w:r>
        <w:rPr>
          <w:lang w:val="fr-CA"/>
        </w:rPr>
        <w:t>arrêt</w:t>
      </w:r>
      <w:r w:rsidRPr="00A011C6">
        <w:rPr>
          <w:lang w:val="fr-CA"/>
        </w:rPr>
        <w:t xml:space="preserve"> </w:t>
      </w:r>
      <w:r w:rsidRPr="00A011C6">
        <w:rPr>
          <w:i/>
          <w:lang w:val="fr-CA"/>
        </w:rPr>
        <w:t>Hibbert</w:t>
      </w:r>
      <w:r>
        <w:rPr>
          <w:lang w:val="fr-CA"/>
        </w:rPr>
        <w:t xml:space="preserve"> la relation entre ces moyens de défense :</w:t>
      </w:r>
      <w:r w:rsidRPr="00A011C6">
        <w:rPr>
          <w:lang w:val="fr-CA"/>
        </w:rPr>
        <w:t xml:space="preserve"> </w:t>
      </w:r>
    </w:p>
    <w:p w:rsidR="00AF49CF" w:rsidRPr="00A011C6" w:rsidRDefault="00AF49CF" w:rsidP="00AF49CF">
      <w:pPr>
        <w:pStyle w:val="Citation-AltC"/>
        <w:tabs>
          <w:tab w:val="left" w:pos="1440"/>
        </w:tabs>
        <w:ind w:hanging="1166"/>
        <w:rPr>
          <w:lang w:val="fr-CA"/>
        </w:rPr>
      </w:pPr>
      <w:r>
        <w:rPr>
          <w:lang w:val="fr-CA"/>
        </w:rPr>
        <w:tab/>
      </w:r>
      <w:r>
        <w:rPr>
          <w:lang w:val="fr-CA"/>
        </w:rPr>
        <w:tab/>
      </w:r>
      <w:r w:rsidRPr="00A011C6">
        <w:rPr>
          <w:lang w:val="fr-CA"/>
        </w:rPr>
        <w:t xml:space="preserve">Les moyens de défense fondés sur la légitime défense, la nécessité et la contrainte entrent tous en jeu dans des circonstances où une personne est exposée à un danger extérieur et qui, pour éviter le danger qui la menace, accomplit un acte qui serait par ailleurs criminel.  </w:t>
      </w:r>
      <w:r>
        <w:rPr>
          <w:lang w:val="fr-CA"/>
        </w:rPr>
        <w:t>[par. </w:t>
      </w:r>
      <w:r w:rsidRPr="00A011C6">
        <w:rPr>
          <w:lang w:val="fr-CA"/>
        </w:rPr>
        <w:t>50</w:t>
      </w:r>
      <w:r>
        <w:rPr>
          <w:lang w:val="fr-CA"/>
        </w:rPr>
        <w:t>]</w:t>
      </w:r>
    </w:p>
    <w:p w:rsidR="00AF49CF" w:rsidRPr="00A011C6" w:rsidRDefault="00AF49CF" w:rsidP="00AF49CF">
      <w:pPr>
        <w:pStyle w:val="ParaNoNdepar-AltN"/>
        <w:rPr>
          <w:lang w:val="fr-CA"/>
        </w:rPr>
      </w:pPr>
      <w:r>
        <w:rPr>
          <w:lang w:val="fr-CA"/>
        </w:rPr>
        <w:t>Toutefois, des différences importantes distinguent c</w:t>
      </w:r>
      <w:r w:rsidRPr="00A011C6">
        <w:rPr>
          <w:lang w:val="fr-CA"/>
        </w:rPr>
        <w:t>es moyens de défense</w:t>
      </w:r>
      <w:r>
        <w:rPr>
          <w:lang w:val="fr-CA"/>
        </w:rPr>
        <w:t>,</w:t>
      </w:r>
      <w:r w:rsidRPr="00A011C6">
        <w:rPr>
          <w:lang w:val="fr-CA"/>
        </w:rPr>
        <w:t xml:space="preserve"> </w:t>
      </w:r>
      <w:r>
        <w:rPr>
          <w:lang w:val="fr-CA"/>
        </w:rPr>
        <w:t>comme l</w:t>
      </w:r>
      <w:r w:rsidRPr="00A011C6">
        <w:rPr>
          <w:lang w:val="fr-CA"/>
        </w:rPr>
        <w:t xml:space="preserve">e juge en chef Lamer </w:t>
      </w:r>
      <w:r>
        <w:rPr>
          <w:lang w:val="fr-CA"/>
        </w:rPr>
        <w:t>le précise</w:t>
      </w:r>
      <w:r w:rsidRPr="00A011C6">
        <w:rPr>
          <w:lang w:val="fr-CA"/>
        </w:rPr>
        <w:t xml:space="preserve"> </w:t>
      </w:r>
      <w:r>
        <w:rPr>
          <w:lang w:val="fr-CA"/>
        </w:rPr>
        <w:t>dans ce passage :</w:t>
      </w:r>
      <w:r w:rsidRPr="00A011C6">
        <w:rPr>
          <w:lang w:val="fr-CA"/>
        </w:rPr>
        <w:t xml:space="preserve"> </w:t>
      </w:r>
    </w:p>
    <w:p w:rsidR="00AF49CF" w:rsidRPr="00A011C6" w:rsidRDefault="00AF49CF" w:rsidP="00AF49CF">
      <w:pPr>
        <w:pStyle w:val="Citation-AltC"/>
        <w:ind w:hanging="1166"/>
        <w:contextualSpacing w:val="0"/>
        <w:rPr>
          <w:szCs w:val="24"/>
          <w:lang w:val="fr-CA"/>
        </w:rPr>
      </w:pPr>
      <w:r>
        <w:rPr>
          <w:lang w:val="fr-CA"/>
        </w:rPr>
        <w:tab/>
      </w:r>
      <w:r w:rsidR="00EB1DAC">
        <w:rPr>
          <w:lang w:val="fr-CA"/>
        </w:rPr>
        <w:t xml:space="preserve">. . . </w:t>
      </w:r>
      <w:r w:rsidRPr="00A011C6">
        <w:rPr>
          <w:lang w:val="fr-CA"/>
        </w:rPr>
        <w:t>il est possible d</w:t>
      </w:r>
      <w:r>
        <w:rPr>
          <w:lang w:val="fr-CA"/>
        </w:rPr>
        <w:t>’</w:t>
      </w:r>
      <w:r w:rsidRPr="00A011C6">
        <w:rPr>
          <w:lang w:val="fr-CA"/>
        </w:rPr>
        <w:t>établir, entre la légitime défense, d</w:t>
      </w:r>
      <w:r>
        <w:rPr>
          <w:lang w:val="fr-CA"/>
        </w:rPr>
        <w:t>’</w:t>
      </w:r>
      <w:r w:rsidRPr="00A011C6">
        <w:rPr>
          <w:lang w:val="fr-CA"/>
        </w:rPr>
        <w:t>une part, et la contrainte et la nécessité, d</w:t>
      </w:r>
      <w:r>
        <w:rPr>
          <w:lang w:val="fr-CA"/>
        </w:rPr>
        <w:t>’</w:t>
      </w:r>
      <w:r w:rsidRPr="00A011C6">
        <w:rPr>
          <w:lang w:val="fr-CA"/>
        </w:rPr>
        <w:t>autre part, une distinction qui pourrait bien fonder une différence juridique utile</w:t>
      </w:r>
      <w:r>
        <w:rPr>
          <w:lang w:val="fr-CA"/>
        </w:rPr>
        <w:t xml:space="preserve">.  </w:t>
      </w:r>
      <w:r w:rsidRPr="00A011C6">
        <w:rPr>
          <w:lang w:val="fr-CA"/>
        </w:rPr>
        <w:t>Dans les cas de légitime défense, la victime de l</w:t>
      </w:r>
      <w:r>
        <w:rPr>
          <w:lang w:val="fr-CA"/>
        </w:rPr>
        <w:t>’</w:t>
      </w:r>
      <w:r w:rsidRPr="00A011C6">
        <w:rPr>
          <w:lang w:val="fr-CA"/>
        </w:rPr>
        <w:t>acte par ailleurs criminel est elle</w:t>
      </w:r>
      <w:r>
        <w:rPr>
          <w:lang w:val="fr-CA"/>
        </w:rPr>
        <w:noBreakHyphen/>
      </w:r>
      <w:r w:rsidRPr="00A011C6">
        <w:rPr>
          <w:lang w:val="fr-CA"/>
        </w:rPr>
        <w:t xml:space="preserve">même </w:t>
      </w:r>
      <w:r w:rsidRPr="00A011C6">
        <w:rPr>
          <w:u w:val="single"/>
          <w:lang w:val="fr-CA"/>
        </w:rPr>
        <w:t>l</w:t>
      </w:r>
      <w:r>
        <w:rPr>
          <w:u w:val="single"/>
          <w:lang w:val="fr-CA"/>
        </w:rPr>
        <w:t>’</w:t>
      </w:r>
      <w:r w:rsidRPr="00A011C6">
        <w:rPr>
          <w:u w:val="single"/>
          <w:lang w:val="fr-CA"/>
        </w:rPr>
        <w:t>auteur</w:t>
      </w:r>
      <w:r w:rsidRPr="00A011C6">
        <w:rPr>
          <w:lang w:val="fr-CA"/>
        </w:rPr>
        <w:t xml:space="preserve"> de la menace qui amène l</w:t>
      </w:r>
      <w:r>
        <w:rPr>
          <w:lang w:val="fr-CA"/>
        </w:rPr>
        <w:t>’</w:t>
      </w:r>
      <w:r w:rsidRPr="00A011C6">
        <w:rPr>
          <w:lang w:val="fr-CA"/>
        </w:rPr>
        <w:t>acteur à commettre ce qui constituerait par ailleurs des voies de fait ou un homicide coupable</w:t>
      </w:r>
      <w:r>
        <w:rPr>
          <w:lang w:val="fr-CA"/>
        </w:rPr>
        <w:t xml:space="preserve"> [. . .] </w:t>
      </w:r>
      <w:r w:rsidRPr="00A011C6">
        <w:rPr>
          <w:lang w:val="fr-CA"/>
        </w:rPr>
        <w:t xml:space="preserve"> Dans ce sens, elle ne reçoit que ce qu</w:t>
      </w:r>
      <w:r>
        <w:rPr>
          <w:lang w:val="fr-CA"/>
        </w:rPr>
        <w:t>’</w:t>
      </w:r>
      <w:r w:rsidRPr="00A011C6">
        <w:rPr>
          <w:lang w:val="fr-CA"/>
        </w:rPr>
        <w:t>elle mérite et on pourrait soutenir que ce facteur mérite une a</w:t>
      </w:r>
      <w:r>
        <w:rPr>
          <w:lang w:val="fr-CA"/>
        </w:rPr>
        <w:t xml:space="preserve">ttention particulière en droit. </w:t>
      </w:r>
      <w:r w:rsidRPr="00A011C6">
        <w:rPr>
          <w:lang w:val="fr-CA"/>
        </w:rPr>
        <w:t xml:space="preserve"> Dans les cas de contrainte et de nécessité, cependant, les victimes de l</w:t>
      </w:r>
      <w:r>
        <w:rPr>
          <w:lang w:val="fr-CA"/>
        </w:rPr>
        <w:t>’</w:t>
      </w:r>
      <w:r w:rsidRPr="00A011C6">
        <w:rPr>
          <w:lang w:val="fr-CA"/>
        </w:rPr>
        <w:t>acte par ailleurs criminel</w:t>
      </w:r>
      <w:r>
        <w:rPr>
          <w:lang w:val="fr-CA"/>
        </w:rPr>
        <w:t xml:space="preserve"> [. . .] </w:t>
      </w:r>
      <w:r w:rsidRPr="00A011C6">
        <w:rPr>
          <w:lang w:val="fr-CA"/>
        </w:rPr>
        <w:t xml:space="preserve">sont des </w:t>
      </w:r>
      <w:r w:rsidRPr="00A011C6">
        <w:rPr>
          <w:u w:val="single"/>
          <w:lang w:val="fr-CA"/>
        </w:rPr>
        <w:t>tiers</w:t>
      </w:r>
      <w:r w:rsidRPr="00A011C6">
        <w:rPr>
          <w:lang w:val="fr-CA"/>
        </w:rPr>
        <w:t xml:space="preserve"> qui ne sont pas eux</w:t>
      </w:r>
      <w:r>
        <w:rPr>
          <w:lang w:val="fr-CA"/>
        </w:rPr>
        <w:noBreakHyphen/>
      </w:r>
      <w:r w:rsidRPr="00A011C6">
        <w:rPr>
          <w:lang w:val="fr-CA"/>
        </w:rPr>
        <w:t>mêmes responsables des menaces ou des circonstances de l</w:t>
      </w:r>
      <w:r>
        <w:rPr>
          <w:lang w:val="fr-CA"/>
        </w:rPr>
        <w:t>’</w:t>
      </w:r>
      <w:r w:rsidRPr="00A011C6">
        <w:rPr>
          <w:lang w:val="fr-CA"/>
        </w:rPr>
        <w:t>état de nécessité qui ont poussé l</w:t>
      </w:r>
      <w:r>
        <w:rPr>
          <w:lang w:val="fr-CA"/>
        </w:rPr>
        <w:t>’</w:t>
      </w:r>
      <w:r w:rsidRPr="00A011C6">
        <w:rPr>
          <w:lang w:val="fr-CA"/>
        </w:rPr>
        <w:t>accusé à agir</w:t>
      </w:r>
      <w:r>
        <w:rPr>
          <w:lang w:val="fr-CA"/>
        </w:rPr>
        <w:t xml:space="preserve">.  </w:t>
      </w:r>
      <w:r w:rsidRPr="00A011C6">
        <w:rPr>
          <w:szCs w:val="24"/>
          <w:lang w:val="fr-CA"/>
        </w:rPr>
        <w:t>[</w:t>
      </w:r>
      <w:r>
        <w:rPr>
          <w:szCs w:val="24"/>
          <w:lang w:val="fr-CA"/>
        </w:rPr>
        <w:t>Souligné</w:t>
      </w:r>
      <w:r w:rsidRPr="00A011C6">
        <w:rPr>
          <w:szCs w:val="24"/>
          <w:lang w:val="fr-CA"/>
        </w:rPr>
        <w:t xml:space="preserve"> dans l</w:t>
      </w:r>
      <w:r>
        <w:rPr>
          <w:szCs w:val="24"/>
          <w:lang w:val="fr-CA"/>
        </w:rPr>
        <w:t>’</w:t>
      </w:r>
      <w:r w:rsidRPr="00A011C6">
        <w:rPr>
          <w:szCs w:val="24"/>
          <w:lang w:val="fr-CA"/>
        </w:rPr>
        <w:t>original</w:t>
      </w:r>
      <w:r>
        <w:rPr>
          <w:szCs w:val="24"/>
          <w:lang w:val="fr-CA"/>
        </w:rPr>
        <w:t>; par. 50</w:t>
      </w:r>
      <w:r w:rsidR="00EB1DAC">
        <w:rPr>
          <w:szCs w:val="24"/>
          <w:lang w:val="fr-CA"/>
        </w:rPr>
        <w:t>.</w:t>
      </w:r>
      <w:r w:rsidRPr="00A011C6">
        <w:rPr>
          <w:szCs w:val="24"/>
          <w:lang w:val="fr-CA"/>
        </w:rPr>
        <w:t>]</w:t>
      </w:r>
    </w:p>
    <w:p w:rsidR="00AF49CF" w:rsidRPr="00A011C6" w:rsidRDefault="00314AE1" w:rsidP="00AF49CF">
      <w:pPr>
        <w:pStyle w:val="ParaNoNdepar-AltN"/>
        <w:rPr>
          <w:lang w:val="fr-CA"/>
        </w:rPr>
      </w:pPr>
      <w:r>
        <w:rPr>
          <w:lang w:val="fr-CA"/>
        </w:rPr>
        <w:t>Dans ce passage, le J</w:t>
      </w:r>
      <w:r w:rsidR="00AF49CF" w:rsidRPr="00A011C6">
        <w:rPr>
          <w:lang w:val="fr-CA"/>
        </w:rPr>
        <w:t xml:space="preserve">uge en chef </w:t>
      </w:r>
      <w:r w:rsidR="00AF49CF">
        <w:rPr>
          <w:lang w:val="fr-CA"/>
        </w:rPr>
        <w:t xml:space="preserve">évoque </w:t>
      </w:r>
      <w:r w:rsidR="00AF49CF" w:rsidRPr="00A011C6">
        <w:rPr>
          <w:lang w:val="fr-CA"/>
        </w:rPr>
        <w:t>deux différences qui «</w:t>
      </w:r>
      <w:r w:rsidR="00AF49CF">
        <w:rPr>
          <w:lang w:val="fr-CA"/>
        </w:rPr>
        <w:t> </w:t>
      </w:r>
      <w:r w:rsidR="00AF49CF" w:rsidRPr="00A011C6">
        <w:rPr>
          <w:lang w:val="fr-CA"/>
        </w:rPr>
        <w:t>pourrai[en]t bien fonder une différence juridique utile » entre la contrainte et la légitime défense</w:t>
      </w:r>
      <w:r w:rsidR="00AF49CF">
        <w:rPr>
          <w:lang w:val="fr-CA"/>
        </w:rPr>
        <w:t> </w:t>
      </w:r>
      <w:r>
        <w:rPr>
          <w:lang w:val="fr-CA"/>
        </w:rPr>
        <w:t>(</w:t>
      </w:r>
      <w:r w:rsidR="00AF49CF">
        <w:rPr>
          <w:lang w:val="fr-CA"/>
        </w:rPr>
        <w:t>par. </w:t>
      </w:r>
      <w:r w:rsidR="00AF49CF" w:rsidRPr="00A011C6">
        <w:rPr>
          <w:lang w:val="fr-CA"/>
        </w:rPr>
        <w:t>50</w:t>
      </w:r>
      <w:r>
        <w:rPr>
          <w:lang w:val="fr-CA"/>
        </w:rPr>
        <w:t>)</w:t>
      </w:r>
      <w:r w:rsidR="00AF49CF" w:rsidRPr="00A011C6">
        <w:rPr>
          <w:lang w:val="fr-CA"/>
        </w:rPr>
        <w:t xml:space="preserve">. </w:t>
      </w:r>
    </w:p>
    <w:p w:rsidR="00AF49CF" w:rsidRPr="00A011C6" w:rsidRDefault="00AF49CF" w:rsidP="00AF49CF">
      <w:pPr>
        <w:pStyle w:val="ParaNoNdepar-AltN"/>
        <w:rPr>
          <w:lang w:val="fr-CA"/>
        </w:rPr>
      </w:pPr>
      <w:r w:rsidRPr="00A011C6">
        <w:rPr>
          <w:lang w:val="fr-CA"/>
        </w:rPr>
        <w:t>Premièrement, la légitime défense repose sur le principe voulant qu</w:t>
      </w:r>
      <w:r>
        <w:rPr>
          <w:lang w:val="fr-CA"/>
        </w:rPr>
        <w:t>’</w:t>
      </w:r>
      <w:r w:rsidRPr="00A011C6">
        <w:rPr>
          <w:lang w:val="fr-CA"/>
        </w:rPr>
        <w:t>il est légitime, dans des circonstances bien définies, d</w:t>
      </w:r>
      <w:r>
        <w:rPr>
          <w:lang w:val="fr-CA"/>
        </w:rPr>
        <w:t>’opposer</w:t>
      </w:r>
      <w:r w:rsidRPr="00A011C6">
        <w:rPr>
          <w:lang w:val="fr-CA"/>
        </w:rPr>
        <w:t xml:space="preserve"> </w:t>
      </w:r>
      <w:r>
        <w:rPr>
          <w:lang w:val="fr-CA"/>
        </w:rPr>
        <w:t xml:space="preserve">la </w:t>
      </w:r>
      <w:r w:rsidRPr="00A011C6">
        <w:rPr>
          <w:lang w:val="fr-CA"/>
        </w:rPr>
        <w:t>force</w:t>
      </w:r>
      <w:r>
        <w:rPr>
          <w:lang w:val="fr-CA"/>
        </w:rPr>
        <w:t xml:space="preserve"> </w:t>
      </w:r>
      <w:r w:rsidRPr="00A011C6">
        <w:rPr>
          <w:lang w:val="fr-CA"/>
        </w:rPr>
        <w:t>à la force (ou aux menaces d</w:t>
      </w:r>
      <w:r>
        <w:rPr>
          <w:lang w:val="fr-CA"/>
        </w:rPr>
        <w:t>’</w:t>
      </w:r>
      <w:r w:rsidRPr="00A011C6">
        <w:rPr>
          <w:lang w:val="fr-CA"/>
        </w:rPr>
        <w:t>employer la force)</w:t>
      </w:r>
      <w:r>
        <w:rPr>
          <w:lang w:val="fr-CA"/>
        </w:rPr>
        <w:t> :</w:t>
      </w:r>
      <w:r w:rsidRPr="00A011C6">
        <w:rPr>
          <w:lang w:val="fr-CA"/>
        </w:rPr>
        <w:t xml:space="preserve"> </w:t>
      </w:r>
      <w:r w:rsidRPr="00A011C6">
        <w:rPr>
          <w:smallCaps/>
          <w:lang w:val="fr-CA"/>
        </w:rPr>
        <w:t>[traduction]</w:t>
      </w:r>
      <w:r w:rsidRPr="00A011C6">
        <w:rPr>
          <w:lang w:val="fr-CA"/>
        </w:rPr>
        <w:t xml:space="preserve"> « une personne qui est illégitimement menacée ou agressée doit avoir le droit de rép</w:t>
      </w:r>
      <w:r>
        <w:rPr>
          <w:lang w:val="fr-CA"/>
        </w:rPr>
        <w:t>l</w:t>
      </w:r>
      <w:r w:rsidRPr="00A011C6">
        <w:rPr>
          <w:lang w:val="fr-CA"/>
        </w:rPr>
        <w:t>iquer »</w:t>
      </w:r>
      <w:r>
        <w:rPr>
          <w:lang w:val="fr-CA"/>
        </w:rPr>
        <w:t> </w:t>
      </w:r>
      <w:r w:rsidR="00314AE1">
        <w:rPr>
          <w:lang w:val="fr-CA"/>
        </w:rPr>
        <w:t>(</w:t>
      </w:r>
      <w:r w:rsidRPr="00A011C6">
        <w:rPr>
          <w:lang w:val="fr-CA"/>
        </w:rPr>
        <w:t>M</w:t>
      </w:r>
      <w:r>
        <w:rPr>
          <w:lang w:val="fr-CA"/>
        </w:rPr>
        <w:t>. </w:t>
      </w:r>
      <w:r w:rsidRPr="00A011C6">
        <w:rPr>
          <w:lang w:val="fr-CA"/>
        </w:rPr>
        <w:t xml:space="preserve">Manning et </w:t>
      </w:r>
      <w:r>
        <w:rPr>
          <w:lang w:val="fr-CA"/>
        </w:rPr>
        <w:t>P. </w:t>
      </w:r>
      <w:r w:rsidRPr="00A011C6">
        <w:rPr>
          <w:lang w:val="fr-CA"/>
        </w:rPr>
        <w:t>Sankoff,</w:t>
      </w:r>
      <w:r w:rsidRPr="00A011C6">
        <w:rPr>
          <w:i/>
          <w:lang w:val="fr-CA"/>
        </w:rPr>
        <w:t xml:space="preserve"> Manning Mewett &amp; Sankoff</w:t>
      </w:r>
      <w:r w:rsidR="00C509EE">
        <w:rPr>
          <w:i/>
          <w:lang w:val="fr-CA"/>
        </w:rPr>
        <w:t xml:space="preserve"> </w:t>
      </w:r>
      <w:r>
        <w:rPr>
          <w:i/>
          <w:lang w:val="fr-CA"/>
        </w:rPr>
        <w:t xml:space="preserve">: </w:t>
      </w:r>
      <w:r w:rsidRPr="00A011C6">
        <w:rPr>
          <w:i/>
          <w:lang w:val="fr-CA"/>
        </w:rPr>
        <w:t>Criminal Law</w:t>
      </w:r>
      <w:r w:rsidRPr="00A011C6">
        <w:rPr>
          <w:lang w:val="fr-CA"/>
        </w:rPr>
        <w:t xml:space="preserve"> (4</w:t>
      </w:r>
      <w:r w:rsidR="00314AE1" w:rsidRPr="00314AE1">
        <w:rPr>
          <w:vertAlign w:val="superscript"/>
          <w:lang w:val="fr-CA"/>
        </w:rPr>
        <w:t>e</w:t>
      </w:r>
      <w:r w:rsidR="00C509EE">
        <w:rPr>
          <w:lang w:val="fr-CA"/>
        </w:rPr>
        <w:t xml:space="preserve"> é</w:t>
      </w:r>
      <w:r>
        <w:rPr>
          <w:lang w:val="fr-CA"/>
        </w:rPr>
        <w:t>d.</w:t>
      </w:r>
      <w:r w:rsidRPr="00A011C6">
        <w:rPr>
          <w:lang w:val="fr-CA"/>
        </w:rPr>
        <w:t xml:space="preserve"> 2009)</w:t>
      </w:r>
      <w:r>
        <w:rPr>
          <w:lang w:val="fr-CA"/>
        </w:rPr>
        <w:t>, p. </w:t>
      </w:r>
      <w:r w:rsidRPr="00A011C6">
        <w:rPr>
          <w:lang w:val="fr-CA"/>
        </w:rPr>
        <w:t>532</w:t>
      </w:r>
      <w:r w:rsidR="00314AE1">
        <w:rPr>
          <w:lang w:val="fr-CA"/>
        </w:rPr>
        <w:t>)</w:t>
      </w:r>
      <w:r w:rsidRPr="00A011C6">
        <w:rPr>
          <w:lang w:val="fr-CA"/>
        </w:rPr>
        <w:t xml:space="preserve">. </w:t>
      </w:r>
      <w:r>
        <w:rPr>
          <w:lang w:val="fr-CA"/>
        </w:rPr>
        <w:t xml:space="preserve"> </w:t>
      </w:r>
      <w:r w:rsidRPr="00A011C6">
        <w:rPr>
          <w:lang w:val="fr-CA"/>
        </w:rPr>
        <w:t>L</w:t>
      </w:r>
      <w:r>
        <w:rPr>
          <w:lang w:val="fr-CA"/>
        </w:rPr>
        <w:t>’</w:t>
      </w:r>
      <w:r w:rsidRPr="00A011C6">
        <w:rPr>
          <w:lang w:val="fr-CA"/>
        </w:rPr>
        <w:t>agresseur</w:t>
      </w:r>
      <w:r>
        <w:rPr>
          <w:lang w:val="fr-CA"/>
        </w:rPr>
        <w:noBreakHyphen/>
      </w:r>
      <w:r w:rsidRPr="00A011C6">
        <w:rPr>
          <w:lang w:val="fr-CA"/>
        </w:rPr>
        <w:t>victime, comme l</w:t>
      </w:r>
      <w:r>
        <w:rPr>
          <w:lang w:val="fr-CA"/>
        </w:rPr>
        <w:t>’</w:t>
      </w:r>
      <w:r w:rsidR="005434CA">
        <w:rPr>
          <w:lang w:val="fr-CA"/>
        </w:rPr>
        <w:t>affirme le J</w:t>
      </w:r>
      <w:r w:rsidRPr="00A011C6">
        <w:rPr>
          <w:lang w:val="fr-CA"/>
        </w:rPr>
        <w:t>uge en chef, « ne reçoit que ce qu</w:t>
      </w:r>
      <w:r>
        <w:rPr>
          <w:lang w:val="fr-CA"/>
        </w:rPr>
        <w:t>’</w:t>
      </w:r>
      <w:r w:rsidRPr="00A011C6">
        <w:rPr>
          <w:lang w:val="fr-CA"/>
        </w:rPr>
        <w:t>[il] mérite »</w:t>
      </w:r>
      <w:r>
        <w:rPr>
          <w:lang w:val="fr-CA"/>
        </w:rPr>
        <w:t> </w:t>
      </w:r>
      <w:r w:rsidR="00314AE1">
        <w:rPr>
          <w:lang w:val="fr-CA"/>
        </w:rPr>
        <w:t>(</w:t>
      </w:r>
      <w:r>
        <w:rPr>
          <w:lang w:val="fr-CA"/>
        </w:rPr>
        <w:t>par. </w:t>
      </w:r>
      <w:r w:rsidRPr="00A011C6">
        <w:rPr>
          <w:lang w:val="fr-CA"/>
        </w:rPr>
        <w:t>50</w:t>
      </w:r>
      <w:r w:rsidR="00314AE1">
        <w:rPr>
          <w:lang w:val="fr-CA"/>
        </w:rPr>
        <w:t>)</w:t>
      </w:r>
      <w:r w:rsidRPr="00A011C6">
        <w:rPr>
          <w:lang w:val="fr-CA"/>
        </w:rPr>
        <w:t xml:space="preserve">. </w:t>
      </w:r>
      <w:r>
        <w:rPr>
          <w:lang w:val="fr-CA"/>
        </w:rPr>
        <w:t xml:space="preserve"> Cependant</w:t>
      </w:r>
      <w:r w:rsidRPr="00A011C6">
        <w:rPr>
          <w:lang w:val="fr-CA"/>
        </w:rPr>
        <w:t>, dans les cas de contrainte et de nécessité, la victime est généralement un tiers innocent</w:t>
      </w:r>
      <w:r>
        <w:rPr>
          <w:lang w:val="fr-CA"/>
        </w:rPr>
        <w:t> </w:t>
      </w:r>
      <w:r w:rsidR="00314AE1">
        <w:rPr>
          <w:lang w:val="fr-CA"/>
        </w:rPr>
        <w:t>(</w:t>
      </w:r>
      <w:r w:rsidRPr="00A011C6">
        <w:rPr>
          <w:lang w:val="fr-CA"/>
        </w:rPr>
        <w:t>voir D</w:t>
      </w:r>
      <w:r>
        <w:rPr>
          <w:lang w:val="fr-CA"/>
        </w:rPr>
        <w:t>. </w:t>
      </w:r>
      <w:r w:rsidRPr="00A011C6">
        <w:rPr>
          <w:lang w:val="fr-CA"/>
        </w:rPr>
        <w:t>Stuart,</w:t>
      </w:r>
      <w:r w:rsidRPr="00A011C6">
        <w:rPr>
          <w:i/>
          <w:lang w:val="fr-CA"/>
        </w:rPr>
        <w:t xml:space="preserve"> Canadian Criminal Law</w:t>
      </w:r>
      <w:r>
        <w:rPr>
          <w:i/>
          <w:lang w:val="fr-CA"/>
        </w:rPr>
        <w:t> : A Treatise</w:t>
      </w:r>
      <w:r w:rsidRPr="00A011C6">
        <w:rPr>
          <w:lang w:val="fr-CA"/>
        </w:rPr>
        <w:t xml:space="preserve"> (6</w:t>
      </w:r>
      <w:r w:rsidR="00314AE1" w:rsidRPr="00314AE1">
        <w:rPr>
          <w:vertAlign w:val="superscript"/>
          <w:lang w:val="fr-CA"/>
        </w:rPr>
        <w:t>e</w:t>
      </w:r>
      <w:r w:rsidR="00C509EE">
        <w:rPr>
          <w:lang w:val="fr-CA"/>
        </w:rPr>
        <w:t xml:space="preserve"> é</w:t>
      </w:r>
      <w:r>
        <w:rPr>
          <w:lang w:val="fr-CA"/>
        </w:rPr>
        <w:t>d.</w:t>
      </w:r>
      <w:r w:rsidRPr="00A011C6">
        <w:rPr>
          <w:lang w:val="fr-CA"/>
        </w:rPr>
        <w:t xml:space="preserve"> 2011)</w:t>
      </w:r>
      <w:r>
        <w:rPr>
          <w:lang w:val="fr-CA"/>
        </w:rPr>
        <w:t>, p. </w:t>
      </w:r>
      <w:r w:rsidRPr="00A011C6">
        <w:rPr>
          <w:lang w:val="fr-CA"/>
        </w:rPr>
        <w:t>511</w:t>
      </w:r>
      <w:r w:rsidR="00314AE1">
        <w:rPr>
          <w:lang w:val="fr-CA"/>
        </w:rPr>
        <w:t>)</w:t>
      </w:r>
      <w:r w:rsidRPr="00A011C6">
        <w:rPr>
          <w:lang w:val="fr-CA"/>
        </w:rPr>
        <w:t>.  Deuxièmement, dans les cas de légitime défense, la victime agresse ou menace tout simplement l</w:t>
      </w:r>
      <w:r>
        <w:rPr>
          <w:lang w:val="fr-CA"/>
        </w:rPr>
        <w:t>’</w:t>
      </w:r>
      <w:r w:rsidRPr="00A011C6">
        <w:rPr>
          <w:lang w:val="fr-CA"/>
        </w:rPr>
        <w:t>accusé; le motif de l</w:t>
      </w:r>
      <w:r>
        <w:rPr>
          <w:lang w:val="fr-CA"/>
        </w:rPr>
        <w:t>’</w:t>
      </w:r>
      <w:r w:rsidRPr="00A011C6">
        <w:rPr>
          <w:lang w:val="fr-CA"/>
        </w:rPr>
        <w:t>agression ou des menaces n</w:t>
      </w:r>
      <w:r>
        <w:rPr>
          <w:lang w:val="fr-CA"/>
        </w:rPr>
        <w:t>’</w:t>
      </w:r>
      <w:r w:rsidRPr="00A011C6">
        <w:rPr>
          <w:lang w:val="fr-CA"/>
        </w:rPr>
        <w:t>a pas d</w:t>
      </w:r>
      <w:r>
        <w:rPr>
          <w:lang w:val="fr-CA"/>
        </w:rPr>
        <w:t>’</w:t>
      </w:r>
      <w:r w:rsidRPr="00A011C6">
        <w:rPr>
          <w:lang w:val="fr-CA"/>
        </w:rPr>
        <w:t xml:space="preserve">importance.  Dans les cas de contrainte, par contre, </w:t>
      </w:r>
      <w:r w:rsidRPr="00D44431">
        <w:rPr>
          <w:i/>
          <w:lang w:val="fr-CA"/>
        </w:rPr>
        <w:t>la menace a pour but</w:t>
      </w:r>
      <w:r>
        <w:rPr>
          <w:lang w:val="fr-CA"/>
        </w:rPr>
        <w:t xml:space="preserve"> de forcer</w:t>
      </w:r>
      <w:r w:rsidRPr="00A011C6">
        <w:rPr>
          <w:lang w:val="fr-CA"/>
        </w:rPr>
        <w:t xml:space="preserve"> l</w:t>
      </w:r>
      <w:r>
        <w:rPr>
          <w:lang w:val="fr-CA"/>
        </w:rPr>
        <w:t>’</w:t>
      </w:r>
      <w:r w:rsidRPr="00A011C6">
        <w:rPr>
          <w:lang w:val="fr-CA"/>
        </w:rPr>
        <w:t xml:space="preserve">accusé à commettre une infraction. </w:t>
      </w:r>
      <w:r>
        <w:rPr>
          <w:lang w:val="fr-CA"/>
        </w:rPr>
        <w:t xml:space="preserve"> En clair</w:t>
      </w:r>
      <w:r w:rsidRPr="00A011C6">
        <w:rPr>
          <w:lang w:val="fr-CA"/>
        </w:rPr>
        <w:t xml:space="preserve">, la légitime défense </w:t>
      </w:r>
      <w:r>
        <w:rPr>
          <w:lang w:val="fr-CA"/>
        </w:rPr>
        <w:t>constitue</w:t>
      </w:r>
      <w:r w:rsidRPr="00A011C6">
        <w:rPr>
          <w:lang w:val="fr-CA"/>
        </w:rPr>
        <w:t xml:space="preserve"> une tentative </w:t>
      </w:r>
      <w:r>
        <w:rPr>
          <w:lang w:val="fr-CA"/>
        </w:rPr>
        <w:t xml:space="preserve">par la victime </w:t>
      </w:r>
      <w:r w:rsidRPr="00A011C6">
        <w:rPr>
          <w:lang w:val="fr-CA"/>
        </w:rPr>
        <w:t xml:space="preserve">de mettre fin aux menaces ou aux agressions </w:t>
      </w:r>
      <w:r>
        <w:rPr>
          <w:lang w:val="fr-CA"/>
        </w:rPr>
        <w:t>qu’elle subit</w:t>
      </w:r>
      <w:r w:rsidRPr="00A011C6">
        <w:rPr>
          <w:lang w:val="fr-CA"/>
        </w:rPr>
        <w:t xml:space="preserve"> en </w:t>
      </w:r>
      <w:r>
        <w:rPr>
          <w:lang w:val="fr-CA"/>
        </w:rPr>
        <w:t xml:space="preserve">opposant la force </w:t>
      </w:r>
      <w:r w:rsidRPr="00A011C6">
        <w:rPr>
          <w:lang w:val="fr-CA"/>
        </w:rPr>
        <w:t>à la force;</w:t>
      </w:r>
      <w:r>
        <w:rPr>
          <w:lang w:val="fr-CA"/>
        </w:rPr>
        <w:t xml:space="preserve"> pour sa part,</w:t>
      </w:r>
      <w:r w:rsidRPr="00A011C6">
        <w:rPr>
          <w:lang w:val="fr-CA"/>
        </w:rPr>
        <w:t xml:space="preserve"> la contrainte</w:t>
      </w:r>
      <w:r>
        <w:rPr>
          <w:lang w:val="fr-CA"/>
        </w:rPr>
        <w:t xml:space="preserve"> amène une personne </w:t>
      </w:r>
      <w:r w:rsidRPr="00A011C6">
        <w:rPr>
          <w:lang w:val="fr-CA"/>
        </w:rPr>
        <w:t>à succomber aux menaces en commettant une infraction.</w:t>
      </w:r>
    </w:p>
    <w:p w:rsidR="00AF49CF" w:rsidRPr="00A011C6" w:rsidRDefault="00AF49CF" w:rsidP="00AF49CF">
      <w:pPr>
        <w:pStyle w:val="ParaNoNdepar-AltN"/>
        <w:rPr>
          <w:lang w:val="fr-CA"/>
        </w:rPr>
      </w:pPr>
      <w:r w:rsidRPr="00A011C6">
        <w:rPr>
          <w:lang w:val="fr-CA"/>
        </w:rPr>
        <w:t>Toutefois, il ne s</w:t>
      </w:r>
      <w:r>
        <w:rPr>
          <w:lang w:val="fr-CA"/>
        </w:rPr>
        <w:t>’</w:t>
      </w:r>
      <w:r w:rsidRPr="00A011C6">
        <w:rPr>
          <w:lang w:val="fr-CA"/>
        </w:rPr>
        <w:t xml:space="preserve">agit pas des seules différences entre la contrainte et la légitime défense. </w:t>
      </w:r>
      <w:r>
        <w:rPr>
          <w:lang w:val="fr-CA"/>
        </w:rPr>
        <w:t xml:space="preserve"> En effet, selon nous,</w:t>
      </w:r>
      <w:r w:rsidRPr="00A011C6">
        <w:rPr>
          <w:lang w:val="fr-CA"/>
        </w:rPr>
        <w:t xml:space="preserve"> deux autres différences importantes doivent être prises en compte.</w:t>
      </w:r>
    </w:p>
    <w:p w:rsidR="00AF49CF" w:rsidRPr="00A011C6" w:rsidRDefault="00AF49CF" w:rsidP="00AF49CF">
      <w:pPr>
        <w:pStyle w:val="ParaNoNdepar-AltN"/>
        <w:rPr>
          <w:lang w:val="fr-CA"/>
        </w:rPr>
      </w:pPr>
      <w:r w:rsidRPr="00A011C6">
        <w:rPr>
          <w:lang w:val="fr-CA"/>
        </w:rPr>
        <w:t>L</w:t>
      </w:r>
      <w:r>
        <w:rPr>
          <w:lang w:val="fr-CA"/>
        </w:rPr>
        <w:t>’une de celles</w:t>
      </w:r>
      <w:r>
        <w:rPr>
          <w:lang w:val="fr-CA"/>
        </w:rPr>
        <w:noBreakHyphen/>
        <w:t xml:space="preserve">ci réside dans le fait </w:t>
      </w:r>
      <w:r w:rsidRPr="00A011C6">
        <w:rPr>
          <w:lang w:val="fr-CA"/>
        </w:rPr>
        <w:t xml:space="preserve">que la légitime défense est entièrement codifiée dans le </w:t>
      </w:r>
      <w:r w:rsidRPr="00A011C6">
        <w:rPr>
          <w:i/>
          <w:lang w:val="fr-CA"/>
        </w:rPr>
        <w:t>Code criminel</w:t>
      </w:r>
      <w:r w:rsidRPr="00A011C6">
        <w:rPr>
          <w:lang w:val="fr-CA"/>
        </w:rPr>
        <w:t xml:space="preserve">.  </w:t>
      </w:r>
      <w:r>
        <w:rPr>
          <w:lang w:val="fr-CA"/>
        </w:rPr>
        <w:t>Ainsi,</w:t>
      </w:r>
      <w:r w:rsidRPr="00A011C6">
        <w:rPr>
          <w:lang w:val="fr-CA"/>
        </w:rPr>
        <w:t xml:space="preserve"> les paramètres de la légitime défense</w:t>
      </w:r>
      <w:r>
        <w:rPr>
          <w:lang w:val="fr-CA"/>
        </w:rPr>
        <w:t xml:space="preserve"> sont définis dans leur intégralité par le législateur et ne se retrouvent plus </w:t>
      </w:r>
      <w:r w:rsidRPr="00A011C6">
        <w:rPr>
          <w:lang w:val="fr-CA"/>
        </w:rPr>
        <w:t xml:space="preserve">dans la common law, </w:t>
      </w:r>
      <w:r>
        <w:rPr>
          <w:lang w:val="fr-CA"/>
        </w:rPr>
        <w:t xml:space="preserve">pas </w:t>
      </w:r>
      <w:r w:rsidRPr="00A011C6">
        <w:rPr>
          <w:lang w:val="fr-CA"/>
        </w:rPr>
        <w:t xml:space="preserve">même en partie. </w:t>
      </w:r>
      <w:r>
        <w:rPr>
          <w:lang w:val="fr-CA"/>
        </w:rPr>
        <w:t xml:space="preserve"> P</w:t>
      </w:r>
      <w:r w:rsidRPr="00A011C6">
        <w:rPr>
          <w:lang w:val="fr-CA"/>
        </w:rPr>
        <w:t xml:space="preserve">ar contre, </w:t>
      </w:r>
      <w:r>
        <w:rPr>
          <w:lang w:val="fr-CA"/>
        </w:rPr>
        <w:t xml:space="preserve">même si elle </w:t>
      </w:r>
      <w:r w:rsidRPr="00A011C6">
        <w:rPr>
          <w:lang w:val="fr-CA"/>
        </w:rPr>
        <w:t>est en partie codifiée</w:t>
      </w:r>
      <w:r>
        <w:rPr>
          <w:lang w:val="fr-CA"/>
        </w:rPr>
        <w:t>,</w:t>
      </w:r>
      <w:r w:rsidRPr="00A011C6">
        <w:rPr>
          <w:lang w:val="fr-CA"/>
        </w:rPr>
        <w:t xml:space="preserve"> </w:t>
      </w:r>
      <w:r>
        <w:rPr>
          <w:lang w:val="fr-CA"/>
        </w:rPr>
        <w:t xml:space="preserve">la contrainte demeure </w:t>
      </w:r>
      <w:r w:rsidRPr="00A011C6">
        <w:rPr>
          <w:lang w:val="fr-CA"/>
        </w:rPr>
        <w:t xml:space="preserve">en partie régie par </w:t>
      </w:r>
      <w:r>
        <w:rPr>
          <w:lang w:val="fr-CA"/>
        </w:rPr>
        <w:t>la jurisprudence que le par. </w:t>
      </w:r>
      <w:r w:rsidRPr="00A011C6">
        <w:rPr>
          <w:lang w:val="fr-CA"/>
        </w:rPr>
        <w:t xml:space="preserve">8(3) du </w:t>
      </w:r>
      <w:r w:rsidRPr="00A011C6">
        <w:rPr>
          <w:i/>
          <w:lang w:val="fr-CA"/>
        </w:rPr>
        <w:t>Code</w:t>
      </w:r>
      <w:r>
        <w:rPr>
          <w:lang w:val="fr-CA"/>
        </w:rPr>
        <w:t xml:space="preserve"> garde en vigueur</w:t>
      </w:r>
      <w:r w:rsidRPr="00A011C6">
        <w:rPr>
          <w:lang w:val="fr-CA"/>
        </w:rPr>
        <w:t xml:space="preserve">. </w:t>
      </w:r>
    </w:p>
    <w:p w:rsidR="00AF49CF" w:rsidRPr="00A011C6" w:rsidRDefault="00AF49CF" w:rsidP="00AF49CF">
      <w:pPr>
        <w:pStyle w:val="ParaNoNdepar-AltN"/>
        <w:rPr>
          <w:lang w:val="fr-CA"/>
        </w:rPr>
      </w:pPr>
      <w:r>
        <w:rPr>
          <w:lang w:val="fr-CA"/>
        </w:rPr>
        <w:t xml:space="preserve">Une autre de ces différences concerne </w:t>
      </w:r>
      <w:r w:rsidRPr="00A011C6">
        <w:rPr>
          <w:lang w:val="fr-CA"/>
        </w:rPr>
        <w:t>les assises</w:t>
      </w:r>
      <w:r>
        <w:rPr>
          <w:lang w:val="fr-CA"/>
        </w:rPr>
        <w:t xml:space="preserve"> respectives</w:t>
      </w:r>
      <w:r w:rsidRPr="00A011C6">
        <w:rPr>
          <w:lang w:val="fr-CA"/>
        </w:rPr>
        <w:t xml:space="preserve"> de</w:t>
      </w:r>
      <w:r>
        <w:rPr>
          <w:lang w:val="fr-CA"/>
        </w:rPr>
        <w:t xml:space="preserve"> ce</w:t>
      </w:r>
      <w:r w:rsidRPr="00A011C6">
        <w:rPr>
          <w:lang w:val="fr-CA"/>
        </w:rPr>
        <w:t>s moyens de défense</w:t>
      </w:r>
      <w:r>
        <w:rPr>
          <w:lang w:val="fr-CA"/>
        </w:rPr>
        <w:t>, nettement distinctes les unes des autres.  L</w:t>
      </w:r>
      <w:r w:rsidRPr="00A011C6">
        <w:rPr>
          <w:lang w:val="fr-CA"/>
        </w:rPr>
        <w:t>e caractère involontaire</w:t>
      </w:r>
      <w:r>
        <w:rPr>
          <w:lang w:val="fr-CA"/>
        </w:rPr>
        <w:t xml:space="preserve"> au sens moral constitue l</w:t>
      </w:r>
      <w:r w:rsidRPr="00A011C6">
        <w:rPr>
          <w:lang w:val="fr-CA"/>
        </w:rPr>
        <w:t>e principe sous</w:t>
      </w:r>
      <w:r>
        <w:rPr>
          <w:lang w:val="fr-CA"/>
        </w:rPr>
        <w:noBreakHyphen/>
      </w:r>
      <w:r w:rsidRPr="00A011C6">
        <w:rPr>
          <w:lang w:val="fr-CA"/>
        </w:rPr>
        <w:t>jacent à la contrainte</w:t>
      </w:r>
      <w:r>
        <w:rPr>
          <w:lang w:val="fr-CA"/>
        </w:rPr>
        <w:t xml:space="preserve">. </w:t>
      </w:r>
      <w:r w:rsidRPr="00A011C6">
        <w:rPr>
          <w:lang w:val="fr-CA"/>
        </w:rPr>
        <w:t xml:space="preserve"> </w:t>
      </w:r>
      <w:r>
        <w:rPr>
          <w:lang w:val="fr-CA"/>
        </w:rPr>
        <w:t>L</w:t>
      </w:r>
      <w:r w:rsidRPr="00F33E23">
        <w:rPr>
          <w:rFonts w:cs="Times New Roman"/>
          <w:lang w:val="fr-CA"/>
        </w:rPr>
        <w:t>’</w:t>
      </w:r>
      <w:r>
        <w:rPr>
          <w:lang w:val="fr-CA"/>
        </w:rPr>
        <w:t xml:space="preserve">arrêt </w:t>
      </w:r>
      <w:r w:rsidRPr="00A011C6">
        <w:rPr>
          <w:i/>
          <w:lang w:val="fr-CA"/>
        </w:rPr>
        <w:t>R. c. Ruzic</w:t>
      </w:r>
      <w:r>
        <w:rPr>
          <w:lang w:val="fr-CA"/>
        </w:rPr>
        <w:t>,</w:t>
      </w:r>
      <w:r w:rsidRPr="00A011C6">
        <w:rPr>
          <w:lang w:val="fr-CA"/>
        </w:rPr>
        <w:t xml:space="preserve"> 2001 CSC 24</w:t>
      </w:r>
      <w:r>
        <w:rPr>
          <w:lang w:val="fr-CA"/>
        </w:rPr>
        <w:t xml:space="preserve">, </w:t>
      </w:r>
      <w:r>
        <w:rPr>
          <w:iCs/>
          <w:lang w:val="fr-CA"/>
        </w:rPr>
        <w:t>[2001] 1</w:t>
      </w:r>
      <w:r w:rsidRPr="00A011C6">
        <w:rPr>
          <w:iCs/>
          <w:lang w:val="fr-CA"/>
        </w:rPr>
        <w:t xml:space="preserve"> R.C.S.</w:t>
      </w:r>
      <w:r w:rsidRPr="00A011C6">
        <w:rPr>
          <w:i/>
          <w:iCs/>
          <w:lang w:val="fr-CA"/>
        </w:rPr>
        <w:t xml:space="preserve"> </w:t>
      </w:r>
      <w:r>
        <w:rPr>
          <w:iCs/>
          <w:lang w:val="fr-CA"/>
        </w:rPr>
        <w:t>687,</w:t>
      </w:r>
      <w:r w:rsidRPr="00A011C6">
        <w:rPr>
          <w:iCs/>
          <w:lang w:val="fr-CA"/>
        </w:rPr>
        <w:t xml:space="preserve"> </w:t>
      </w:r>
      <w:r>
        <w:rPr>
          <w:lang w:val="fr-CA"/>
        </w:rPr>
        <w:t>par. </w:t>
      </w:r>
      <w:r w:rsidRPr="00A011C6">
        <w:rPr>
          <w:lang w:val="fr-CA"/>
        </w:rPr>
        <w:t>47</w:t>
      </w:r>
      <w:r>
        <w:rPr>
          <w:lang w:val="fr-CA"/>
        </w:rPr>
        <w:t>, a reconnu ce principe comme un</w:t>
      </w:r>
      <w:r w:rsidRPr="00A011C6">
        <w:rPr>
          <w:lang w:val="fr-CA"/>
        </w:rPr>
        <w:t xml:space="preserve"> principe de justice fondamentale</w:t>
      </w:r>
      <w:r>
        <w:rPr>
          <w:lang w:val="fr-CA"/>
        </w:rPr>
        <w:t> :</w:t>
      </w:r>
      <w:r w:rsidRPr="00A011C6">
        <w:rPr>
          <w:lang w:val="fr-CA"/>
        </w:rPr>
        <w:t xml:space="preserve"> « </w:t>
      </w:r>
      <w:r w:rsidR="00C509EE">
        <w:rPr>
          <w:lang w:val="fr-CA"/>
        </w:rPr>
        <w:t>U</w:t>
      </w:r>
      <w:r w:rsidRPr="00A011C6">
        <w:rPr>
          <w:lang w:val="fr-CA"/>
        </w:rPr>
        <w:t>n principe de justice fondamentale veut que seule la conduite volontaire — le comportement qui résulte du libre arbitre d</w:t>
      </w:r>
      <w:r>
        <w:rPr>
          <w:lang w:val="fr-CA"/>
        </w:rPr>
        <w:t>’</w:t>
      </w:r>
      <w:r w:rsidRPr="00A011C6">
        <w:rPr>
          <w:lang w:val="fr-CA"/>
        </w:rPr>
        <w:t>une personne qui a la maîtrise de son corps, en l</w:t>
      </w:r>
      <w:r>
        <w:rPr>
          <w:lang w:val="fr-CA"/>
        </w:rPr>
        <w:t>’</w:t>
      </w:r>
      <w:r w:rsidRPr="00A011C6">
        <w:rPr>
          <w:lang w:val="fr-CA"/>
        </w:rPr>
        <w:t>absence de toute contrainte extérieure — entraîne l</w:t>
      </w:r>
      <w:r>
        <w:rPr>
          <w:lang w:val="fr-CA"/>
        </w:rPr>
        <w:t>’</w:t>
      </w:r>
      <w:r w:rsidRPr="00A011C6">
        <w:rPr>
          <w:lang w:val="fr-CA"/>
        </w:rPr>
        <w:t>imputation de la responsabilité criminelle et la stigmatisation que cette dernière provoque</w:t>
      </w:r>
      <w:r w:rsidR="00F278A8">
        <w:rPr>
          <w:lang w:val="fr-CA"/>
        </w:rPr>
        <w:t>.</w:t>
      </w:r>
      <w:r w:rsidRPr="00A011C6">
        <w:rPr>
          <w:lang w:val="fr-CA"/>
        </w:rPr>
        <w:t> »</w:t>
      </w:r>
      <w:r>
        <w:rPr>
          <w:lang w:val="fr-CA"/>
        </w:rPr>
        <w:t xml:space="preserve">  </w:t>
      </w:r>
      <w:r w:rsidRPr="00A011C6">
        <w:rPr>
          <w:lang w:val="fr-CA"/>
        </w:rPr>
        <w:t>C</w:t>
      </w:r>
      <w:r>
        <w:rPr>
          <w:lang w:val="fr-CA"/>
        </w:rPr>
        <w:t>’est sur cette base</w:t>
      </w:r>
      <w:r w:rsidRPr="00A011C6">
        <w:rPr>
          <w:lang w:val="fr-CA"/>
        </w:rPr>
        <w:t xml:space="preserve"> que nous constituons les </w:t>
      </w:r>
      <w:r>
        <w:rPr>
          <w:lang w:val="fr-CA"/>
        </w:rPr>
        <w:t xml:space="preserve">moyens de </w:t>
      </w:r>
      <w:r w:rsidRPr="00A011C6">
        <w:rPr>
          <w:lang w:val="fr-CA"/>
        </w:rPr>
        <w:t>défens</w:t>
      </w:r>
      <w:r>
        <w:rPr>
          <w:lang w:val="fr-CA"/>
        </w:rPr>
        <w:t xml:space="preserve">e fondés sur la contrainte et la </w:t>
      </w:r>
      <w:r w:rsidRPr="00A011C6">
        <w:rPr>
          <w:lang w:val="fr-CA"/>
        </w:rPr>
        <w:t xml:space="preserve">nécessité. </w:t>
      </w:r>
      <w:r>
        <w:rPr>
          <w:lang w:val="fr-CA"/>
        </w:rPr>
        <w:t xml:space="preserve"> </w:t>
      </w:r>
      <w:r w:rsidRPr="00A011C6">
        <w:rPr>
          <w:lang w:val="fr-CA"/>
        </w:rPr>
        <w:t>Comme le juge en chef Lamer l</w:t>
      </w:r>
      <w:r>
        <w:rPr>
          <w:lang w:val="fr-CA"/>
        </w:rPr>
        <w:t>’</w:t>
      </w:r>
      <w:r w:rsidRPr="00A011C6">
        <w:rPr>
          <w:lang w:val="fr-CA"/>
        </w:rPr>
        <w:t xml:space="preserve">a </w:t>
      </w:r>
      <w:r>
        <w:rPr>
          <w:lang w:val="fr-CA"/>
        </w:rPr>
        <w:t>affirmé</w:t>
      </w:r>
      <w:r w:rsidRPr="00A011C6">
        <w:rPr>
          <w:lang w:val="fr-CA"/>
        </w:rPr>
        <w:t xml:space="preserve"> dans </w:t>
      </w:r>
      <w:r w:rsidRPr="00A011C6">
        <w:rPr>
          <w:i/>
          <w:lang w:val="fr-CA"/>
        </w:rPr>
        <w:t>Hibbert</w:t>
      </w:r>
      <w:r w:rsidRPr="00A011C6">
        <w:rPr>
          <w:lang w:val="fr-CA"/>
        </w:rPr>
        <w:t>, le concept sous</w:t>
      </w:r>
      <w:r>
        <w:rPr>
          <w:lang w:val="fr-CA"/>
        </w:rPr>
        <w:noBreakHyphen/>
      </w:r>
      <w:r w:rsidRPr="00A011C6">
        <w:rPr>
          <w:lang w:val="fr-CA"/>
        </w:rPr>
        <w:t xml:space="preserve">jacent </w:t>
      </w:r>
      <w:r>
        <w:rPr>
          <w:lang w:val="fr-CA"/>
        </w:rPr>
        <w:t>aux</w:t>
      </w:r>
      <w:r w:rsidRPr="00A011C6">
        <w:rPr>
          <w:lang w:val="fr-CA"/>
        </w:rPr>
        <w:t xml:space="preserve"> deux moyens de défense est le « c</w:t>
      </w:r>
      <w:r>
        <w:rPr>
          <w:lang w:val="fr-CA"/>
        </w:rPr>
        <w:t>aractère involontaire normatif </w:t>
      </w:r>
      <w:r w:rsidRPr="00A011C6">
        <w:rPr>
          <w:lang w:val="fr-CA"/>
        </w:rPr>
        <w:t>»</w:t>
      </w:r>
      <w:r>
        <w:rPr>
          <w:lang w:val="fr-CA"/>
        </w:rPr>
        <w:t>;</w:t>
      </w:r>
      <w:r w:rsidRPr="00A011C6">
        <w:rPr>
          <w:lang w:val="fr-CA"/>
        </w:rPr>
        <w:t xml:space="preserve"> en d</w:t>
      </w:r>
      <w:r>
        <w:rPr>
          <w:lang w:val="fr-CA"/>
        </w:rPr>
        <w:t>’</w:t>
      </w:r>
      <w:r w:rsidRPr="00A011C6">
        <w:rPr>
          <w:lang w:val="fr-CA"/>
        </w:rPr>
        <w:t>autres mots</w:t>
      </w:r>
      <w:r>
        <w:rPr>
          <w:lang w:val="fr-CA"/>
        </w:rPr>
        <w:t>,</w:t>
      </w:r>
      <w:r w:rsidRPr="00A011C6">
        <w:rPr>
          <w:lang w:val="fr-CA"/>
        </w:rPr>
        <w:t xml:space="preserve"> il </w:t>
      </w:r>
      <w:r>
        <w:rPr>
          <w:lang w:val="fr-CA"/>
        </w:rPr>
        <w:t>ne d</w:t>
      </w:r>
      <w:r w:rsidRPr="00A011C6">
        <w:rPr>
          <w:lang w:val="fr-CA"/>
        </w:rPr>
        <w:t>oit exister « </w:t>
      </w:r>
      <w:r w:rsidRPr="00A011C6">
        <w:rPr>
          <w:rFonts w:ascii="CG Times" w:hAnsi="CG Times"/>
          <w:spacing w:val="-3"/>
          <w:lang w:val="fr-CA"/>
        </w:rPr>
        <w:t xml:space="preserve">aucun </w:t>
      </w:r>
      <w:r w:rsidR="00314AE1">
        <w:rPr>
          <w:rFonts w:cs="Times New Roman"/>
          <w:spacing w:val="-3"/>
          <w:lang w:val="fr-CA"/>
        </w:rPr>
        <w:t>“</w:t>
      </w:r>
      <w:r w:rsidRPr="00A011C6">
        <w:rPr>
          <w:rFonts w:ascii="CG Times" w:hAnsi="CG Times"/>
          <w:spacing w:val="-3"/>
          <w:lang w:val="fr-CA"/>
        </w:rPr>
        <w:t>moyen de s</w:t>
      </w:r>
      <w:r>
        <w:rPr>
          <w:rFonts w:ascii="CG Times" w:hAnsi="CG Times"/>
          <w:spacing w:val="-3"/>
          <w:lang w:val="fr-CA"/>
        </w:rPr>
        <w:t>’</w:t>
      </w:r>
      <w:r w:rsidRPr="00A011C6">
        <w:rPr>
          <w:rFonts w:ascii="CG Times" w:hAnsi="CG Times"/>
          <w:spacing w:val="-3"/>
          <w:lang w:val="fr-CA"/>
        </w:rPr>
        <w:t>en sortir légalement</w:t>
      </w:r>
      <w:r w:rsidR="00314AE1">
        <w:rPr>
          <w:rFonts w:cs="Times New Roman"/>
          <w:spacing w:val="-3"/>
          <w:lang w:val="fr-CA"/>
        </w:rPr>
        <w:t>”</w:t>
      </w:r>
      <w:r w:rsidRPr="00A011C6">
        <w:rPr>
          <w:rFonts w:ascii="CG Times" w:hAnsi="CG Times"/>
          <w:spacing w:val="-3"/>
          <w:lang w:val="fr-CA"/>
        </w:rPr>
        <w:t> »</w:t>
      </w:r>
      <w:r>
        <w:rPr>
          <w:rFonts w:ascii="CG Times" w:hAnsi="CG Times"/>
          <w:spacing w:val="-3"/>
          <w:lang w:val="fr-CA"/>
        </w:rPr>
        <w:t xml:space="preserve"> </w:t>
      </w:r>
      <w:r w:rsidR="00250BB4">
        <w:rPr>
          <w:rFonts w:ascii="CG Times" w:hAnsi="CG Times"/>
          <w:spacing w:val="-3"/>
          <w:lang w:val="fr-CA"/>
        </w:rPr>
        <w:t>(</w:t>
      </w:r>
      <w:r>
        <w:rPr>
          <w:lang w:val="fr-CA"/>
        </w:rPr>
        <w:t>par. </w:t>
      </w:r>
      <w:r w:rsidRPr="00A011C6">
        <w:rPr>
          <w:lang w:val="fr-CA"/>
        </w:rPr>
        <w:t>55</w:t>
      </w:r>
      <w:r w:rsidR="00250BB4">
        <w:rPr>
          <w:lang w:val="fr-CA"/>
        </w:rPr>
        <w:t>)</w:t>
      </w:r>
      <w:r w:rsidRPr="00A011C6">
        <w:rPr>
          <w:lang w:val="fr-CA"/>
        </w:rPr>
        <w:t>.</w:t>
      </w:r>
      <w:r>
        <w:rPr>
          <w:lang w:val="fr-CA"/>
        </w:rPr>
        <w:t xml:space="preserve">  Bien </w:t>
      </w:r>
      <w:r w:rsidRPr="00A011C6">
        <w:rPr>
          <w:lang w:val="fr-CA"/>
        </w:rPr>
        <w:t>que le critère auquel il faut satisfaire ne soit généralement pas dicté par cette justification sous</w:t>
      </w:r>
      <w:r>
        <w:rPr>
          <w:lang w:val="fr-CA"/>
        </w:rPr>
        <w:noBreakHyphen/>
      </w:r>
      <w:r w:rsidRPr="00A011C6">
        <w:rPr>
          <w:lang w:val="fr-CA"/>
        </w:rPr>
        <w:t xml:space="preserve">jacente au moyen de défense, </w:t>
      </w:r>
      <w:r>
        <w:rPr>
          <w:lang w:val="fr-CA"/>
        </w:rPr>
        <w:t xml:space="preserve">cette justification influence fortement </w:t>
      </w:r>
      <w:r w:rsidRPr="00A011C6">
        <w:rPr>
          <w:lang w:val="fr-CA"/>
        </w:rPr>
        <w:t xml:space="preserve">ses exigences. </w:t>
      </w:r>
      <w:r>
        <w:rPr>
          <w:lang w:val="fr-CA"/>
        </w:rPr>
        <w:t xml:space="preserve"> Comme il a </w:t>
      </w:r>
      <w:r w:rsidRPr="00A011C6">
        <w:rPr>
          <w:lang w:val="fr-CA"/>
        </w:rPr>
        <w:t xml:space="preserve">été mentionné dans </w:t>
      </w:r>
      <w:r>
        <w:rPr>
          <w:lang w:val="fr-CA"/>
        </w:rPr>
        <w:t>l</w:t>
      </w:r>
      <w:r w:rsidRPr="00F33E23">
        <w:rPr>
          <w:rFonts w:cs="Times New Roman"/>
          <w:lang w:val="fr-CA"/>
        </w:rPr>
        <w:t>’</w:t>
      </w:r>
      <w:r>
        <w:rPr>
          <w:lang w:val="fr-CA"/>
        </w:rPr>
        <w:t xml:space="preserve">arrêt </w:t>
      </w:r>
      <w:r w:rsidRPr="00A011C6">
        <w:rPr>
          <w:i/>
          <w:lang w:val="fr-CA"/>
        </w:rPr>
        <w:t>Perka</w:t>
      </w:r>
      <w:r w:rsidRPr="00A011C6">
        <w:rPr>
          <w:lang w:val="fr-CA"/>
        </w:rPr>
        <w:t xml:space="preserve">, les moyens de défense reposant sur le principe du caractère involontaire au sens moral sont considérés comme des excuses. </w:t>
      </w:r>
      <w:r>
        <w:rPr>
          <w:lang w:val="fr-CA"/>
        </w:rPr>
        <w:t xml:space="preserve"> </w:t>
      </w:r>
      <w:r w:rsidRPr="00A011C6">
        <w:rPr>
          <w:lang w:val="fr-CA"/>
        </w:rPr>
        <w:t>La loi exc</w:t>
      </w:r>
      <w:r>
        <w:rPr>
          <w:lang w:val="fr-CA"/>
        </w:rPr>
        <w:t>use les personnes</w:t>
      </w:r>
      <w:r w:rsidRPr="00A011C6">
        <w:rPr>
          <w:lang w:val="fr-CA"/>
        </w:rPr>
        <w:t xml:space="preserve"> qui, bien qu</w:t>
      </w:r>
      <w:r>
        <w:rPr>
          <w:lang w:val="fr-CA"/>
        </w:rPr>
        <w:t xml:space="preserve">’ayant </w:t>
      </w:r>
      <w:r w:rsidRPr="00A011C6">
        <w:rPr>
          <w:lang w:val="fr-CA"/>
        </w:rPr>
        <w:t xml:space="preserve">agi de façon répréhensible sur le plan moral, </w:t>
      </w:r>
      <w:r>
        <w:rPr>
          <w:lang w:val="fr-CA"/>
        </w:rPr>
        <w:t>l</w:t>
      </w:r>
      <w:r w:rsidRPr="00F33E23">
        <w:rPr>
          <w:rFonts w:cs="Times New Roman"/>
          <w:lang w:val="fr-CA"/>
        </w:rPr>
        <w:t>’</w:t>
      </w:r>
      <w:r w:rsidRPr="00A011C6">
        <w:rPr>
          <w:lang w:val="fr-CA"/>
        </w:rPr>
        <w:t>ont</w:t>
      </w:r>
      <w:r>
        <w:rPr>
          <w:lang w:val="fr-CA"/>
        </w:rPr>
        <w:t xml:space="preserve"> fait </w:t>
      </w:r>
      <w:r w:rsidRPr="00A011C6">
        <w:rPr>
          <w:lang w:val="fr-CA"/>
        </w:rPr>
        <w:t>d</w:t>
      </w:r>
      <w:r>
        <w:rPr>
          <w:lang w:val="fr-CA"/>
        </w:rPr>
        <w:t>’</w:t>
      </w:r>
      <w:r w:rsidRPr="00A011C6">
        <w:rPr>
          <w:lang w:val="fr-CA"/>
        </w:rPr>
        <w:t>une manière involontaire</w:t>
      </w:r>
      <w:r>
        <w:rPr>
          <w:lang w:val="fr-CA"/>
        </w:rPr>
        <w:t xml:space="preserve"> au sens moral.  </w:t>
      </w:r>
      <w:r w:rsidRPr="00A011C6">
        <w:rPr>
          <w:lang w:val="fr-CA"/>
        </w:rPr>
        <w:t>L</w:t>
      </w:r>
      <w:r>
        <w:rPr>
          <w:lang w:val="fr-CA"/>
        </w:rPr>
        <w:t>’</w:t>
      </w:r>
      <w:r w:rsidRPr="00A011C6">
        <w:rPr>
          <w:lang w:val="fr-CA"/>
        </w:rPr>
        <w:t>acte demeure répréhensible, mais l</w:t>
      </w:r>
      <w:r>
        <w:rPr>
          <w:lang w:val="fr-CA"/>
        </w:rPr>
        <w:t>’</w:t>
      </w:r>
      <w:r w:rsidRPr="00A011C6">
        <w:rPr>
          <w:lang w:val="fr-CA"/>
        </w:rPr>
        <w:t>auteur de l</w:t>
      </w:r>
      <w:r>
        <w:rPr>
          <w:lang w:val="fr-CA"/>
        </w:rPr>
        <w:t>’</w:t>
      </w:r>
      <w:r w:rsidRPr="00A011C6">
        <w:rPr>
          <w:lang w:val="fr-CA"/>
        </w:rPr>
        <w:t>infraction ne sera pas puni parce qu</w:t>
      </w:r>
      <w:r>
        <w:rPr>
          <w:lang w:val="fr-CA"/>
        </w:rPr>
        <w:t>’</w:t>
      </w:r>
      <w:r w:rsidRPr="00A011C6">
        <w:rPr>
          <w:lang w:val="fr-CA"/>
        </w:rPr>
        <w:t xml:space="preserve">il </w:t>
      </w:r>
      <w:r>
        <w:rPr>
          <w:lang w:val="fr-CA"/>
        </w:rPr>
        <w:t>l</w:t>
      </w:r>
      <w:r w:rsidRPr="00F33E23">
        <w:rPr>
          <w:rFonts w:cs="Times New Roman"/>
          <w:lang w:val="fr-CA"/>
        </w:rPr>
        <w:t>’</w:t>
      </w:r>
      <w:r w:rsidRPr="00A011C6">
        <w:rPr>
          <w:lang w:val="fr-CA"/>
        </w:rPr>
        <w:t>a commis</w:t>
      </w:r>
      <w:r>
        <w:rPr>
          <w:lang w:val="fr-CA"/>
        </w:rPr>
        <w:t>e</w:t>
      </w:r>
      <w:r w:rsidRPr="00A011C6">
        <w:rPr>
          <w:lang w:val="fr-CA"/>
        </w:rPr>
        <w:t xml:space="preserve"> dans des circonstances où il ne disposait vraiment d</w:t>
      </w:r>
      <w:r>
        <w:rPr>
          <w:lang w:val="fr-CA"/>
        </w:rPr>
        <w:t>’</w:t>
      </w:r>
      <w:r w:rsidRPr="00A011C6">
        <w:rPr>
          <w:lang w:val="fr-CA"/>
        </w:rPr>
        <w:t>aucun autre choix</w:t>
      </w:r>
      <w:r>
        <w:rPr>
          <w:lang w:val="fr-CA"/>
        </w:rPr>
        <w:t> </w:t>
      </w:r>
      <w:r w:rsidRPr="00A011C6">
        <w:rPr>
          <w:lang w:val="fr-CA"/>
        </w:rPr>
        <w:t xml:space="preserve"> </w:t>
      </w:r>
      <w:r w:rsidR="00314AE1">
        <w:rPr>
          <w:lang w:val="fr-CA"/>
        </w:rPr>
        <w:t>(</w:t>
      </w:r>
      <w:r w:rsidRPr="00A011C6">
        <w:rPr>
          <w:i/>
          <w:lang w:val="fr-CA"/>
        </w:rPr>
        <w:t>Ruzic</w:t>
      </w:r>
      <w:r w:rsidRPr="00A011C6">
        <w:rPr>
          <w:lang w:val="fr-CA"/>
        </w:rPr>
        <w:t xml:space="preserve">, </w:t>
      </w:r>
      <w:r>
        <w:rPr>
          <w:lang w:val="fr-CA"/>
        </w:rPr>
        <w:t>par. </w:t>
      </w:r>
      <w:r w:rsidRPr="00A011C6">
        <w:rPr>
          <w:lang w:val="fr-CA"/>
        </w:rPr>
        <w:t>34</w:t>
      </w:r>
      <w:r>
        <w:rPr>
          <w:lang w:val="fr-CA"/>
        </w:rPr>
        <w:t>;</w:t>
      </w:r>
      <w:r w:rsidRPr="00A011C6">
        <w:rPr>
          <w:lang w:val="fr-CA"/>
        </w:rPr>
        <w:t xml:space="preserve"> </w:t>
      </w:r>
      <w:r w:rsidRPr="00A011C6">
        <w:rPr>
          <w:i/>
          <w:lang w:val="fr-CA"/>
        </w:rPr>
        <w:t>Perka</w:t>
      </w:r>
      <w:r w:rsidRPr="00A011C6">
        <w:rPr>
          <w:lang w:val="fr-CA"/>
        </w:rPr>
        <w:t xml:space="preserve">, </w:t>
      </w:r>
      <w:r>
        <w:rPr>
          <w:lang w:val="fr-CA"/>
        </w:rPr>
        <w:t>p. </w:t>
      </w:r>
      <w:r w:rsidRPr="00A011C6">
        <w:rPr>
          <w:lang w:val="fr-CA"/>
        </w:rPr>
        <w:t>248</w:t>
      </w:r>
      <w:r w:rsidR="00314AE1">
        <w:rPr>
          <w:lang w:val="fr-CA"/>
        </w:rPr>
        <w:t>)</w:t>
      </w:r>
      <w:r w:rsidRPr="00A011C6">
        <w:rPr>
          <w:lang w:val="fr-CA"/>
        </w:rPr>
        <w:t xml:space="preserve">. </w:t>
      </w:r>
      <w:r>
        <w:rPr>
          <w:lang w:val="fr-CA"/>
        </w:rPr>
        <w:t xml:space="preserve"> </w:t>
      </w:r>
      <w:r w:rsidRPr="00A011C6">
        <w:rPr>
          <w:lang w:val="fr-CA"/>
        </w:rPr>
        <w:t>Le principe du caractèr</w:t>
      </w:r>
      <w:r>
        <w:rPr>
          <w:lang w:val="fr-CA"/>
        </w:rPr>
        <w:t>e involontaire au sens moral exprime</w:t>
      </w:r>
      <w:r w:rsidRPr="00A011C6">
        <w:rPr>
          <w:lang w:val="fr-CA"/>
        </w:rPr>
        <w:t xml:space="preserve"> « une concession à la faiblesse  humaine » dans le contexte d</w:t>
      </w:r>
      <w:r>
        <w:rPr>
          <w:lang w:val="fr-CA"/>
        </w:rPr>
        <w:t>’</w:t>
      </w:r>
      <w:r w:rsidRPr="00A011C6">
        <w:rPr>
          <w:lang w:val="fr-CA"/>
        </w:rPr>
        <w:t>un</w:t>
      </w:r>
      <w:r w:rsidR="00314AE1">
        <w:rPr>
          <w:lang w:val="fr-CA"/>
        </w:rPr>
        <w:t xml:space="preserve"> [</w:t>
      </w:r>
      <w:r w:rsidR="00314AE1" w:rsidRPr="00314AE1">
        <w:rPr>
          <w:smallCaps/>
          <w:lang w:val="fr-CA"/>
        </w:rPr>
        <w:t>traduction</w:t>
      </w:r>
      <w:r w:rsidR="00314AE1">
        <w:rPr>
          <w:lang w:val="fr-CA"/>
        </w:rPr>
        <w:t>]</w:t>
      </w:r>
      <w:r w:rsidRPr="00A011C6">
        <w:rPr>
          <w:lang w:val="fr-CA"/>
        </w:rPr>
        <w:t xml:space="preserve"> « choix déchirant »</w:t>
      </w:r>
      <w:r>
        <w:rPr>
          <w:lang w:val="fr-CA"/>
        </w:rPr>
        <w:t> </w:t>
      </w:r>
      <w:r w:rsidR="00314AE1">
        <w:rPr>
          <w:lang w:val="fr-CA"/>
        </w:rPr>
        <w:t>(</w:t>
      </w:r>
      <w:r w:rsidRPr="00A011C6">
        <w:rPr>
          <w:i/>
          <w:lang w:val="fr-CA"/>
        </w:rPr>
        <w:t>Ruzic</w:t>
      </w:r>
      <w:r w:rsidRPr="00A011C6">
        <w:rPr>
          <w:lang w:val="fr-CA"/>
        </w:rPr>
        <w:t xml:space="preserve">, </w:t>
      </w:r>
      <w:r>
        <w:rPr>
          <w:lang w:val="fr-CA"/>
        </w:rPr>
        <w:t>p. </w:t>
      </w:r>
      <w:r w:rsidRPr="00A011C6">
        <w:rPr>
          <w:lang w:val="fr-CA"/>
        </w:rPr>
        <w:t>40</w:t>
      </w:r>
      <w:r>
        <w:rPr>
          <w:lang w:val="fr-CA"/>
        </w:rPr>
        <w:t xml:space="preserve">; </w:t>
      </w:r>
      <w:r w:rsidRPr="00250BB4">
        <w:rPr>
          <w:lang w:val="fr-CA"/>
        </w:rPr>
        <w:t>Stuart</w:t>
      </w:r>
      <w:r w:rsidRPr="00A011C6">
        <w:rPr>
          <w:lang w:val="fr-CA"/>
        </w:rPr>
        <w:t xml:space="preserve">, </w:t>
      </w:r>
      <w:r>
        <w:rPr>
          <w:lang w:val="fr-CA"/>
        </w:rPr>
        <w:t>p. </w:t>
      </w:r>
      <w:r w:rsidRPr="00A011C6">
        <w:rPr>
          <w:lang w:val="fr-CA"/>
        </w:rPr>
        <w:t>490</w:t>
      </w:r>
      <w:r w:rsidR="00314AE1">
        <w:rPr>
          <w:lang w:val="fr-CA"/>
        </w:rPr>
        <w:t>)</w:t>
      </w:r>
      <w:r w:rsidRPr="00A011C6">
        <w:rPr>
          <w:lang w:val="fr-CA"/>
        </w:rPr>
        <w:t xml:space="preserve">. </w:t>
      </w:r>
      <w:r>
        <w:rPr>
          <w:lang w:val="fr-CA"/>
        </w:rPr>
        <w:t xml:space="preserve"> </w:t>
      </w:r>
      <w:r w:rsidRPr="00A011C6">
        <w:rPr>
          <w:lang w:val="fr-CA"/>
        </w:rPr>
        <w:t>La perpétration du crime est « poussé[e] implacablement par les instincts normaux de l</w:t>
      </w:r>
      <w:r>
        <w:rPr>
          <w:lang w:val="fr-CA"/>
        </w:rPr>
        <w:t>’</w:t>
      </w:r>
      <w:r w:rsidRPr="00A011C6">
        <w:rPr>
          <w:lang w:val="fr-CA"/>
        </w:rPr>
        <w:t>être humain »</w:t>
      </w:r>
      <w:r>
        <w:rPr>
          <w:lang w:val="fr-CA"/>
        </w:rPr>
        <w:t> </w:t>
      </w:r>
      <w:r w:rsidR="00314AE1">
        <w:rPr>
          <w:lang w:val="fr-CA"/>
        </w:rPr>
        <w:t>(</w:t>
      </w:r>
      <w:r w:rsidRPr="00A011C6">
        <w:rPr>
          <w:i/>
          <w:lang w:val="fr-CA"/>
        </w:rPr>
        <w:t>Perka</w:t>
      </w:r>
      <w:r w:rsidRPr="00A011C6">
        <w:rPr>
          <w:lang w:val="fr-CA"/>
        </w:rPr>
        <w:t xml:space="preserve">, </w:t>
      </w:r>
      <w:r>
        <w:rPr>
          <w:lang w:val="fr-CA"/>
        </w:rPr>
        <w:t>p. </w:t>
      </w:r>
      <w:r w:rsidRPr="00A011C6">
        <w:rPr>
          <w:lang w:val="fr-CA"/>
        </w:rPr>
        <w:t>249</w:t>
      </w:r>
      <w:r w:rsidR="00314AE1">
        <w:rPr>
          <w:lang w:val="fr-CA"/>
        </w:rPr>
        <w:t>)</w:t>
      </w:r>
      <w:r>
        <w:rPr>
          <w:lang w:val="fr-CA"/>
        </w:rPr>
        <w:t>.  Comme l</w:t>
      </w:r>
      <w:r w:rsidRPr="00A011C6">
        <w:rPr>
          <w:lang w:val="fr-CA"/>
        </w:rPr>
        <w:t xml:space="preserve">e juge LeBel </w:t>
      </w:r>
      <w:r>
        <w:rPr>
          <w:lang w:val="fr-CA"/>
        </w:rPr>
        <w:t>l’a rappelé</w:t>
      </w:r>
      <w:r w:rsidRPr="00A011C6">
        <w:rPr>
          <w:lang w:val="fr-CA"/>
        </w:rPr>
        <w:t xml:space="preserve"> dans </w:t>
      </w:r>
      <w:r w:rsidRPr="00A011C6">
        <w:rPr>
          <w:i/>
          <w:lang w:val="fr-CA"/>
        </w:rPr>
        <w:t>Ruzic</w:t>
      </w:r>
      <w:r>
        <w:rPr>
          <w:lang w:val="fr-CA"/>
        </w:rPr>
        <w:t> :</w:t>
      </w:r>
      <w:r w:rsidRPr="00A011C6">
        <w:rPr>
          <w:lang w:val="fr-CA"/>
        </w:rPr>
        <w:t> « La conduite moralement involontaire n</w:t>
      </w:r>
      <w:r>
        <w:rPr>
          <w:lang w:val="fr-CA"/>
        </w:rPr>
        <w:t>’</w:t>
      </w:r>
      <w:r w:rsidRPr="00A011C6">
        <w:rPr>
          <w:lang w:val="fr-CA"/>
        </w:rPr>
        <w:t xml:space="preserve">est pas toujours irréprochable en soi » </w:t>
      </w:r>
      <w:r>
        <w:rPr>
          <w:lang w:val="fr-CA"/>
        </w:rPr>
        <w:t>(par. </w:t>
      </w:r>
      <w:r w:rsidRPr="00A011C6">
        <w:rPr>
          <w:lang w:val="fr-CA"/>
        </w:rPr>
        <w:t>41</w:t>
      </w:r>
      <w:r>
        <w:rPr>
          <w:lang w:val="fr-CA"/>
        </w:rPr>
        <w:t>)</w:t>
      </w:r>
      <w:r w:rsidRPr="00A011C6">
        <w:rPr>
          <w:lang w:val="fr-CA"/>
        </w:rPr>
        <w:t>.</w:t>
      </w:r>
    </w:p>
    <w:p w:rsidR="00AF49CF" w:rsidRPr="00A011C6" w:rsidRDefault="00AF49CF" w:rsidP="00AF49CF">
      <w:pPr>
        <w:pStyle w:val="ParaNoNdepar-AltN"/>
        <w:rPr>
          <w:lang w:val="fr-CA"/>
        </w:rPr>
      </w:pPr>
      <w:r w:rsidRPr="00A011C6">
        <w:rPr>
          <w:lang w:val="fr-CA"/>
        </w:rPr>
        <w:t>Malgré sa proche parenté avec la nécessité et la contrainte, la légitime défense est, par ailleurs, une justification</w:t>
      </w:r>
      <w:r>
        <w:rPr>
          <w:lang w:val="fr-CA"/>
        </w:rPr>
        <w:t> </w:t>
      </w:r>
      <w:r w:rsidR="00314AE1">
        <w:rPr>
          <w:lang w:val="fr-CA"/>
        </w:rPr>
        <w:t>(</w:t>
      </w:r>
      <w:r w:rsidRPr="00A011C6">
        <w:rPr>
          <w:i/>
          <w:lang w:val="fr-CA"/>
        </w:rPr>
        <w:t>Perka</w:t>
      </w:r>
      <w:r w:rsidRPr="00A011C6">
        <w:rPr>
          <w:lang w:val="fr-CA"/>
        </w:rPr>
        <w:t xml:space="preserve">, </w:t>
      </w:r>
      <w:r>
        <w:rPr>
          <w:lang w:val="fr-CA"/>
        </w:rPr>
        <w:t>p. </w:t>
      </w:r>
      <w:r w:rsidRPr="00A011C6">
        <w:rPr>
          <w:lang w:val="fr-CA"/>
        </w:rPr>
        <w:t>246 et 269</w:t>
      </w:r>
      <w:r w:rsidR="00314AE1">
        <w:rPr>
          <w:lang w:val="fr-CA"/>
        </w:rPr>
        <w:t>)</w:t>
      </w:r>
      <w:r w:rsidRPr="00A011C6">
        <w:rPr>
          <w:lang w:val="fr-CA"/>
        </w:rPr>
        <w:t xml:space="preserve">. </w:t>
      </w:r>
      <w:r>
        <w:rPr>
          <w:lang w:val="fr-CA"/>
        </w:rPr>
        <w:t xml:space="preserve"> </w:t>
      </w:r>
      <w:r w:rsidRPr="00A011C6">
        <w:rPr>
          <w:lang w:val="fr-CA"/>
        </w:rPr>
        <w:t>Elle « a pour effet de repousser le caractère mauvais d</w:t>
      </w:r>
      <w:r>
        <w:rPr>
          <w:lang w:val="fr-CA"/>
        </w:rPr>
        <w:t>’</w:t>
      </w:r>
      <w:r w:rsidRPr="00A011C6">
        <w:rPr>
          <w:lang w:val="fr-CA"/>
        </w:rPr>
        <w:t>un acte qui techniquement constitue un crime »</w:t>
      </w:r>
      <w:r w:rsidR="00314AE1">
        <w:rPr>
          <w:lang w:val="fr-CA"/>
        </w:rPr>
        <w:t> </w:t>
      </w:r>
      <w:r w:rsidRPr="00A011C6">
        <w:rPr>
          <w:lang w:val="fr-CA"/>
        </w:rPr>
        <w:t xml:space="preserve"> </w:t>
      </w:r>
      <w:r w:rsidR="002107C1">
        <w:rPr>
          <w:lang w:val="fr-CA"/>
        </w:rPr>
        <w:t>(</w:t>
      </w:r>
      <w:r w:rsidRPr="00A011C6">
        <w:rPr>
          <w:i/>
          <w:lang w:val="fr-CA"/>
        </w:rPr>
        <w:t>Perka</w:t>
      </w:r>
      <w:r w:rsidRPr="00A011C6">
        <w:rPr>
          <w:lang w:val="fr-CA"/>
        </w:rPr>
        <w:t xml:space="preserve">, </w:t>
      </w:r>
      <w:r>
        <w:rPr>
          <w:lang w:val="fr-CA"/>
        </w:rPr>
        <w:t>p. </w:t>
      </w:r>
      <w:r w:rsidRPr="00A011C6">
        <w:rPr>
          <w:lang w:val="fr-CA"/>
        </w:rPr>
        <w:t>246</w:t>
      </w:r>
      <w:r w:rsidR="002107C1">
        <w:rPr>
          <w:lang w:val="fr-CA"/>
        </w:rPr>
        <w:t xml:space="preserve">; </w:t>
      </w:r>
      <w:r w:rsidRPr="00A011C6">
        <w:rPr>
          <w:lang w:val="fr-CA"/>
        </w:rPr>
        <w:t xml:space="preserve">voir également </w:t>
      </w:r>
      <w:r>
        <w:rPr>
          <w:lang w:val="fr-CA"/>
        </w:rPr>
        <w:t>H. </w:t>
      </w:r>
      <w:r w:rsidRPr="00A011C6">
        <w:rPr>
          <w:lang w:val="fr-CA"/>
        </w:rPr>
        <w:t xml:space="preserve">Parent, </w:t>
      </w:r>
      <w:r w:rsidRPr="00A011C6">
        <w:rPr>
          <w:i/>
          <w:lang w:val="fr-CA"/>
        </w:rPr>
        <w:t>Traité de droit criminel</w:t>
      </w:r>
      <w:r w:rsidRPr="00A011C6">
        <w:rPr>
          <w:lang w:val="fr-CA"/>
        </w:rPr>
        <w:t xml:space="preserve"> </w:t>
      </w:r>
      <w:r>
        <w:rPr>
          <w:lang w:val="fr-CA"/>
        </w:rPr>
        <w:t>(</w:t>
      </w:r>
      <w:r w:rsidRPr="00A011C6">
        <w:rPr>
          <w:lang w:val="fr-CA"/>
        </w:rPr>
        <w:t>2</w:t>
      </w:r>
      <w:r w:rsidRPr="00314AE1">
        <w:rPr>
          <w:vertAlign w:val="superscript"/>
          <w:lang w:val="fr-CA"/>
        </w:rPr>
        <w:t>e</w:t>
      </w:r>
      <w:r w:rsidRPr="00A011C6">
        <w:rPr>
          <w:lang w:val="fr-CA"/>
        </w:rPr>
        <w:t> éd.</w:t>
      </w:r>
      <w:r>
        <w:rPr>
          <w:lang w:val="fr-CA"/>
        </w:rPr>
        <w:t xml:space="preserve"> 2005)</w:t>
      </w:r>
      <w:r w:rsidRPr="00A011C6">
        <w:rPr>
          <w:lang w:val="fr-CA"/>
        </w:rPr>
        <w:t xml:space="preserve">, </w:t>
      </w:r>
      <w:r w:rsidR="00314AE1">
        <w:rPr>
          <w:lang w:val="fr-CA"/>
        </w:rPr>
        <w:t>t</w:t>
      </w:r>
      <w:r>
        <w:rPr>
          <w:lang w:val="fr-CA"/>
        </w:rPr>
        <w:t>. </w:t>
      </w:r>
      <w:r w:rsidRPr="00A011C6">
        <w:rPr>
          <w:lang w:val="fr-CA"/>
        </w:rPr>
        <w:t xml:space="preserve">1, </w:t>
      </w:r>
      <w:r w:rsidRPr="00A011C6">
        <w:rPr>
          <w:i/>
          <w:lang w:val="fr-CA"/>
        </w:rPr>
        <w:t>L</w:t>
      </w:r>
      <w:r>
        <w:rPr>
          <w:i/>
          <w:lang w:val="fr-CA"/>
        </w:rPr>
        <w:t>’</w:t>
      </w:r>
      <w:r w:rsidRPr="00A011C6">
        <w:rPr>
          <w:i/>
          <w:lang w:val="fr-CA"/>
        </w:rPr>
        <w:t>imputabilité</w:t>
      </w:r>
      <w:r w:rsidRPr="00A011C6">
        <w:rPr>
          <w:lang w:val="fr-CA"/>
        </w:rPr>
        <w:t xml:space="preserve">, </w:t>
      </w:r>
      <w:r>
        <w:rPr>
          <w:lang w:val="fr-CA"/>
        </w:rPr>
        <w:t>p. 587</w:t>
      </w:r>
      <w:r>
        <w:rPr>
          <w:lang w:val="fr-CA"/>
        </w:rPr>
        <w:noBreakHyphen/>
        <w:t xml:space="preserve">588).  </w:t>
      </w:r>
      <w:r w:rsidRPr="00A011C6">
        <w:rPr>
          <w:lang w:val="fr-CA"/>
        </w:rPr>
        <w:t>Pour des p</w:t>
      </w:r>
      <w:r>
        <w:rPr>
          <w:lang w:val="fr-CA"/>
        </w:rPr>
        <w:t>oints de vue différents, voir S. G. </w:t>
      </w:r>
      <w:r w:rsidRPr="00A011C6">
        <w:rPr>
          <w:lang w:val="fr-CA"/>
        </w:rPr>
        <w:t>Coughlan</w:t>
      </w:r>
      <w:r>
        <w:rPr>
          <w:lang w:val="fr-CA"/>
        </w:rPr>
        <w:t>,</w:t>
      </w:r>
      <w:r w:rsidRPr="00A011C6">
        <w:rPr>
          <w:lang w:val="fr-CA"/>
        </w:rPr>
        <w:t xml:space="preserve"> « Duress, Necessity, Self</w:t>
      </w:r>
      <w:r>
        <w:rPr>
          <w:lang w:val="fr-CA"/>
        </w:rPr>
        <w:noBreakHyphen/>
      </w:r>
      <w:r w:rsidRPr="00A011C6">
        <w:rPr>
          <w:lang w:val="fr-CA"/>
        </w:rPr>
        <w:t>Defence and Provocation</w:t>
      </w:r>
      <w:r>
        <w:rPr>
          <w:lang w:val="fr-CA"/>
        </w:rPr>
        <w:t> :</w:t>
      </w:r>
      <w:r w:rsidRPr="00A011C6">
        <w:rPr>
          <w:lang w:val="fr-CA"/>
        </w:rPr>
        <w:t xml:space="preserve"> Implications of Radical Change? » (2002)</w:t>
      </w:r>
      <w:r w:rsidR="00C509EE">
        <w:rPr>
          <w:lang w:val="fr-CA"/>
        </w:rPr>
        <w:t>,</w:t>
      </w:r>
      <w:r w:rsidRPr="00A011C6">
        <w:rPr>
          <w:lang w:val="fr-CA"/>
        </w:rPr>
        <w:t xml:space="preserve"> 7 </w:t>
      </w:r>
      <w:r w:rsidR="002107C1">
        <w:rPr>
          <w:i/>
          <w:lang w:val="fr-CA"/>
        </w:rPr>
        <w:t>Rev. can. D.P.</w:t>
      </w:r>
      <w:r w:rsidRPr="00AD27AF">
        <w:rPr>
          <w:lang w:val="fr-CA"/>
        </w:rPr>
        <w:t xml:space="preserve"> 147, </w:t>
      </w:r>
      <w:r>
        <w:rPr>
          <w:lang w:val="fr-CA"/>
        </w:rPr>
        <w:t>p. </w:t>
      </w:r>
      <w:r w:rsidRPr="00AD27AF">
        <w:rPr>
          <w:lang w:val="fr-CA"/>
        </w:rPr>
        <w:t xml:space="preserve">158; voir également Manning et Sankoff, </w:t>
      </w:r>
      <w:r>
        <w:rPr>
          <w:lang w:val="fr-CA"/>
        </w:rPr>
        <w:t>p. </w:t>
      </w:r>
      <w:r w:rsidR="00C509EE">
        <w:rPr>
          <w:lang w:val="fr-CA"/>
        </w:rPr>
        <w:t>342, et</w:t>
      </w:r>
      <w:r w:rsidRPr="00AD27AF">
        <w:rPr>
          <w:lang w:val="fr-CA"/>
        </w:rPr>
        <w:t xml:space="preserve"> K. Roach, </w:t>
      </w:r>
      <w:r w:rsidRPr="00AD27AF">
        <w:rPr>
          <w:i/>
          <w:lang w:val="fr-CA"/>
        </w:rPr>
        <w:t>Criminal Law</w:t>
      </w:r>
      <w:r w:rsidRPr="00AD27AF">
        <w:rPr>
          <w:lang w:val="fr-CA"/>
        </w:rPr>
        <w:t xml:space="preserve"> </w:t>
      </w:r>
      <w:r w:rsidR="002107C1">
        <w:rPr>
          <w:lang w:val="fr-CA"/>
        </w:rPr>
        <w:t>(</w:t>
      </w:r>
      <w:r w:rsidRPr="00AD27AF">
        <w:rPr>
          <w:lang w:val="fr-CA"/>
        </w:rPr>
        <w:t>4</w:t>
      </w:r>
      <w:r w:rsidRPr="00250BB4">
        <w:rPr>
          <w:vertAlign w:val="superscript"/>
          <w:lang w:val="fr-CA"/>
        </w:rPr>
        <w:t>e</w:t>
      </w:r>
      <w:r w:rsidRPr="00AD27AF">
        <w:rPr>
          <w:lang w:val="fr-CA"/>
        </w:rPr>
        <w:t xml:space="preserve"> éd. </w:t>
      </w:r>
      <w:r w:rsidRPr="00803800">
        <w:rPr>
          <w:lang w:val="fr-CA"/>
        </w:rPr>
        <w:t xml:space="preserve">2009), </w:t>
      </w:r>
      <w:r>
        <w:rPr>
          <w:lang w:val="fr-CA"/>
        </w:rPr>
        <w:t>p. </w:t>
      </w:r>
      <w:r w:rsidRPr="00803800">
        <w:rPr>
          <w:lang w:val="fr-CA"/>
        </w:rPr>
        <w:t xml:space="preserve">294.  </w:t>
      </w:r>
      <w:r w:rsidRPr="00A011C6">
        <w:rPr>
          <w:lang w:val="fr-CA"/>
        </w:rPr>
        <w:t>Lorsqu</w:t>
      </w:r>
      <w:r>
        <w:rPr>
          <w:lang w:val="fr-CA"/>
        </w:rPr>
        <w:t>’</w:t>
      </w:r>
      <w:r w:rsidRPr="00A011C6">
        <w:rPr>
          <w:lang w:val="fr-CA"/>
        </w:rPr>
        <w:t>il</w:t>
      </w:r>
      <w:r>
        <w:rPr>
          <w:lang w:val="fr-CA"/>
        </w:rPr>
        <w:t xml:space="preserve"> s</w:t>
      </w:r>
      <w:r w:rsidRPr="00F33E23">
        <w:rPr>
          <w:rFonts w:cs="Times New Roman"/>
          <w:lang w:val="fr-CA"/>
        </w:rPr>
        <w:t>’</w:t>
      </w:r>
      <w:r>
        <w:rPr>
          <w:lang w:val="fr-CA"/>
        </w:rPr>
        <w:t xml:space="preserve">agit </w:t>
      </w:r>
      <w:r w:rsidRPr="00A011C6">
        <w:rPr>
          <w:lang w:val="fr-CA"/>
        </w:rPr>
        <w:t xml:space="preserve">de déterminer si le moyen de défense peut être invoqué, </w:t>
      </w:r>
      <w:r>
        <w:rPr>
          <w:lang w:val="fr-CA"/>
        </w:rPr>
        <w:t>il convient d</w:t>
      </w:r>
      <w:r w:rsidRPr="00F33E23">
        <w:rPr>
          <w:rFonts w:cs="Times New Roman"/>
          <w:lang w:val="fr-CA"/>
        </w:rPr>
        <w:t>’</w:t>
      </w:r>
      <w:r w:rsidRPr="00A011C6">
        <w:rPr>
          <w:lang w:val="fr-CA"/>
        </w:rPr>
        <w:t>accorder moins d</w:t>
      </w:r>
      <w:r>
        <w:rPr>
          <w:lang w:val="fr-CA"/>
        </w:rPr>
        <w:t>’</w:t>
      </w:r>
      <w:r w:rsidRPr="00A011C6">
        <w:rPr>
          <w:lang w:val="fr-CA"/>
        </w:rPr>
        <w:t xml:space="preserve">importance aux circonstances particulières et aux concessions </w:t>
      </w:r>
      <w:r>
        <w:rPr>
          <w:lang w:val="fr-CA"/>
        </w:rPr>
        <w:t>à la faiblesse</w:t>
      </w:r>
      <w:r w:rsidRPr="00A011C6">
        <w:rPr>
          <w:lang w:val="fr-CA"/>
        </w:rPr>
        <w:t xml:space="preserve"> humaine</w:t>
      </w:r>
      <w:r>
        <w:rPr>
          <w:lang w:val="fr-CA"/>
        </w:rPr>
        <w:t xml:space="preserve">, mais plus </w:t>
      </w:r>
      <w:r w:rsidRPr="00A011C6">
        <w:rPr>
          <w:lang w:val="fr-CA"/>
        </w:rPr>
        <w:t>à l</w:t>
      </w:r>
      <w:r>
        <w:rPr>
          <w:lang w:val="fr-CA"/>
        </w:rPr>
        <w:t>’</w:t>
      </w:r>
      <w:r w:rsidRPr="00A011C6">
        <w:rPr>
          <w:lang w:val="fr-CA"/>
        </w:rPr>
        <w:t>acte lui</w:t>
      </w:r>
      <w:r>
        <w:rPr>
          <w:lang w:val="fr-CA"/>
        </w:rPr>
        <w:noBreakHyphen/>
      </w:r>
      <w:r w:rsidRPr="00A011C6">
        <w:rPr>
          <w:lang w:val="fr-CA"/>
        </w:rPr>
        <w:t xml:space="preserve">même </w:t>
      </w:r>
      <w:r>
        <w:rPr>
          <w:lang w:val="fr-CA"/>
        </w:rPr>
        <w:t>ainsi qu’</w:t>
      </w:r>
      <w:r w:rsidRPr="00A011C6">
        <w:rPr>
          <w:lang w:val="fr-CA"/>
        </w:rPr>
        <w:t>au motif pour lequel l</w:t>
      </w:r>
      <w:r>
        <w:rPr>
          <w:lang w:val="fr-CA"/>
        </w:rPr>
        <w:t>’</w:t>
      </w:r>
      <w:r w:rsidRPr="00A011C6">
        <w:rPr>
          <w:lang w:val="fr-CA"/>
        </w:rPr>
        <w:t>accusé était justifié d</w:t>
      </w:r>
      <w:r>
        <w:rPr>
          <w:lang w:val="fr-CA"/>
        </w:rPr>
        <w:t>’</w:t>
      </w:r>
      <w:r w:rsidRPr="00A011C6">
        <w:rPr>
          <w:lang w:val="fr-CA"/>
        </w:rPr>
        <w:t>avoi</w:t>
      </w:r>
      <w:r>
        <w:rPr>
          <w:lang w:val="fr-CA"/>
        </w:rPr>
        <w:t xml:space="preserve">r opposé la force </w:t>
      </w:r>
      <w:r w:rsidRPr="00A011C6">
        <w:rPr>
          <w:lang w:val="fr-CA"/>
        </w:rPr>
        <w:t xml:space="preserve">à la force. </w:t>
      </w:r>
    </w:p>
    <w:p w:rsidR="00AF49CF" w:rsidRPr="00A011C6" w:rsidRDefault="00AF49CF" w:rsidP="00AF49CF">
      <w:pPr>
        <w:pStyle w:val="ParaNoNdepar-AltN"/>
        <w:rPr>
          <w:lang w:val="fr-CA"/>
        </w:rPr>
      </w:pPr>
      <w:r>
        <w:rPr>
          <w:lang w:val="fr-CA"/>
        </w:rPr>
        <w:t>Dans l</w:t>
      </w:r>
      <w:r w:rsidRPr="00C65244">
        <w:rPr>
          <w:rFonts w:cs="Times New Roman"/>
          <w:lang w:val="fr-CA"/>
        </w:rPr>
        <w:t>’</w:t>
      </w:r>
      <w:r>
        <w:rPr>
          <w:lang w:val="fr-CA"/>
        </w:rPr>
        <w:t>affaire qui nous intéresse</w:t>
      </w:r>
      <w:r w:rsidRPr="00A011C6">
        <w:rPr>
          <w:lang w:val="fr-CA"/>
        </w:rPr>
        <w:t>, il est inutile de s</w:t>
      </w:r>
      <w:r>
        <w:rPr>
          <w:lang w:val="fr-CA"/>
        </w:rPr>
        <w:t>’attarder sur</w:t>
      </w:r>
      <w:r w:rsidRPr="00A011C6">
        <w:rPr>
          <w:lang w:val="fr-CA"/>
        </w:rPr>
        <w:t xml:space="preserve"> la distinction à </w:t>
      </w:r>
      <w:r>
        <w:rPr>
          <w:lang w:val="fr-CA"/>
        </w:rPr>
        <w:t>établir</w:t>
      </w:r>
      <w:r w:rsidRPr="00A011C6">
        <w:rPr>
          <w:lang w:val="fr-CA"/>
        </w:rPr>
        <w:t xml:space="preserve"> entre les </w:t>
      </w:r>
      <w:r>
        <w:rPr>
          <w:lang w:val="fr-CA"/>
        </w:rPr>
        <w:t>notions de justification</w:t>
      </w:r>
      <w:r w:rsidRPr="00A011C6">
        <w:rPr>
          <w:lang w:val="fr-CA"/>
        </w:rPr>
        <w:t xml:space="preserve"> </w:t>
      </w:r>
      <w:r>
        <w:rPr>
          <w:lang w:val="fr-CA"/>
        </w:rPr>
        <w:t>et d</w:t>
      </w:r>
      <w:r w:rsidRPr="00C65244">
        <w:rPr>
          <w:rFonts w:cs="Times New Roman"/>
          <w:lang w:val="fr-CA"/>
        </w:rPr>
        <w:t>’</w:t>
      </w:r>
      <w:r>
        <w:rPr>
          <w:lang w:val="fr-CA"/>
        </w:rPr>
        <w:t xml:space="preserve">excuse, d’une part, </w:t>
      </w:r>
      <w:r w:rsidRPr="00A011C6">
        <w:rPr>
          <w:lang w:val="fr-CA"/>
        </w:rPr>
        <w:t xml:space="preserve">et </w:t>
      </w:r>
      <w:r>
        <w:rPr>
          <w:lang w:val="fr-CA"/>
        </w:rPr>
        <w:t xml:space="preserve">sur </w:t>
      </w:r>
      <w:r w:rsidRPr="00A011C6">
        <w:rPr>
          <w:lang w:val="fr-CA"/>
        </w:rPr>
        <w:t>les questions de savoir exactement comment et quand la distinction doit être faite</w:t>
      </w:r>
      <w:r>
        <w:rPr>
          <w:lang w:val="fr-CA"/>
        </w:rPr>
        <w:t xml:space="preserve"> dans tous les cas, d’autre part.  Aux fins </w:t>
      </w:r>
      <w:r w:rsidRPr="00A011C6">
        <w:rPr>
          <w:lang w:val="fr-CA"/>
        </w:rPr>
        <w:t>du présent pourvoi, la distinction traduit tout simplement une différence de principe sous</w:t>
      </w:r>
      <w:r>
        <w:rPr>
          <w:lang w:val="fr-CA"/>
        </w:rPr>
        <w:noBreakHyphen/>
      </w:r>
      <w:r w:rsidRPr="00A011C6">
        <w:rPr>
          <w:lang w:val="fr-CA"/>
        </w:rPr>
        <w:t>jacente entre les deux moyens de défense</w:t>
      </w:r>
      <w:r>
        <w:rPr>
          <w:lang w:val="fr-CA"/>
        </w:rPr>
        <w:t> :</w:t>
      </w:r>
      <w:r w:rsidRPr="00A011C6">
        <w:rPr>
          <w:lang w:val="fr-CA"/>
        </w:rPr>
        <w:t xml:space="preserve"> </w:t>
      </w:r>
      <w:r>
        <w:rPr>
          <w:lang w:val="fr-CA"/>
        </w:rPr>
        <w:t>dans un cas de contrainte, nous excusons</w:t>
      </w:r>
      <w:r w:rsidRPr="00A011C6">
        <w:rPr>
          <w:lang w:val="fr-CA"/>
        </w:rPr>
        <w:t xml:space="preserve"> un acte que nous estimons toujours répréhensible, alors que dans un cas de légitime défense, l</w:t>
      </w:r>
      <w:r>
        <w:rPr>
          <w:lang w:val="fr-CA"/>
        </w:rPr>
        <w:t>’</w:t>
      </w:r>
      <w:r w:rsidRPr="00A011C6">
        <w:rPr>
          <w:lang w:val="fr-CA"/>
        </w:rPr>
        <w:t xml:space="preserve">acte reproché est jugé bon. </w:t>
      </w:r>
      <w:r>
        <w:rPr>
          <w:lang w:val="fr-CA"/>
        </w:rPr>
        <w:t xml:space="preserve"> Il s’agit</w:t>
      </w:r>
      <w:r w:rsidRPr="00A011C6">
        <w:rPr>
          <w:lang w:val="fr-CA"/>
        </w:rPr>
        <w:t xml:space="preserve"> donc de savoir </w:t>
      </w:r>
      <w:r>
        <w:rPr>
          <w:lang w:val="fr-CA"/>
        </w:rPr>
        <w:t xml:space="preserve">si </w:t>
      </w:r>
      <w:r w:rsidRPr="00A011C6">
        <w:rPr>
          <w:lang w:val="fr-CA"/>
        </w:rPr>
        <w:t xml:space="preserve">ces différences </w:t>
      </w:r>
      <w:r>
        <w:rPr>
          <w:lang w:val="fr-CA"/>
        </w:rPr>
        <w:t>justifient l’établissement d’</w:t>
      </w:r>
      <w:r w:rsidRPr="00A011C6">
        <w:rPr>
          <w:lang w:val="fr-CA"/>
        </w:rPr>
        <w:t>une distinction de principe entre la contrainte et la légitime défense</w:t>
      </w:r>
      <w:r>
        <w:rPr>
          <w:lang w:val="fr-CA"/>
        </w:rPr>
        <w:t>.</w:t>
      </w:r>
      <w:r w:rsidRPr="00A011C6">
        <w:rPr>
          <w:lang w:val="fr-CA"/>
        </w:rPr>
        <w:t xml:space="preserve"> </w:t>
      </w:r>
      <w:r>
        <w:rPr>
          <w:lang w:val="fr-CA"/>
        </w:rPr>
        <w:t xml:space="preserve"> À notre avis, la réponse est affirmative</w:t>
      </w:r>
      <w:r w:rsidRPr="00A011C6">
        <w:rPr>
          <w:lang w:val="fr-CA"/>
        </w:rPr>
        <w:t>, et ce, pour deux raisons principales.</w:t>
      </w:r>
    </w:p>
    <w:p w:rsidR="00AF49CF" w:rsidRPr="00A011C6" w:rsidRDefault="00AF49CF" w:rsidP="00AF49CF">
      <w:pPr>
        <w:pStyle w:val="ParaNoNdepar-AltN"/>
        <w:rPr>
          <w:lang w:val="fr-CA"/>
        </w:rPr>
      </w:pPr>
      <w:r w:rsidRPr="00A011C6">
        <w:rPr>
          <w:lang w:val="fr-CA"/>
        </w:rPr>
        <w:t xml:space="preserve">Compte tenu </w:t>
      </w:r>
      <w:r>
        <w:rPr>
          <w:lang w:val="fr-CA"/>
        </w:rPr>
        <w:t>du fait que les actes en cause reflètent des qualités morales différentes, il est en général vrai</w:t>
      </w:r>
      <w:r w:rsidRPr="00A011C6">
        <w:rPr>
          <w:lang w:val="fr-CA"/>
        </w:rPr>
        <w:t xml:space="preserve"> que la justification de </w:t>
      </w:r>
      <w:r>
        <w:rPr>
          <w:lang w:val="fr-CA"/>
        </w:rPr>
        <w:t xml:space="preserve">la </w:t>
      </w:r>
      <w:r w:rsidRPr="00A011C6">
        <w:rPr>
          <w:lang w:val="fr-CA"/>
        </w:rPr>
        <w:t>légitime défense devrait être plus facile à invoquer que l</w:t>
      </w:r>
      <w:r>
        <w:rPr>
          <w:lang w:val="fr-CA"/>
        </w:rPr>
        <w:t>’</w:t>
      </w:r>
      <w:r w:rsidRPr="00A011C6">
        <w:rPr>
          <w:lang w:val="fr-CA"/>
        </w:rPr>
        <w:t>excuse de la contrainte</w:t>
      </w:r>
      <w:r>
        <w:rPr>
          <w:lang w:val="fr-CA"/>
        </w:rPr>
        <w:t>, ce qui est d</w:t>
      </w:r>
      <w:r w:rsidRPr="00C65244">
        <w:rPr>
          <w:rFonts w:cs="Times New Roman"/>
          <w:lang w:val="fr-CA"/>
        </w:rPr>
        <w:t>’</w:t>
      </w:r>
      <w:r>
        <w:rPr>
          <w:lang w:val="fr-CA"/>
        </w:rPr>
        <w:t>ailleurs</w:t>
      </w:r>
      <w:r w:rsidRPr="00A011C6">
        <w:rPr>
          <w:lang w:val="fr-CA"/>
        </w:rPr>
        <w:t xml:space="preserve"> </w:t>
      </w:r>
      <w:r>
        <w:rPr>
          <w:lang w:val="fr-CA"/>
        </w:rPr>
        <w:t xml:space="preserve">effectivement </w:t>
      </w:r>
      <w:r w:rsidRPr="00A011C6">
        <w:rPr>
          <w:lang w:val="fr-CA"/>
        </w:rPr>
        <w:t xml:space="preserve">le cas.  À la différence de la contrainte, le droit applicable en matière </w:t>
      </w:r>
      <w:r>
        <w:rPr>
          <w:lang w:val="fr-CA"/>
        </w:rPr>
        <w:t xml:space="preserve">de </w:t>
      </w:r>
      <w:r w:rsidRPr="00A011C6">
        <w:rPr>
          <w:lang w:val="fr-CA"/>
        </w:rPr>
        <w:t>légitime défense n</w:t>
      </w:r>
      <w:r>
        <w:rPr>
          <w:lang w:val="fr-CA"/>
        </w:rPr>
        <w:t xml:space="preserve">’exige pas de </w:t>
      </w:r>
      <w:r w:rsidRPr="00A011C6">
        <w:rPr>
          <w:lang w:val="fr-CA"/>
        </w:rPr>
        <w:t>démontrer qu</w:t>
      </w:r>
      <w:r>
        <w:rPr>
          <w:lang w:val="fr-CA"/>
        </w:rPr>
        <w:t>’</w:t>
      </w:r>
      <w:r w:rsidRPr="00A011C6">
        <w:rPr>
          <w:lang w:val="fr-CA"/>
        </w:rPr>
        <w:t>il était « manifestement impossible » de faire autre chose que d</w:t>
      </w:r>
      <w:r>
        <w:rPr>
          <w:lang w:val="fr-CA"/>
        </w:rPr>
        <w:t>’</w:t>
      </w:r>
      <w:r w:rsidRPr="00A011C6">
        <w:rPr>
          <w:lang w:val="fr-CA"/>
        </w:rPr>
        <w:t>infliger la blessure ou qu</w:t>
      </w:r>
      <w:r>
        <w:rPr>
          <w:lang w:val="fr-CA"/>
        </w:rPr>
        <w:t>’</w:t>
      </w:r>
      <w:r w:rsidRPr="00A011C6">
        <w:rPr>
          <w:lang w:val="fr-CA"/>
        </w:rPr>
        <w:t>il n</w:t>
      </w:r>
      <w:r>
        <w:rPr>
          <w:lang w:val="fr-CA"/>
        </w:rPr>
        <w:t>’</w:t>
      </w:r>
      <w:r w:rsidRPr="00A011C6">
        <w:rPr>
          <w:lang w:val="fr-CA"/>
        </w:rPr>
        <w:t xml:space="preserve">existait « aucun </w:t>
      </w:r>
      <w:r w:rsidR="002107C1">
        <w:rPr>
          <w:rFonts w:cs="Times New Roman"/>
          <w:lang w:val="fr-CA"/>
        </w:rPr>
        <w:t>“</w:t>
      </w:r>
      <w:r w:rsidRPr="00A011C6">
        <w:rPr>
          <w:lang w:val="fr-CA"/>
        </w:rPr>
        <w:t>moyen de s</w:t>
      </w:r>
      <w:r>
        <w:rPr>
          <w:lang w:val="fr-CA"/>
        </w:rPr>
        <w:t>’</w:t>
      </w:r>
      <w:r w:rsidRPr="00A011C6">
        <w:rPr>
          <w:lang w:val="fr-CA"/>
        </w:rPr>
        <w:t>en sortir légalement</w:t>
      </w:r>
      <w:r w:rsidR="002107C1">
        <w:rPr>
          <w:rFonts w:cs="Times New Roman"/>
          <w:lang w:val="fr-CA"/>
        </w:rPr>
        <w:t>”</w:t>
      </w:r>
      <w:r w:rsidRPr="00A011C6">
        <w:rPr>
          <w:lang w:val="fr-CA"/>
        </w:rPr>
        <w:t xml:space="preserve"> ».  Par exemple, en vertu des anciennes dispositions </w:t>
      </w:r>
      <w:r>
        <w:rPr>
          <w:lang w:val="fr-CA"/>
        </w:rPr>
        <w:t xml:space="preserve">régissant la légitime défense, la </w:t>
      </w:r>
      <w:r w:rsidRPr="00A011C6">
        <w:rPr>
          <w:lang w:val="fr-CA"/>
        </w:rPr>
        <w:t>victime d</w:t>
      </w:r>
      <w:r>
        <w:rPr>
          <w:lang w:val="fr-CA"/>
        </w:rPr>
        <w:t>’</w:t>
      </w:r>
      <w:r w:rsidRPr="00A011C6">
        <w:rPr>
          <w:lang w:val="fr-CA"/>
        </w:rPr>
        <w:t>une agression non provoquée a</w:t>
      </w:r>
      <w:r>
        <w:rPr>
          <w:lang w:val="fr-CA"/>
        </w:rPr>
        <w:t>vait</w:t>
      </w:r>
      <w:r w:rsidRPr="00A011C6">
        <w:rPr>
          <w:lang w:val="fr-CA"/>
        </w:rPr>
        <w:t xml:space="preserve"> le droit d</w:t>
      </w:r>
      <w:r>
        <w:rPr>
          <w:lang w:val="fr-CA"/>
        </w:rPr>
        <w:t>’</w:t>
      </w:r>
      <w:r w:rsidRPr="00A011C6">
        <w:rPr>
          <w:lang w:val="fr-CA"/>
        </w:rPr>
        <w:t>utiliser la force nécessaire pour se défendre si</w:t>
      </w:r>
      <w:r>
        <w:rPr>
          <w:lang w:val="fr-CA"/>
        </w:rPr>
        <w:t>,</w:t>
      </w:r>
      <w:r w:rsidRPr="00A011C6">
        <w:rPr>
          <w:lang w:val="fr-CA"/>
        </w:rPr>
        <w:t xml:space="preserve"> en ce faisant</w:t>
      </w:r>
      <w:r>
        <w:rPr>
          <w:lang w:val="fr-CA"/>
        </w:rPr>
        <w:t>,</w:t>
      </w:r>
      <w:r w:rsidRPr="00A011C6">
        <w:rPr>
          <w:lang w:val="fr-CA"/>
        </w:rPr>
        <w:t xml:space="preserve"> elle n</w:t>
      </w:r>
      <w:r>
        <w:rPr>
          <w:lang w:val="fr-CA"/>
        </w:rPr>
        <w:t>’</w:t>
      </w:r>
      <w:r w:rsidRPr="00A011C6">
        <w:rPr>
          <w:lang w:val="fr-CA"/>
        </w:rPr>
        <w:t>a</w:t>
      </w:r>
      <w:r>
        <w:rPr>
          <w:lang w:val="fr-CA"/>
        </w:rPr>
        <w:t>vait</w:t>
      </w:r>
      <w:r w:rsidRPr="00A011C6">
        <w:rPr>
          <w:lang w:val="fr-CA"/>
        </w:rPr>
        <w:t xml:space="preserve"> pas l</w:t>
      </w:r>
      <w:r>
        <w:rPr>
          <w:lang w:val="fr-CA"/>
        </w:rPr>
        <w:t>’</w:t>
      </w:r>
      <w:r w:rsidRPr="00A011C6">
        <w:rPr>
          <w:lang w:val="fr-CA"/>
        </w:rPr>
        <w:t xml:space="preserve">intention de causer la mort ni </w:t>
      </w:r>
      <w:r>
        <w:rPr>
          <w:lang w:val="fr-CA"/>
        </w:rPr>
        <w:t>des lésions corporelles graves </w:t>
      </w:r>
      <w:r w:rsidR="00A859E5">
        <w:rPr>
          <w:lang w:val="fr-CA"/>
        </w:rPr>
        <w:t>(</w:t>
      </w:r>
      <w:r>
        <w:rPr>
          <w:lang w:val="fr-CA"/>
        </w:rPr>
        <w:t>par. </w:t>
      </w:r>
      <w:r w:rsidRPr="00A011C6">
        <w:rPr>
          <w:lang w:val="fr-CA"/>
        </w:rPr>
        <w:t>34(1)</w:t>
      </w:r>
      <w:r w:rsidR="00A859E5">
        <w:rPr>
          <w:lang w:val="fr-CA"/>
        </w:rPr>
        <w:t xml:space="preserve">; </w:t>
      </w:r>
      <w:r w:rsidRPr="00A011C6">
        <w:rPr>
          <w:lang w:val="fr-CA"/>
        </w:rPr>
        <w:t>voir</w:t>
      </w:r>
      <w:r>
        <w:rPr>
          <w:lang w:val="fr-CA"/>
        </w:rPr>
        <w:t xml:space="preserve"> </w:t>
      </w:r>
      <w:r w:rsidRPr="00A011C6">
        <w:rPr>
          <w:lang w:val="fr-CA"/>
        </w:rPr>
        <w:t>Parent,</w:t>
      </w:r>
      <w:r>
        <w:rPr>
          <w:lang w:val="fr-CA"/>
        </w:rPr>
        <w:t xml:space="preserve"> p. </w:t>
      </w:r>
      <w:r w:rsidRPr="00A011C6">
        <w:rPr>
          <w:lang w:val="fr-CA"/>
        </w:rPr>
        <w:t>605</w:t>
      </w:r>
      <w:r>
        <w:rPr>
          <w:lang w:val="fr-CA"/>
        </w:rPr>
        <w:noBreakHyphen/>
      </w:r>
      <w:r w:rsidRPr="00A011C6">
        <w:rPr>
          <w:lang w:val="fr-CA"/>
        </w:rPr>
        <w:t xml:space="preserve">606). </w:t>
      </w:r>
      <w:r>
        <w:rPr>
          <w:lang w:val="fr-CA"/>
        </w:rPr>
        <w:t xml:space="preserve"> </w:t>
      </w:r>
      <w:r w:rsidRPr="00A011C6">
        <w:rPr>
          <w:lang w:val="fr-CA"/>
        </w:rPr>
        <w:t>En vertu des dispositions récemment adoptées dans le cadre du projet de loi C</w:t>
      </w:r>
      <w:r>
        <w:rPr>
          <w:lang w:val="fr-CA"/>
        </w:rPr>
        <w:noBreakHyphen/>
      </w:r>
      <w:r w:rsidR="00A859E5">
        <w:rPr>
          <w:lang w:val="fr-CA"/>
        </w:rPr>
        <w:t>26</w:t>
      </w:r>
      <w:r w:rsidRPr="00A011C6">
        <w:rPr>
          <w:lang w:val="fr-CA"/>
        </w:rPr>
        <w:t>, la légitime défense peut être invoquée lorsqu</w:t>
      </w:r>
      <w:r>
        <w:rPr>
          <w:lang w:val="fr-CA"/>
        </w:rPr>
        <w:t>’</w:t>
      </w:r>
      <w:r w:rsidRPr="00A011C6">
        <w:rPr>
          <w:lang w:val="fr-CA"/>
        </w:rPr>
        <w:t xml:space="preserve">une personne a des motifs raisonnables de croire que la force est utilisée contre elle et </w:t>
      </w:r>
      <w:r>
        <w:rPr>
          <w:lang w:val="fr-CA"/>
        </w:rPr>
        <w:t xml:space="preserve">qu’elle </w:t>
      </w:r>
      <w:r w:rsidRPr="00A011C6">
        <w:rPr>
          <w:lang w:val="fr-CA"/>
        </w:rPr>
        <w:t>réplique par la force raisonnable en vue de se défendre</w:t>
      </w:r>
      <w:r>
        <w:rPr>
          <w:lang w:val="fr-CA"/>
        </w:rPr>
        <w:t> </w:t>
      </w:r>
      <w:r w:rsidR="00A859E5">
        <w:rPr>
          <w:lang w:val="fr-CA"/>
        </w:rPr>
        <w:t>(</w:t>
      </w:r>
      <w:r>
        <w:rPr>
          <w:lang w:val="fr-CA"/>
        </w:rPr>
        <w:t>par. </w:t>
      </w:r>
      <w:r w:rsidRPr="00A011C6">
        <w:rPr>
          <w:lang w:val="fr-CA"/>
        </w:rPr>
        <w:t>34(1)</w:t>
      </w:r>
      <w:r w:rsidR="00A859E5">
        <w:rPr>
          <w:lang w:val="fr-CA"/>
        </w:rPr>
        <w:t>)</w:t>
      </w:r>
      <w:r w:rsidRPr="00A011C6">
        <w:rPr>
          <w:lang w:val="fr-CA"/>
        </w:rPr>
        <w:t>.</w:t>
      </w:r>
    </w:p>
    <w:p w:rsidR="00AF49CF" w:rsidRPr="00A011C6" w:rsidRDefault="00AF49CF" w:rsidP="00AF49CF">
      <w:pPr>
        <w:pStyle w:val="ParaNoNdepar-AltN"/>
        <w:rPr>
          <w:lang w:val="fr-CA"/>
        </w:rPr>
      </w:pPr>
      <w:r w:rsidRPr="00A011C6">
        <w:rPr>
          <w:lang w:val="fr-CA"/>
        </w:rPr>
        <w:t xml:space="preserve">Par conséquent, </w:t>
      </w:r>
      <w:r>
        <w:rPr>
          <w:lang w:val="fr-CA"/>
        </w:rPr>
        <w:t>si le fait d</w:t>
      </w:r>
      <w:r w:rsidRPr="00C65244">
        <w:rPr>
          <w:rFonts w:cs="Times New Roman"/>
          <w:lang w:val="fr-CA"/>
        </w:rPr>
        <w:t>’</w:t>
      </w:r>
      <w:r>
        <w:rPr>
          <w:lang w:val="fr-CA"/>
        </w:rPr>
        <w:t xml:space="preserve">infliger </w:t>
      </w:r>
      <w:r w:rsidRPr="00A011C6">
        <w:rPr>
          <w:lang w:val="fr-CA"/>
        </w:rPr>
        <w:t>un</w:t>
      </w:r>
      <w:r>
        <w:rPr>
          <w:lang w:val="fr-CA"/>
        </w:rPr>
        <w:t xml:space="preserve">e blessure </w:t>
      </w:r>
      <w:r w:rsidRPr="00A011C6">
        <w:rPr>
          <w:lang w:val="fr-CA"/>
        </w:rPr>
        <w:t>à une personne</w:t>
      </w:r>
      <w:r>
        <w:rPr>
          <w:lang w:val="fr-CA"/>
        </w:rPr>
        <w:t xml:space="preserve"> ayant</w:t>
      </w:r>
      <w:r w:rsidRPr="00A011C6">
        <w:rPr>
          <w:lang w:val="fr-CA"/>
        </w:rPr>
        <w:t xml:space="preserve"> menacé ou attaqué l</w:t>
      </w:r>
      <w:r>
        <w:rPr>
          <w:lang w:val="fr-CA"/>
        </w:rPr>
        <w:t>’</w:t>
      </w:r>
      <w:r w:rsidRPr="00A011C6">
        <w:rPr>
          <w:lang w:val="fr-CA"/>
        </w:rPr>
        <w:t>accusé n</w:t>
      </w:r>
      <w:r>
        <w:rPr>
          <w:lang w:val="fr-CA"/>
        </w:rPr>
        <w:t>’est pas justifié</w:t>
      </w:r>
      <w:r w:rsidRPr="00A011C6">
        <w:rPr>
          <w:lang w:val="fr-CA"/>
        </w:rPr>
        <w:t xml:space="preserve"> par le droit </w:t>
      </w:r>
      <w:r>
        <w:rPr>
          <w:lang w:val="fr-CA"/>
        </w:rPr>
        <w:t xml:space="preserve">applicable </w:t>
      </w:r>
      <w:r w:rsidRPr="00A011C6">
        <w:rPr>
          <w:lang w:val="fr-CA"/>
        </w:rPr>
        <w:t xml:space="preserve">en matière de légitime défense, il serait étrange </w:t>
      </w:r>
      <w:r>
        <w:rPr>
          <w:lang w:val="fr-CA"/>
        </w:rPr>
        <w:t xml:space="preserve">que </w:t>
      </w:r>
      <w:r w:rsidRPr="00A011C6">
        <w:rPr>
          <w:lang w:val="fr-CA"/>
        </w:rPr>
        <w:t>la réplique de l</w:t>
      </w:r>
      <w:r>
        <w:rPr>
          <w:lang w:val="fr-CA"/>
        </w:rPr>
        <w:t>’</w:t>
      </w:r>
      <w:r w:rsidRPr="00A011C6">
        <w:rPr>
          <w:lang w:val="fr-CA"/>
        </w:rPr>
        <w:t xml:space="preserve">accusé </w:t>
      </w:r>
      <w:r>
        <w:rPr>
          <w:lang w:val="fr-CA"/>
        </w:rPr>
        <w:t xml:space="preserve">soit néanmoins </w:t>
      </w:r>
      <w:r w:rsidRPr="00A011C6">
        <w:rPr>
          <w:lang w:val="fr-CA"/>
        </w:rPr>
        <w:t>excusée par l</w:t>
      </w:r>
      <w:r>
        <w:rPr>
          <w:lang w:val="fr-CA"/>
        </w:rPr>
        <w:t>e droit plus astreignant</w:t>
      </w:r>
      <w:r w:rsidRPr="00A011C6">
        <w:rPr>
          <w:lang w:val="fr-CA"/>
        </w:rPr>
        <w:t xml:space="preserve"> de la contrainte. </w:t>
      </w:r>
      <w:r>
        <w:rPr>
          <w:lang w:val="fr-CA"/>
        </w:rPr>
        <w:t xml:space="preserve"> </w:t>
      </w:r>
      <w:r w:rsidRPr="00A011C6">
        <w:rPr>
          <w:lang w:val="fr-CA"/>
        </w:rPr>
        <w:t>Afin d</w:t>
      </w:r>
      <w:r>
        <w:rPr>
          <w:lang w:val="fr-CA"/>
        </w:rPr>
        <w:t>’</w:t>
      </w:r>
      <w:r w:rsidRPr="00A011C6">
        <w:rPr>
          <w:lang w:val="fr-CA"/>
        </w:rPr>
        <w:t xml:space="preserve">assurer la cohérence du droit pénal, le moyen de défense </w:t>
      </w:r>
      <w:r>
        <w:rPr>
          <w:lang w:val="fr-CA"/>
        </w:rPr>
        <w:t xml:space="preserve">fondé sur </w:t>
      </w:r>
      <w:r w:rsidRPr="00A011C6">
        <w:rPr>
          <w:lang w:val="fr-CA"/>
        </w:rPr>
        <w:t>la légitime défense devrait être plus facile</w:t>
      </w:r>
      <w:r>
        <w:rPr>
          <w:lang w:val="fr-CA"/>
        </w:rPr>
        <w:t xml:space="preserve"> </w:t>
      </w:r>
      <w:r w:rsidRPr="00A011C6">
        <w:rPr>
          <w:lang w:val="fr-CA"/>
        </w:rPr>
        <w:t xml:space="preserve">et </w:t>
      </w:r>
      <w:r>
        <w:rPr>
          <w:lang w:val="fr-CA"/>
        </w:rPr>
        <w:t xml:space="preserve">non pas plus difficile à invoquer </w:t>
      </w:r>
      <w:r w:rsidRPr="00A011C6">
        <w:rPr>
          <w:lang w:val="fr-CA"/>
        </w:rPr>
        <w:t xml:space="preserve">que le moyen de défense </w:t>
      </w:r>
      <w:r>
        <w:rPr>
          <w:lang w:val="fr-CA"/>
        </w:rPr>
        <w:t>fondé sur l</w:t>
      </w:r>
      <w:r w:rsidRPr="00A011C6">
        <w:rPr>
          <w:lang w:val="fr-CA"/>
        </w:rPr>
        <w:t xml:space="preserve">a contrainte dans les cas </w:t>
      </w:r>
      <w:r>
        <w:rPr>
          <w:lang w:val="fr-CA"/>
        </w:rPr>
        <w:t xml:space="preserve">où </w:t>
      </w:r>
      <w:r w:rsidRPr="00A011C6">
        <w:rPr>
          <w:lang w:val="fr-CA"/>
        </w:rPr>
        <w:t>l</w:t>
      </w:r>
      <w:r>
        <w:rPr>
          <w:lang w:val="fr-CA"/>
        </w:rPr>
        <w:t>’</w:t>
      </w:r>
      <w:r w:rsidRPr="00A011C6">
        <w:rPr>
          <w:lang w:val="fr-CA"/>
        </w:rPr>
        <w:t xml:space="preserve">accusé réplique directement contre la source de la menace. </w:t>
      </w:r>
    </w:p>
    <w:p w:rsidR="00AF49CF" w:rsidRPr="00A011C6" w:rsidRDefault="00AF49CF" w:rsidP="00AF49CF">
      <w:pPr>
        <w:pStyle w:val="ParaNoNdepar-AltN"/>
        <w:rPr>
          <w:lang w:val="fr-CA"/>
        </w:rPr>
      </w:pPr>
      <w:r w:rsidRPr="00A011C6">
        <w:rPr>
          <w:lang w:val="fr-CA"/>
        </w:rPr>
        <w:t>Ces principes sous</w:t>
      </w:r>
      <w:r>
        <w:rPr>
          <w:lang w:val="fr-CA"/>
        </w:rPr>
        <w:noBreakHyphen/>
      </w:r>
      <w:r w:rsidRPr="00A011C6">
        <w:rPr>
          <w:lang w:val="fr-CA"/>
        </w:rPr>
        <w:t>jacents propres à la légitime défense et à la contrainte prennent une importance accrue</w:t>
      </w:r>
      <w:r>
        <w:rPr>
          <w:lang w:val="fr-CA"/>
        </w:rPr>
        <w:t xml:space="preserve"> quand on se rappelle qu</w:t>
      </w:r>
      <w:r w:rsidRPr="00404C2D">
        <w:rPr>
          <w:rFonts w:cs="Times New Roman"/>
          <w:lang w:val="fr-CA"/>
        </w:rPr>
        <w:t>’</w:t>
      </w:r>
      <w:r w:rsidRPr="00A011C6">
        <w:rPr>
          <w:lang w:val="fr-CA"/>
        </w:rPr>
        <w:t>en droit canadien, la légitime défense fait l</w:t>
      </w:r>
      <w:r>
        <w:rPr>
          <w:lang w:val="fr-CA"/>
        </w:rPr>
        <w:t>’</w:t>
      </w:r>
      <w:r w:rsidRPr="00A011C6">
        <w:rPr>
          <w:lang w:val="fr-CA"/>
        </w:rPr>
        <w:t>objet d</w:t>
      </w:r>
      <w:r>
        <w:rPr>
          <w:lang w:val="fr-CA"/>
        </w:rPr>
        <w:t>’</w:t>
      </w:r>
      <w:r w:rsidRPr="00A011C6">
        <w:rPr>
          <w:lang w:val="fr-CA"/>
        </w:rPr>
        <w:t xml:space="preserve">une codification minutieuse, </w:t>
      </w:r>
      <w:r>
        <w:rPr>
          <w:lang w:val="fr-CA"/>
        </w:rPr>
        <w:t>tandis</w:t>
      </w:r>
      <w:r w:rsidRPr="00A011C6">
        <w:rPr>
          <w:lang w:val="fr-CA"/>
        </w:rPr>
        <w:t xml:space="preserve"> que</w:t>
      </w:r>
      <w:r>
        <w:rPr>
          <w:lang w:val="fr-CA"/>
        </w:rPr>
        <w:t xml:space="preserve"> le moyen de défense fondé sur la contrainte s</w:t>
      </w:r>
      <w:r w:rsidRPr="00404C2D">
        <w:rPr>
          <w:rFonts w:cs="Times New Roman"/>
          <w:lang w:val="fr-CA"/>
        </w:rPr>
        <w:t>’</w:t>
      </w:r>
      <w:r>
        <w:rPr>
          <w:lang w:val="fr-CA"/>
        </w:rPr>
        <w:t>appuie sur</w:t>
      </w:r>
      <w:r w:rsidRPr="00A011C6">
        <w:rPr>
          <w:lang w:val="fr-CA"/>
        </w:rPr>
        <w:t xml:space="preserve"> un amalgame d</w:t>
      </w:r>
      <w:r>
        <w:rPr>
          <w:lang w:val="fr-CA"/>
        </w:rPr>
        <w:t>’</w:t>
      </w:r>
      <w:r w:rsidRPr="00A011C6">
        <w:rPr>
          <w:lang w:val="fr-CA"/>
        </w:rPr>
        <w:t>éléments</w:t>
      </w:r>
      <w:r>
        <w:rPr>
          <w:lang w:val="fr-CA"/>
        </w:rPr>
        <w:t xml:space="preserve"> issus tant de dispositions législatives que de la common law</w:t>
      </w:r>
      <w:r w:rsidRPr="00A011C6">
        <w:rPr>
          <w:lang w:val="fr-CA"/>
        </w:rPr>
        <w:t xml:space="preserve">. </w:t>
      </w:r>
      <w:r>
        <w:rPr>
          <w:lang w:val="fr-CA"/>
        </w:rPr>
        <w:t xml:space="preserve"> En conséquence,</w:t>
      </w:r>
      <w:r w:rsidRPr="00A011C6">
        <w:rPr>
          <w:lang w:val="fr-CA"/>
        </w:rPr>
        <w:t xml:space="preserve"> les tribunaux doivent se garder </w:t>
      </w:r>
      <w:r>
        <w:rPr>
          <w:lang w:val="fr-CA"/>
        </w:rPr>
        <w:t xml:space="preserve">d’abuser </w:t>
      </w:r>
      <w:r w:rsidRPr="00A011C6">
        <w:rPr>
          <w:lang w:val="fr-CA"/>
        </w:rPr>
        <w:t xml:space="preserve">de la souplesse de la common law </w:t>
      </w:r>
      <w:r>
        <w:rPr>
          <w:lang w:val="fr-CA"/>
        </w:rPr>
        <w:t xml:space="preserve">pour développer le moyen de défense fondé sur la </w:t>
      </w:r>
      <w:r w:rsidRPr="00A011C6">
        <w:rPr>
          <w:lang w:val="fr-CA"/>
        </w:rPr>
        <w:t>contrainte de manière à contourner les limites et les restrictions im</w:t>
      </w:r>
      <w:r>
        <w:rPr>
          <w:lang w:val="fr-CA"/>
        </w:rPr>
        <w:t xml:space="preserve">posées par le législateur </w:t>
      </w:r>
      <w:r w:rsidRPr="00A011C6">
        <w:rPr>
          <w:lang w:val="fr-CA"/>
        </w:rPr>
        <w:t xml:space="preserve">au moyen de défense de la légitime défense. </w:t>
      </w:r>
      <w:r>
        <w:rPr>
          <w:lang w:val="fr-CA"/>
        </w:rPr>
        <w:t xml:space="preserve"> Une telle attitude conduirait à l</w:t>
      </w:r>
      <w:r w:rsidRPr="00404C2D">
        <w:rPr>
          <w:rFonts w:cs="Times New Roman"/>
          <w:lang w:val="fr-CA"/>
        </w:rPr>
        <w:t>’</w:t>
      </w:r>
      <w:r>
        <w:rPr>
          <w:lang w:val="fr-CA"/>
        </w:rPr>
        <w:t>abrogation par voie judiciaire d</w:t>
      </w:r>
      <w:r w:rsidRPr="00A011C6">
        <w:rPr>
          <w:lang w:val="fr-CA"/>
        </w:rPr>
        <w:t xml:space="preserve">e parties du </w:t>
      </w:r>
      <w:r w:rsidRPr="00A011C6">
        <w:rPr>
          <w:i/>
          <w:lang w:val="fr-CA"/>
        </w:rPr>
        <w:t>Code criminel</w:t>
      </w:r>
      <w:r w:rsidRPr="00A011C6">
        <w:rPr>
          <w:lang w:val="fr-CA"/>
        </w:rPr>
        <w:t xml:space="preserve">. </w:t>
      </w:r>
      <w:r>
        <w:rPr>
          <w:lang w:val="fr-CA"/>
        </w:rPr>
        <w:t xml:space="preserve"> Or, l</w:t>
      </w:r>
      <w:r w:rsidRPr="00A011C6">
        <w:rPr>
          <w:lang w:val="fr-CA"/>
        </w:rPr>
        <w:t>es tribunaux interviennent pour interpréter et appliquer les règles législatives régissant la légitime défense</w:t>
      </w:r>
      <w:r>
        <w:rPr>
          <w:lang w:val="fr-CA"/>
        </w:rPr>
        <w:t>,</w:t>
      </w:r>
      <w:r w:rsidRPr="00A011C6">
        <w:rPr>
          <w:lang w:val="fr-CA"/>
        </w:rPr>
        <w:t xml:space="preserve"> et non pas pour les écarter en l</w:t>
      </w:r>
      <w:r>
        <w:rPr>
          <w:lang w:val="fr-CA"/>
        </w:rPr>
        <w:t>’</w:t>
      </w:r>
      <w:r w:rsidRPr="00A011C6">
        <w:rPr>
          <w:lang w:val="fr-CA"/>
        </w:rPr>
        <w:t>absence de contestation fondée sur la Constitution.</w:t>
      </w:r>
    </w:p>
    <w:p w:rsidR="00AF49CF" w:rsidRPr="00A011C6" w:rsidRDefault="00AF49CF" w:rsidP="00AF49CF">
      <w:pPr>
        <w:pStyle w:val="ParaNoNdepar-AltN"/>
        <w:rPr>
          <w:lang w:val="fr-CA"/>
        </w:rPr>
      </w:pPr>
      <w:r w:rsidRPr="00A011C6">
        <w:rPr>
          <w:lang w:val="fr-CA"/>
        </w:rPr>
        <w:t>La notion de contrainte ne peut pas être élargie de manière à s</w:t>
      </w:r>
      <w:r>
        <w:rPr>
          <w:lang w:val="fr-CA"/>
        </w:rPr>
        <w:t>’</w:t>
      </w:r>
      <w:r w:rsidRPr="00A011C6">
        <w:rPr>
          <w:lang w:val="fr-CA"/>
        </w:rPr>
        <w:t xml:space="preserve">appliquer </w:t>
      </w:r>
      <w:r>
        <w:rPr>
          <w:lang w:val="fr-CA"/>
        </w:rPr>
        <w:t xml:space="preserve">aux situations où </w:t>
      </w:r>
      <w:r w:rsidRPr="00A011C6">
        <w:rPr>
          <w:lang w:val="fr-CA"/>
        </w:rPr>
        <w:t>l</w:t>
      </w:r>
      <w:r>
        <w:rPr>
          <w:lang w:val="fr-CA"/>
        </w:rPr>
        <w:t>’</w:t>
      </w:r>
      <w:r w:rsidRPr="00A011C6">
        <w:rPr>
          <w:lang w:val="fr-CA"/>
        </w:rPr>
        <w:t xml:space="preserve">accusé </w:t>
      </w:r>
      <w:r>
        <w:rPr>
          <w:lang w:val="fr-CA"/>
        </w:rPr>
        <w:t>oppose la force à la force, ou à la menace de la force, lorsque la légitime défense ne peut</w:t>
      </w:r>
      <w:r w:rsidRPr="00A011C6">
        <w:rPr>
          <w:lang w:val="fr-CA"/>
        </w:rPr>
        <w:t xml:space="preserve"> être invoquée.  La contrainte est, et doit demeurer, un moyen de défense qui ne peut être invoqué que dans des cas où l</w:t>
      </w:r>
      <w:r>
        <w:rPr>
          <w:lang w:val="fr-CA"/>
        </w:rPr>
        <w:t>’accusé a été forcé</w:t>
      </w:r>
      <w:r w:rsidRPr="00A011C6">
        <w:rPr>
          <w:lang w:val="fr-CA"/>
        </w:rPr>
        <w:t xml:space="preserve"> de commettre une infraction précise en réplique à des menaces de mort ou de lésions corporelles.  Ce</w:t>
      </w:r>
      <w:r>
        <w:rPr>
          <w:lang w:val="fr-CA"/>
        </w:rPr>
        <w:t xml:space="preserve"> principe </w:t>
      </w:r>
      <w:r w:rsidRPr="00A011C6">
        <w:rPr>
          <w:lang w:val="fr-CA"/>
        </w:rPr>
        <w:t>limite clairement à certain</w:t>
      </w:r>
      <w:r>
        <w:rPr>
          <w:lang w:val="fr-CA"/>
        </w:rPr>
        <w:t>e</w:t>
      </w:r>
      <w:r w:rsidRPr="00A011C6">
        <w:rPr>
          <w:lang w:val="fr-CA"/>
        </w:rPr>
        <w:t>s</w:t>
      </w:r>
      <w:r>
        <w:rPr>
          <w:lang w:val="fr-CA"/>
        </w:rPr>
        <w:t xml:space="preserve"> situations de fait </w:t>
      </w:r>
      <w:r w:rsidRPr="00A011C6">
        <w:rPr>
          <w:lang w:val="fr-CA"/>
        </w:rPr>
        <w:t>précis</w:t>
      </w:r>
      <w:r>
        <w:rPr>
          <w:lang w:val="fr-CA"/>
        </w:rPr>
        <w:t>es</w:t>
      </w:r>
      <w:r w:rsidRPr="00A011C6">
        <w:rPr>
          <w:lang w:val="fr-CA"/>
        </w:rPr>
        <w:t xml:space="preserve"> la possibilité d</w:t>
      </w:r>
      <w:r>
        <w:rPr>
          <w:lang w:val="fr-CA"/>
        </w:rPr>
        <w:t>’</w:t>
      </w:r>
      <w:r w:rsidRPr="00A011C6">
        <w:rPr>
          <w:lang w:val="fr-CA"/>
        </w:rPr>
        <w:t xml:space="preserve">invoquer ce moyen de défense.  Les éléments de common law </w:t>
      </w:r>
      <w:r>
        <w:rPr>
          <w:lang w:val="fr-CA"/>
        </w:rPr>
        <w:t xml:space="preserve">constituant </w:t>
      </w:r>
      <w:r w:rsidRPr="00A011C6">
        <w:rPr>
          <w:lang w:val="fr-CA"/>
        </w:rPr>
        <w:t xml:space="preserve">la contrainte ne peuvent </w:t>
      </w:r>
      <w:r>
        <w:rPr>
          <w:lang w:val="fr-CA"/>
        </w:rPr>
        <w:t xml:space="preserve">donc </w:t>
      </w:r>
      <w:r w:rsidRPr="00A011C6">
        <w:rPr>
          <w:lang w:val="fr-CA"/>
        </w:rPr>
        <w:t xml:space="preserve">pas être utilisés pour « combler » un présumé vide créé par </w:t>
      </w:r>
      <w:r>
        <w:rPr>
          <w:lang w:val="fr-CA"/>
        </w:rPr>
        <w:t>l</w:t>
      </w:r>
      <w:r w:rsidRPr="00A011C6">
        <w:rPr>
          <w:lang w:val="fr-CA"/>
        </w:rPr>
        <w:t xml:space="preserve">es limites bien définies par la loi en matière de légitime défense.  </w:t>
      </w:r>
    </w:p>
    <w:p w:rsidR="00AF49CF" w:rsidRPr="00A011C6" w:rsidRDefault="00AF49CF" w:rsidP="00AF49CF">
      <w:pPr>
        <w:pStyle w:val="ParaNoNdepar-AltN"/>
        <w:rPr>
          <w:lang w:val="fr-CA"/>
        </w:rPr>
      </w:pPr>
      <w:r w:rsidRPr="00A011C6">
        <w:rPr>
          <w:lang w:val="fr-CA"/>
        </w:rPr>
        <w:t>Ce</w:t>
      </w:r>
      <w:r>
        <w:rPr>
          <w:lang w:val="fr-CA"/>
        </w:rPr>
        <w:t xml:space="preserve"> principe se pose avec</w:t>
      </w:r>
      <w:r w:rsidRPr="00A011C6">
        <w:rPr>
          <w:lang w:val="fr-CA"/>
        </w:rPr>
        <w:t xml:space="preserve"> encore plus </w:t>
      </w:r>
      <w:r>
        <w:rPr>
          <w:lang w:val="fr-CA"/>
        </w:rPr>
        <w:t>de clarté</w:t>
      </w:r>
      <w:r w:rsidRPr="00A011C6">
        <w:rPr>
          <w:lang w:val="fr-CA"/>
        </w:rPr>
        <w:t xml:space="preserve"> lorsque l</w:t>
      </w:r>
      <w:r>
        <w:rPr>
          <w:lang w:val="fr-CA"/>
        </w:rPr>
        <w:t>’</w:t>
      </w:r>
      <w:r w:rsidRPr="00A011C6">
        <w:rPr>
          <w:lang w:val="fr-CA"/>
        </w:rPr>
        <w:t>on tient compte</w:t>
      </w:r>
      <w:r>
        <w:rPr>
          <w:lang w:val="fr-CA"/>
        </w:rPr>
        <w:t xml:space="preserve"> </w:t>
      </w:r>
      <w:r w:rsidRPr="00A011C6">
        <w:rPr>
          <w:lang w:val="fr-CA"/>
        </w:rPr>
        <w:t>— comme nous l</w:t>
      </w:r>
      <w:r>
        <w:rPr>
          <w:lang w:val="fr-CA"/>
        </w:rPr>
        <w:t>’</w:t>
      </w:r>
      <w:r w:rsidRPr="00A011C6">
        <w:rPr>
          <w:lang w:val="fr-CA"/>
        </w:rPr>
        <w:t>avons déjà expliqué — des distinctions fondamentales</w:t>
      </w:r>
      <w:r>
        <w:rPr>
          <w:lang w:val="fr-CA"/>
        </w:rPr>
        <w:t xml:space="preserve"> qui existent</w:t>
      </w:r>
      <w:r w:rsidRPr="00A011C6">
        <w:rPr>
          <w:lang w:val="fr-CA"/>
        </w:rPr>
        <w:t xml:space="preserve"> entre les deux moyens de défense.  Non seulement </w:t>
      </w:r>
      <w:r>
        <w:rPr>
          <w:lang w:val="fr-CA"/>
        </w:rPr>
        <w:t>l’</w:t>
      </w:r>
      <w:r w:rsidRPr="00A011C6">
        <w:rPr>
          <w:lang w:val="fr-CA"/>
        </w:rPr>
        <w:t>un des moyens de défense est une justification et l</w:t>
      </w:r>
      <w:r>
        <w:rPr>
          <w:lang w:val="fr-CA"/>
        </w:rPr>
        <w:t xml:space="preserve">’autre </w:t>
      </w:r>
      <w:r w:rsidRPr="00A011C6">
        <w:rPr>
          <w:lang w:val="fr-CA"/>
        </w:rPr>
        <w:t xml:space="preserve">une excuse, </w:t>
      </w:r>
      <w:r>
        <w:rPr>
          <w:lang w:val="fr-CA"/>
        </w:rPr>
        <w:t>mais les deux moyens permettent</w:t>
      </w:r>
      <w:r w:rsidRPr="00A011C6">
        <w:rPr>
          <w:lang w:val="fr-CA"/>
        </w:rPr>
        <w:t xml:space="preserve"> </w:t>
      </w:r>
      <w:r>
        <w:rPr>
          <w:lang w:val="fr-CA"/>
        </w:rPr>
        <w:t xml:space="preserve">aussi à </w:t>
      </w:r>
      <w:r w:rsidRPr="00A011C6">
        <w:rPr>
          <w:lang w:val="fr-CA"/>
        </w:rPr>
        <w:t>l</w:t>
      </w:r>
      <w:r>
        <w:rPr>
          <w:lang w:val="fr-CA"/>
        </w:rPr>
        <w:t>’</w:t>
      </w:r>
      <w:r w:rsidRPr="00A011C6">
        <w:rPr>
          <w:lang w:val="fr-CA"/>
        </w:rPr>
        <w:t>accusé</w:t>
      </w:r>
      <w:r>
        <w:rPr>
          <w:lang w:val="fr-CA"/>
        </w:rPr>
        <w:t xml:space="preserve"> d</w:t>
      </w:r>
      <w:r w:rsidRPr="00085B96">
        <w:rPr>
          <w:rFonts w:cs="Times New Roman"/>
          <w:lang w:val="fr-CA"/>
        </w:rPr>
        <w:t>’</w:t>
      </w:r>
      <w:r>
        <w:rPr>
          <w:lang w:val="fr-CA"/>
        </w:rPr>
        <w:t xml:space="preserve">éviter une punition </w:t>
      </w:r>
      <w:r w:rsidRPr="00A011C6">
        <w:rPr>
          <w:lang w:val="fr-CA"/>
        </w:rPr>
        <w:t xml:space="preserve">dans des situations tout à fait différentes. </w:t>
      </w:r>
      <w:r>
        <w:rPr>
          <w:lang w:val="fr-CA"/>
        </w:rPr>
        <w:t xml:space="preserve"> </w:t>
      </w:r>
      <w:r w:rsidRPr="00A011C6">
        <w:rPr>
          <w:lang w:val="fr-CA"/>
        </w:rPr>
        <w:t>Si, par exemple, l</w:t>
      </w:r>
      <w:r>
        <w:rPr>
          <w:lang w:val="fr-CA"/>
        </w:rPr>
        <w:t>’</w:t>
      </w:r>
      <w:r w:rsidRPr="00A011C6">
        <w:rPr>
          <w:lang w:val="fr-CA"/>
        </w:rPr>
        <w:t xml:space="preserve">accusé a été menacé de mort ou de lésions corporelles sans aucun élément de contrainte, son seul recours est la légitime défense.  </w:t>
      </w:r>
      <w:r>
        <w:rPr>
          <w:lang w:val="fr-CA"/>
        </w:rPr>
        <w:t>Si, par contre, il</w:t>
      </w:r>
      <w:r w:rsidRPr="00A011C6">
        <w:rPr>
          <w:lang w:val="fr-CA"/>
        </w:rPr>
        <w:t xml:space="preserve"> a été contraint de commettre un acte illégal précis en réplique à des menaces de mort ou de lésions corporelles, la contra</w:t>
      </w:r>
      <w:r>
        <w:rPr>
          <w:lang w:val="fr-CA"/>
        </w:rPr>
        <w:t>inte est le moyen de défense qu</w:t>
      </w:r>
      <w:r w:rsidRPr="00085B96">
        <w:rPr>
          <w:rFonts w:cs="Times New Roman"/>
          <w:lang w:val="fr-CA"/>
        </w:rPr>
        <w:t>’</w:t>
      </w:r>
      <w:r>
        <w:rPr>
          <w:lang w:val="fr-CA"/>
        </w:rPr>
        <w:t>il peut invoquer</w:t>
      </w:r>
      <w:r w:rsidRPr="00A011C6">
        <w:rPr>
          <w:lang w:val="fr-CA"/>
        </w:rPr>
        <w:t xml:space="preserve">.  </w:t>
      </w:r>
      <w:r>
        <w:rPr>
          <w:lang w:val="fr-CA"/>
        </w:rPr>
        <w:t>Dans le</w:t>
      </w:r>
      <w:r w:rsidRPr="00A011C6">
        <w:rPr>
          <w:lang w:val="fr-CA"/>
        </w:rPr>
        <w:t xml:space="preserve"> cas </w:t>
      </w:r>
      <w:r>
        <w:rPr>
          <w:lang w:val="fr-CA"/>
        </w:rPr>
        <w:t>de</w:t>
      </w:r>
      <w:r w:rsidRPr="00A011C6">
        <w:rPr>
          <w:lang w:val="fr-CA"/>
        </w:rPr>
        <w:t xml:space="preserve"> menace sans contrainte, l</w:t>
      </w:r>
      <w:r>
        <w:rPr>
          <w:lang w:val="fr-CA"/>
        </w:rPr>
        <w:t>’</w:t>
      </w:r>
      <w:r w:rsidRPr="00A011C6">
        <w:rPr>
          <w:lang w:val="fr-CA"/>
        </w:rPr>
        <w:t xml:space="preserve">accusé </w:t>
      </w:r>
      <w:r>
        <w:rPr>
          <w:lang w:val="fr-CA"/>
        </w:rPr>
        <w:t xml:space="preserve">ne peut </w:t>
      </w:r>
      <w:r w:rsidRPr="00A011C6">
        <w:rPr>
          <w:lang w:val="fr-CA"/>
        </w:rPr>
        <w:t xml:space="preserve">invoquer </w:t>
      </w:r>
      <w:r>
        <w:rPr>
          <w:lang w:val="fr-CA"/>
        </w:rPr>
        <w:t xml:space="preserve">le moyen de défense fondé sur </w:t>
      </w:r>
      <w:r w:rsidRPr="00A011C6">
        <w:rPr>
          <w:lang w:val="fr-CA"/>
        </w:rPr>
        <w:t>la contrainte simplement parce qu</w:t>
      </w:r>
      <w:r>
        <w:rPr>
          <w:lang w:val="fr-CA"/>
        </w:rPr>
        <w:t>’</w:t>
      </w:r>
      <w:r w:rsidRPr="00A011C6">
        <w:rPr>
          <w:lang w:val="fr-CA"/>
        </w:rPr>
        <w:t>il n</w:t>
      </w:r>
      <w:r>
        <w:rPr>
          <w:lang w:val="fr-CA"/>
        </w:rPr>
        <w:t>’</w:t>
      </w:r>
      <w:r w:rsidRPr="00A011C6">
        <w:rPr>
          <w:lang w:val="fr-CA"/>
        </w:rPr>
        <w:t>a pas employé la force directe et que, par conséquent, il n</w:t>
      </w:r>
      <w:r>
        <w:rPr>
          <w:lang w:val="fr-CA"/>
        </w:rPr>
        <w:t>’</w:t>
      </w:r>
      <w:r w:rsidRPr="00A011C6">
        <w:rPr>
          <w:lang w:val="fr-CA"/>
        </w:rPr>
        <w:t xml:space="preserve">est pas autorisé à invoquer les dispositions du </w:t>
      </w:r>
      <w:r w:rsidRPr="00A011C6">
        <w:rPr>
          <w:i/>
          <w:lang w:val="fr-CA"/>
        </w:rPr>
        <w:t>Code</w:t>
      </w:r>
      <w:r w:rsidRPr="00A011C6">
        <w:rPr>
          <w:lang w:val="fr-CA"/>
        </w:rPr>
        <w:t xml:space="preserve"> portant sur </w:t>
      </w:r>
      <w:r>
        <w:rPr>
          <w:lang w:val="fr-CA"/>
        </w:rPr>
        <w:t xml:space="preserve">la </w:t>
      </w:r>
      <w:r w:rsidRPr="00A011C6">
        <w:rPr>
          <w:lang w:val="fr-CA"/>
        </w:rPr>
        <w:t xml:space="preserve">légitime défense.  </w:t>
      </w:r>
      <w:r>
        <w:rPr>
          <w:lang w:val="fr-CA"/>
        </w:rPr>
        <w:t>Dans ses commentaires</w:t>
      </w:r>
      <w:r w:rsidRPr="00A011C6">
        <w:rPr>
          <w:lang w:val="fr-CA"/>
        </w:rPr>
        <w:t xml:space="preserve"> sur la possibilité d</w:t>
      </w:r>
      <w:r>
        <w:rPr>
          <w:lang w:val="fr-CA"/>
        </w:rPr>
        <w:t>’</w:t>
      </w:r>
      <w:r w:rsidRPr="00A011C6">
        <w:rPr>
          <w:lang w:val="fr-CA"/>
        </w:rPr>
        <w:t xml:space="preserve">invoquer la contrainte « pure » (par opposition à la contrainte résultant des circonstances, </w:t>
      </w:r>
      <w:r>
        <w:rPr>
          <w:lang w:val="fr-CA"/>
        </w:rPr>
        <w:t>qui constitue</w:t>
      </w:r>
      <w:r w:rsidRPr="00A011C6">
        <w:rPr>
          <w:lang w:val="fr-CA"/>
        </w:rPr>
        <w:t xml:space="preserve"> un moyen de défense tout à fait différent)</w:t>
      </w:r>
      <w:r>
        <w:rPr>
          <w:lang w:val="fr-CA"/>
        </w:rPr>
        <w:t xml:space="preserve"> </w:t>
      </w:r>
      <w:r w:rsidRPr="00A011C6">
        <w:rPr>
          <w:lang w:val="fr-CA"/>
        </w:rPr>
        <w:t>Dennis</w:t>
      </w:r>
      <w:r>
        <w:rPr>
          <w:lang w:val="fr-CA"/>
        </w:rPr>
        <w:t> </w:t>
      </w:r>
      <w:r w:rsidRPr="00A011C6">
        <w:rPr>
          <w:lang w:val="fr-CA"/>
        </w:rPr>
        <w:t>J. Baker</w:t>
      </w:r>
      <w:r>
        <w:rPr>
          <w:lang w:val="fr-CA"/>
        </w:rPr>
        <w:t>, le dernier auteur à avoir revu</w:t>
      </w:r>
      <w:r w:rsidRPr="00A011C6">
        <w:rPr>
          <w:lang w:val="fr-CA"/>
        </w:rPr>
        <w:t xml:space="preserve"> l</w:t>
      </w:r>
      <w:r>
        <w:rPr>
          <w:lang w:val="fr-CA"/>
        </w:rPr>
        <w:t>’</w:t>
      </w:r>
      <w:r w:rsidRPr="00A011C6">
        <w:rPr>
          <w:lang w:val="fr-CA"/>
        </w:rPr>
        <w:t>ouvrage de Glanville Williams</w:t>
      </w:r>
      <w:r>
        <w:rPr>
          <w:lang w:val="fr-CA"/>
        </w:rPr>
        <w:t>, écrit :</w:t>
      </w:r>
      <w:r w:rsidRPr="00A011C6">
        <w:rPr>
          <w:lang w:val="fr-CA"/>
        </w:rPr>
        <w:t xml:space="preserve"> </w:t>
      </w:r>
      <w:r w:rsidRPr="00A011C6">
        <w:rPr>
          <w:smallCaps/>
          <w:lang w:val="fr-CA"/>
        </w:rPr>
        <w:t>[traduction]</w:t>
      </w:r>
      <w:r w:rsidRPr="00A011C6">
        <w:rPr>
          <w:lang w:val="fr-CA"/>
        </w:rPr>
        <w:t xml:space="preserve"> « </w:t>
      </w:r>
      <w:r>
        <w:rPr>
          <w:lang w:val="fr-CA"/>
        </w:rPr>
        <w:t>[e]</w:t>
      </w:r>
      <w:r w:rsidRPr="00A011C6">
        <w:rPr>
          <w:lang w:val="fr-CA"/>
        </w:rPr>
        <w:t>n principe, la perpétration de l</w:t>
      </w:r>
      <w:r>
        <w:rPr>
          <w:lang w:val="fr-CA"/>
        </w:rPr>
        <w:t>’</w:t>
      </w:r>
      <w:r w:rsidRPr="00A011C6">
        <w:rPr>
          <w:lang w:val="fr-CA"/>
        </w:rPr>
        <w:t>infraction doit être expressément ou implicitement ordonnée par le malfaiteur</w:t>
      </w:r>
      <w:r>
        <w:rPr>
          <w:lang w:val="fr-CA"/>
        </w:rPr>
        <w:t>,</w:t>
      </w:r>
      <w:r w:rsidRPr="00A011C6">
        <w:rPr>
          <w:lang w:val="fr-CA"/>
        </w:rPr>
        <w:t xml:space="preserve"> cet </w:t>
      </w:r>
      <w:r>
        <w:rPr>
          <w:lang w:val="fr-CA"/>
        </w:rPr>
        <w:t xml:space="preserve">ordre étant appuyé par ses </w:t>
      </w:r>
      <w:r w:rsidRPr="00A011C6">
        <w:rPr>
          <w:lang w:val="fr-CA"/>
        </w:rPr>
        <w:t>menaces (ou le défendeur doit avo</w:t>
      </w:r>
      <w:r>
        <w:rPr>
          <w:lang w:val="fr-CA"/>
        </w:rPr>
        <w:t>ir eu l</w:t>
      </w:r>
      <w:r w:rsidRPr="00A011C6">
        <w:rPr>
          <w:lang w:val="fr-CA"/>
        </w:rPr>
        <w:t>e sentiment</w:t>
      </w:r>
      <w:r>
        <w:rPr>
          <w:lang w:val="fr-CA"/>
        </w:rPr>
        <w:t xml:space="preserve"> qu</w:t>
      </w:r>
      <w:r w:rsidRPr="002E57EA">
        <w:rPr>
          <w:rFonts w:cs="Times New Roman"/>
          <w:lang w:val="fr-CA"/>
        </w:rPr>
        <w:t>’</w:t>
      </w:r>
      <w:r>
        <w:rPr>
          <w:lang w:val="fr-CA"/>
        </w:rPr>
        <w:t>il en était ainsi.</w:t>
      </w:r>
      <w:r w:rsidRPr="00A011C6">
        <w:rPr>
          <w:lang w:val="fr-CA"/>
        </w:rPr>
        <w:t xml:space="preserve">) </w:t>
      </w:r>
      <w:r w:rsidRPr="00A011C6">
        <w:rPr>
          <w:smallCaps/>
          <w:lang w:val="fr-CA"/>
        </w:rPr>
        <w:t>[</w:t>
      </w:r>
      <w:r w:rsidR="00260639">
        <w:rPr>
          <w:smallCaps/>
          <w:lang w:val="fr-CA"/>
        </w:rPr>
        <w:t>. . .</w:t>
      </w:r>
      <w:r w:rsidRPr="00A011C6">
        <w:rPr>
          <w:smallCaps/>
          <w:lang w:val="fr-CA"/>
        </w:rPr>
        <w:t>]</w:t>
      </w:r>
      <w:r w:rsidRPr="00A011C6">
        <w:rPr>
          <w:lang w:val="fr-CA"/>
        </w:rPr>
        <w:t xml:space="preserve"> </w:t>
      </w:r>
      <w:r>
        <w:rPr>
          <w:lang w:val="fr-CA"/>
        </w:rPr>
        <w:t xml:space="preserve"> </w:t>
      </w:r>
      <w:r w:rsidRPr="00A011C6">
        <w:rPr>
          <w:lang w:val="fr-CA"/>
        </w:rPr>
        <w:t>Pour des raisons de justice, le moyen de défense ne devrait pouvoir être invoqué que lorsque le défendeur commet un crime qu</w:t>
      </w:r>
      <w:r>
        <w:rPr>
          <w:lang w:val="fr-CA"/>
        </w:rPr>
        <w:t>’</w:t>
      </w:r>
      <w:r w:rsidRPr="00A011C6">
        <w:rPr>
          <w:lang w:val="fr-CA"/>
        </w:rPr>
        <w:t>il a été directement contraint de commettre » (</w:t>
      </w:r>
      <w:r w:rsidRPr="00A011C6">
        <w:rPr>
          <w:i/>
          <w:lang w:val="fr-CA"/>
        </w:rPr>
        <w:t>Textbook of Criminal Law</w:t>
      </w:r>
      <w:r w:rsidRPr="00A011C6">
        <w:rPr>
          <w:lang w:val="fr-CA"/>
        </w:rPr>
        <w:t xml:space="preserve"> </w:t>
      </w:r>
      <w:r>
        <w:rPr>
          <w:lang w:val="fr-CA"/>
        </w:rPr>
        <w:t>(</w:t>
      </w:r>
      <w:r w:rsidRPr="00A011C6">
        <w:rPr>
          <w:lang w:val="fr-CA"/>
        </w:rPr>
        <w:t>3</w:t>
      </w:r>
      <w:r w:rsidRPr="00A011C6">
        <w:rPr>
          <w:vertAlign w:val="superscript"/>
          <w:lang w:val="fr-CA"/>
        </w:rPr>
        <w:t>e</w:t>
      </w:r>
      <w:r w:rsidRPr="00A011C6">
        <w:rPr>
          <w:lang w:val="fr-CA"/>
        </w:rPr>
        <w:t xml:space="preserve"> éd. 2012)</w:t>
      </w:r>
      <w:r>
        <w:rPr>
          <w:lang w:val="fr-CA"/>
        </w:rPr>
        <w:t>,</w:t>
      </w:r>
      <w:r w:rsidRPr="00A011C6">
        <w:rPr>
          <w:lang w:val="fr-CA"/>
        </w:rPr>
        <w:t xml:space="preserve"> </w:t>
      </w:r>
      <w:r>
        <w:rPr>
          <w:lang w:val="fr-CA"/>
        </w:rPr>
        <w:t>par. </w:t>
      </w:r>
      <w:r w:rsidRPr="00A011C6">
        <w:rPr>
          <w:lang w:val="fr-CA"/>
        </w:rPr>
        <w:t>25</w:t>
      </w:r>
      <w:r>
        <w:rPr>
          <w:lang w:val="fr-CA"/>
        </w:rPr>
        <w:noBreakHyphen/>
        <w:t xml:space="preserve">037 et </w:t>
      </w:r>
      <w:r w:rsidRPr="00A011C6">
        <w:rPr>
          <w:lang w:val="fr-CA"/>
        </w:rPr>
        <w:t>25</w:t>
      </w:r>
      <w:r>
        <w:rPr>
          <w:lang w:val="fr-CA"/>
        </w:rPr>
        <w:noBreakHyphen/>
      </w:r>
      <w:r w:rsidRPr="00A011C6">
        <w:rPr>
          <w:lang w:val="fr-CA"/>
        </w:rPr>
        <w:t>039).</w:t>
      </w:r>
    </w:p>
    <w:p w:rsidR="00AF49CF" w:rsidRPr="00A011C6" w:rsidRDefault="00AF49CF" w:rsidP="00AF49CF">
      <w:pPr>
        <w:pStyle w:val="ParaNoNdepar-AltN"/>
        <w:rPr>
          <w:lang w:val="fr-CA"/>
        </w:rPr>
      </w:pPr>
      <w:r w:rsidRPr="00A011C6">
        <w:rPr>
          <w:lang w:val="fr-CA"/>
        </w:rPr>
        <w:t>Examinons</w:t>
      </w:r>
      <w:r>
        <w:rPr>
          <w:lang w:val="fr-CA"/>
        </w:rPr>
        <w:t xml:space="preserve"> maintenant</w:t>
      </w:r>
      <w:r w:rsidRPr="00A011C6">
        <w:rPr>
          <w:lang w:val="fr-CA"/>
        </w:rPr>
        <w:t xml:space="preserve"> le résultat auquel est arrivée la Cour d</w:t>
      </w:r>
      <w:r>
        <w:rPr>
          <w:lang w:val="fr-CA"/>
        </w:rPr>
        <w:t>’</w:t>
      </w:r>
      <w:r w:rsidRPr="00A011C6">
        <w:rPr>
          <w:lang w:val="fr-CA"/>
        </w:rPr>
        <w:t>appel en l</w:t>
      </w:r>
      <w:r>
        <w:rPr>
          <w:lang w:val="fr-CA"/>
        </w:rPr>
        <w:t>’</w:t>
      </w:r>
      <w:r w:rsidRPr="00A011C6">
        <w:rPr>
          <w:lang w:val="fr-CA"/>
        </w:rPr>
        <w:t>espèce.  L</w:t>
      </w:r>
      <w:r>
        <w:rPr>
          <w:lang w:val="fr-CA"/>
        </w:rPr>
        <w:t>’</w:t>
      </w:r>
      <w:r w:rsidRPr="00A011C6">
        <w:rPr>
          <w:lang w:val="fr-CA"/>
        </w:rPr>
        <w:t>intimée a répliqué aux m</w:t>
      </w:r>
      <w:r>
        <w:rPr>
          <w:lang w:val="fr-CA"/>
        </w:rPr>
        <w:t>enaces de lésions corporelles et</w:t>
      </w:r>
      <w:r w:rsidRPr="00A011C6">
        <w:rPr>
          <w:lang w:val="fr-CA"/>
        </w:rPr>
        <w:t xml:space="preserve"> de mort proférées contre elle et son enfant d</w:t>
      </w:r>
      <w:r>
        <w:rPr>
          <w:lang w:val="fr-CA"/>
        </w:rPr>
        <w:t>’</w:t>
      </w:r>
      <w:r w:rsidRPr="00A011C6">
        <w:rPr>
          <w:lang w:val="fr-CA"/>
        </w:rPr>
        <w:t>une manière qui, selon la Cour d</w:t>
      </w:r>
      <w:r>
        <w:rPr>
          <w:lang w:val="fr-CA"/>
        </w:rPr>
        <w:t>’</w:t>
      </w:r>
      <w:r w:rsidRPr="00A011C6">
        <w:rPr>
          <w:lang w:val="fr-CA"/>
        </w:rPr>
        <w:t>appel, ne lui donnait pas le droit d</w:t>
      </w:r>
      <w:r>
        <w:rPr>
          <w:lang w:val="fr-CA"/>
        </w:rPr>
        <w:t>’</w:t>
      </w:r>
      <w:r w:rsidRPr="00A011C6">
        <w:rPr>
          <w:lang w:val="fr-CA"/>
        </w:rPr>
        <w:t>invoquer le moyen de défense fondé sur la légitime défense</w:t>
      </w:r>
      <w:r>
        <w:rPr>
          <w:lang w:val="fr-CA"/>
        </w:rPr>
        <w:t xml:space="preserve">.  </w:t>
      </w:r>
      <w:r w:rsidRPr="00A011C6">
        <w:rPr>
          <w:lang w:val="fr-CA"/>
        </w:rPr>
        <w:t>Nous ajoutons que l</w:t>
      </w:r>
      <w:r>
        <w:rPr>
          <w:lang w:val="fr-CA"/>
        </w:rPr>
        <w:t>’</w:t>
      </w:r>
      <w:r w:rsidRPr="00A011C6">
        <w:rPr>
          <w:lang w:val="fr-CA"/>
        </w:rPr>
        <w:t xml:space="preserve">appel à la Cour </w:t>
      </w:r>
      <w:r>
        <w:rPr>
          <w:lang w:val="fr-CA"/>
        </w:rPr>
        <w:t xml:space="preserve">d’appel </w:t>
      </w:r>
      <w:r w:rsidRPr="00A011C6">
        <w:rPr>
          <w:lang w:val="fr-CA"/>
        </w:rPr>
        <w:t>a également été interjeté en présumant que, compte tenu de ces faits, l</w:t>
      </w:r>
      <w:r>
        <w:rPr>
          <w:lang w:val="fr-CA"/>
        </w:rPr>
        <w:t>’intimée ne pouvait éventuellement</w:t>
      </w:r>
      <w:r w:rsidRPr="00A011C6">
        <w:rPr>
          <w:lang w:val="fr-CA"/>
        </w:rPr>
        <w:t xml:space="preserve"> invoquer la légitime défense.  </w:t>
      </w:r>
      <w:r>
        <w:rPr>
          <w:lang w:val="fr-CA"/>
        </w:rPr>
        <w:t>Aux fins</w:t>
      </w:r>
      <w:r w:rsidRPr="00A011C6">
        <w:rPr>
          <w:lang w:val="fr-CA"/>
        </w:rPr>
        <w:t xml:space="preserve"> des présents motifs, nous n</w:t>
      </w:r>
      <w:r>
        <w:rPr>
          <w:lang w:val="fr-CA"/>
        </w:rPr>
        <w:t>’</w:t>
      </w:r>
      <w:r w:rsidRPr="00A011C6">
        <w:rPr>
          <w:lang w:val="fr-CA"/>
        </w:rPr>
        <w:t>avons pas à trancher ce point</w:t>
      </w:r>
      <w:r>
        <w:rPr>
          <w:lang w:val="fr-CA"/>
        </w:rPr>
        <w:t xml:space="preserve">.  </w:t>
      </w:r>
      <w:r w:rsidRPr="00A011C6">
        <w:rPr>
          <w:lang w:val="fr-CA"/>
        </w:rPr>
        <w:t xml:space="preserve">Si tel est le cas, </w:t>
      </w:r>
      <w:r>
        <w:rPr>
          <w:lang w:val="fr-CA"/>
        </w:rPr>
        <w:t>le fait d</w:t>
      </w:r>
      <w:r w:rsidRPr="002E57EA">
        <w:rPr>
          <w:rFonts w:cs="Times New Roman"/>
          <w:lang w:val="fr-CA"/>
        </w:rPr>
        <w:t>’</w:t>
      </w:r>
      <w:r>
        <w:rPr>
          <w:lang w:val="fr-CA"/>
        </w:rPr>
        <w:t xml:space="preserve">étendre la portée </w:t>
      </w:r>
      <w:r w:rsidRPr="00A011C6">
        <w:rPr>
          <w:lang w:val="fr-CA"/>
        </w:rPr>
        <w:t xml:space="preserve">du droit en matière de contrainte </w:t>
      </w:r>
      <w:r>
        <w:rPr>
          <w:lang w:val="fr-CA"/>
        </w:rPr>
        <w:t xml:space="preserve">de façon à </w:t>
      </w:r>
      <w:r w:rsidRPr="00A011C6">
        <w:rPr>
          <w:lang w:val="fr-CA"/>
        </w:rPr>
        <w:t xml:space="preserve"> remédier au cas de l</w:t>
      </w:r>
      <w:r>
        <w:rPr>
          <w:lang w:val="fr-CA"/>
        </w:rPr>
        <w:t>’</w:t>
      </w:r>
      <w:r w:rsidRPr="00A011C6">
        <w:rPr>
          <w:lang w:val="fr-CA"/>
        </w:rPr>
        <w:t xml:space="preserve">intimée a </w:t>
      </w:r>
      <w:r>
        <w:rPr>
          <w:lang w:val="fr-CA"/>
        </w:rPr>
        <w:t xml:space="preserve">rendu incohérents les </w:t>
      </w:r>
      <w:r w:rsidRPr="00A011C6">
        <w:rPr>
          <w:lang w:val="fr-CA"/>
        </w:rPr>
        <w:t>principes</w:t>
      </w:r>
      <w:r>
        <w:rPr>
          <w:lang w:val="fr-CA"/>
        </w:rPr>
        <w:t xml:space="preserve"> mêmes du </w:t>
      </w:r>
      <w:r w:rsidRPr="00A011C6">
        <w:rPr>
          <w:lang w:val="fr-CA"/>
        </w:rPr>
        <w:t>droit</w:t>
      </w:r>
      <w:r>
        <w:rPr>
          <w:lang w:val="fr-CA"/>
        </w:rPr>
        <w:t xml:space="preserve"> applicable</w:t>
      </w:r>
      <w:r w:rsidRPr="00A011C6">
        <w:rPr>
          <w:lang w:val="fr-CA"/>
        </w:rPr>
        <w:t xml:space="preserve">. </w:t>
      </w:r>
      <w:r>
        <w:rPr>
          <w:lang w:val="fr-CA"/>
        </w:rPr>
        <w:t xml:space="preserve"> En effet, suivant</w:t>
      </w:r>
      <w:r w:rsidRPr="00A011C6">
        <w:rPr>
          <w:lang w:val="fr-CA"/>
        </w:rPr>
        <w:t xml:space="preserve"> la logique des conclusions de la Cour d</w:t>
      </w:r>
      <w:r>
        <w:rPr>
          <w:lang w:val="fr-CA"/>
        </w:rPr>
        <w:t>’</w:t>
      </w:r>
      <w:r w:rsidRPr="00A011C6">
        <w:rPr>
          <w:lang w:val="fr-CA"/>
        </w:rPr>
        <w:t xml:space="preserve">appel, la contrainte, qui a trait à un comportement </w:t>
      </w:r>
      <w:r>
        <w:rPr>
          <w:lang w:val="fr-CA"/>
        </w:rPr>
        <w:t>répréhensible, mais excusé,</w:t>
      </w:r>
      <w:r w:rsidRPr="00A011C6">
        <w:rPr>
          <w:lang w:val="fr-CA"/>
        </w:rPr>
        <w:t xml:space="preserve"> serait plus facile à invoquer que la légitime défense, laquelle a trait à un comportement légitime dans une situation où l</w:t>
      </w:r>
      <w:r>
        <w:rPr>
          <w:lang w:val="fr-CA"/>
        </w:rPr>
        <w:t>’</w:t>
      </w:r>
      <w:r w:rsidRPr="00A011C6">
        <w:rPr>
          <w:lang w:val="fr-CA"/>
        </w:rPr>
        <w:t xml:space="preserve">accusé </w:t>
      </w:r>
      <w:r>
        <w:rPr>
          <w:lang w:val="fr-CA"/>
        </w:rPr>
        <w:t>réplique</w:t>
      </w:r>
      <w:r w:rsidRPr="00A011C6">
        <w:rPr>
          <w:lang w:val="fr-CA"/>
        </w:rPr>
        <w:t xml:space="preserve"> à des menaces en tentant de les éliminer.  Pourtant, selon le raisonnement sous</w:t>
      </w:r>
      <w:r>
        <w:rPr>
          <w:lang w:val="fr-CA"/>
        </w:rPr>
        <w:noBreakHyphen/>
      </w:r>
      <w:r w:rsidRPr="00A011C6">
        <w:rPr>
          <w:lang w:val="fr-CA"/>
        </w:rPr>
        <w:t>jacent, les excuses devraient être définies de manière plus restrictive que les justifications</w:t>
      </w:r>
      <w:r w:rsidR="00A859E5">
        <w:rPr>
          <w:lang w:val="fr-CA"/>
        </w:rPr>
        <w:t> (</w:t>
      </w:r>
      <w:r w:rsidRPr="00A011C6">
        <w:rPr>
          <w:lang w:val="fr-CA"/>
        </w:rPr>
        <w:t xml:space="preserve">voir, </w:t>
      </w:r>
      <w:r>
        <w:rPr>
          <w:lang w:val="fr-CA"/>
        </w:rPr>
        <w:t>p. </w:t>
      </w:r>
      <w:r w:rsidRPr="00A011C6">
        <w:rPr>
          <w:lang w:val="fr-CA"/>
        </w:rPr>
        <w:t xml:space="preserve">ex., </w:t>
      </w:r>
      <w:r w:rsidRPr="00A859E5">
        <w:rPr>
          <w:lang w:val="fr-CA"/>
        </w:rPr>
        <w:t>Stuart</w:t>
      </w:r>
      <w:r w:rsidRPr="00A011C6">
        <w:rPr>
          <w:lang w:val="fr-CA"/>
        </w:rPr>
        <w:t xml:space="preserve">, </w:t>
      </w:r>
      <w:r>
        <w:rPr>
          <w:lang w:val="fr-CA"/>
        </w:rPr>
        <w:t>p. </w:t>
      </w:r>
      <w:r w:rsidRPr="00A011C6">
        <w:rPr>
          <w:lang w:val="fr-CA"/>
        </w:rPr>
        <w:t>511</w:t>
      </w:r>
      <w:r w:rsidR="00A859E5">
        <w:rPr>
          <w:lang w:val="fr-CA"/>
        </w:rPr>
        <w:t>)</w:t>
      </w:r>
      <w:r w:rsidRPr="00A011C6">
        <w:rPr>
          <w:lang w:val="fr-CA"/>
        </w:rPr>
        <w:t xml:space="preserve">. </w:t>
      </w:r>
    </w:p>
    <w:p w:rsidR="00AF49CF" w:rsidRPr="00A011C6" w:rsidRDefault="00AF49CF" w:rsidP="00AF49CF">
      <w:pPr>
        <w:pStyle w:val="ParaNoNdepar-AltN"/>
        <w:rPr>
          <w:lang w:val="fr-CA"/>
        </w:rPr>
      </w:pPr>
      <w:r>
        <w:rPr>
          <w:lang w:val="fr-CA"/>
        </w:rPr>
        <w:t>À notre avis</w:t>
      </w:r>
      <w:r w:rsidRPr="00A011C6">
        <w:rPr>
          <w:lang w:val="fr-CA"/>
        </w:rPr>
        <w:t>, le problème</w:t>
      </w:r>
      <w:r>
        <w:rPr>
          <w:lang w:val="fr-CA"/>
        </w:rPr>
        <w:t xml:space="preserve"> qu</w:t>
      </w:r>
      <w:r w:rsidRPr="00BD1E72">
        <w:rPr>
          <w:rFonts w:cs="Times New Roman"/>
          <w:lang w:val="fr-CA"/>
        </w:rPr>
        <w:t>’</w:t>
      </w:r>
      <w:r>
        <w:rPr>
          <w:lang w:val="fr-CA"/>
        </w:rPr>
        <w:t xml:space="preserve">entraîne un tel raisonnement </w:t>
      </w:r>
      <w:r w:rsidRPr="00A011C6">
        <w:rPr>
          <w:lang w:val="fr-CA"/>
        </w:rPr>
        <w:t>n</w:t>
      </w:r>
      <w:r>
        <w:rPr>
          <w:lang w:val="fr-CA"/>
        </w:rPr>
        <w:t>e se limite pas à un manque de précision de l</w:t>
      </w:r>
      <w:r w:rsidRPr="00BD1E72">
        <w:rPr>
          <w:rFonts w:cs="Times New Roman"/>
          <w:lang w:val="fr-CA"/>
        </w:rPr>
        <w:t>’</w:t>
      </w:r>
      <w:r>
        <w:rPr>
          <w:lang w:val="fr-CA"/>
        </w:rPr>
        <w:t>analyse.  En fait, l’</w:t>
      </w:r>
      <w:r w:rsidRPr="00A011C6">
        <w:rPr>
          <w:lang w:val="fr-CA"/>
        </w:rPr>
        <w:t xml:space="preserve">issue de </w:t>
      </w:r>
      <w:r>
        <w:rPr>
          <w:lang w:val="fr-CA"/>
        </w:rPr>
        <w:t xml:space="preserve">la présente affaire constitue aussi </w:t>
      </w:r>
      <w:r w:rsidRPr="00A011C6">
        <w:rPr>
          <w:lang w:val="fr-CA"/>
        </w:rPr>
        <w:t>une modification par voie ju</w:t>
      </w:r>
      <w:r>
        <w:rPr>
          <w:lang w:val="fr-CA"/>
        </w:rPr>
        <w:t xml:space="preserve">diciaire du droit applicable à </w:t>
      </w:r>
      <w:r w:rsidR="00B751FD">
        <w:rPr>
          <w:lang w:val="fr-CA"/>
        </w:rPr>
        <w:t xml:space="preserve">la </w:t>
      </w:r>
      <w:r w:rsidRPr="00A011C6">
        <w:rPr>
          <w:lang w:val="fr-CA"/>
        </w:rPr>
        <w:t>légitime défense</w:t>
      </w:r>
      <w:r>
        <w:rPr>
          <w:lang w:val="fr-CA"/>
        </w:rPr>
        <w:t xml:space="preserve">.  </w:t>
      </w:r>
      <w:r w:rsidRPr="00A011C6">
        <w:rPr>
          <w:lang w:val="fr-CA"/>
        </w:rPr>
        <w:t>Ce</w:t>
      </w:r>
      <w:r>
        <w:rPr>
          <w:lang w:val="fr-CA"/>
        </w:rPr>
        <w:t xml:space="preserve">t élément </w:t>
      </w:r>
      <w:r w:rsidRPr="00A011C6">
        <w:rPr>
          <w:lang w:val="fr-CA"/>
        </w:rPr>
        <w:t xml:space="preserve">ressort du fait que, ni dans les sources citées par les parties, ni dans nos propres recherches, </w:t>
      </w:r>
      <w:r>
        <w:rPr>
          <w:lang w:val="fr-CA"/>
        </w:rPr>
        <w:t xml:space="preserve">la portée du moyen de défense fondé sur </w:t>
      </w:r>
      <w:r w:rsidRPr="00A011C6">
        <w:rPr>
          <w:lang w:val="fr-CA"/>
        </w:rPr>
        <w:t xml:space="preserve">la contrainte </w:t>
      </w:r>
      <w:r>
        <w:rPr>
          <w:lang w:val="fr-CA"/>
        </w:rPr>
        <w:t>n’avait été étendue au point de s</w:t>
      </w:r>
      <w:r w:rsidRPr="00A42879">
        <w:rPr>
          <w:rFonts w:cs="Times New Roman"/>
          <w:lang w:val="fr-CA"/>
        </w:rPr>
        <w:t>’</w:t>
      </w:r>
      <w:r>
        <w:rPr>
          <w:lang w:val="fr-CA"/>
        </w:rPr>
        <w:t xml:space="preserve">appliquer </w:t>
      </w:r>
      <w:r w:rsidRPr="00A011C6">
        <w:rPr>
          <w:lang w:val="fr-CA"/>
        </w:rPr>
        <w:t>à un cas où les menaces n</w:t>
      </w:r>
      <w:r>
        <w:rPr>
          <w:lang w:val="fr-CA"/>
        </w:rPr>
        <w:t xml:space="preserve">’avaient </w:t>
      </w:r>
      <w:r w:rsidRPr="00A011C6">
        <w:rPr>
          <w:lang w:val="fr-CA"/>
        </w:rPr>
        <w:t>pas été proférée</w:t>
      </w:r>
      <w:r>
        <w:rPr>
          <w:lang w:val="fr-CA"/>
        </w:rPr>
        <w:t>s</w:t>
      </w:r>
      <w:r w:rsidRPr="00A011C6">
        <w:rPr>
          <w:lang w:val="fr-CA"/>
        </w:rPr>
        <w:t xml:space="preserve"> en vue de contraindre une perso</w:t>
      </w:r>
      <w:r>
        <w:rPr>
          <w:lang w:val="fr-CA"/>
        </w:rPr>
        <w:t xml:space="preserve">nne à commettre une infraction et où </w:t>
      </w:r>
      <w:r w:rsidRPr="00A011C6">
        <w:rPr>
          <w:lang w:val="fr-CA"/>
        </w:rPr>
        <w:t xml:space="preserve">la victime était </w:t>
      </w:r>
      <w:r>
        <w:rPr>
          <w:lang w:val="fr-CA"/>
        </w:rPr>
        <w:t>l</w:t>
      </w:r>
      <w:r w:rsidRPr="00A42879">
        <w:rPr>
          <w:rFonts w:cs="Times New Roman"/>
          <w:lang w:val="fr-CA"/>
        </w:rPr>
        <w:t>’</w:t>
      </w:r>
      <w:r>
        <w:rPr>
          <w:lang w:val="fr-CA"/>
        </w:rPr>
        <w:t>auteur des</w:t>
      </w:r>
      <w:r w:rsidRPr="00A011C6">
        <w:rPr>
          <w:lang w:val="fr-CA"/>
        </w:rPr>
        <w:t xml:space="preserve"> menaces. </w:t>
      </w:r>
    </w:p>
    <w:p w:rsidR="00AF49CF" w:rsidRPr="00A011C6" w:rsidRDefault="00AF49CF" w:rsidP="00AF49CF">
      <w:pPr>
        <w:pStyle w:val="ParaNoNdepar-AltN"/>
        <w:rPr>
          <w:lang w:val="fr-CA"/>
        </w:rPr>
      </w:pPr>
      <w:r w:rsidRPr="00A011C6">
        <w:rPr>
          <w:lang w:val="fr-CA"/>
        </w:rPr>
        <w:t>Selon nous, la Cour d</w:t>
      </w:r>
      <w:r>
        <w:rPr>
          <w:lang w:val="fr-CA"/>
        </w:rPr>
        <w:t>’</w:t>
      </w:r>
      <w:r w:rsidRPr="00A011C6">
        <w:rPr>
          <w:lang w:val="fr-CA"/>
        </w:rPr>
        <w:t xml:space="preserve">appel a commis une erreur de droit en concluant que, compte tenu des faits, </w:t>
      </w:r>
      <w:r>
        <w:rPr>
          <w:lang w:val="fr-CA"/>
        </w:rPr>
        <w:t>la contrainte constituait</w:t>
      </w:r>
      <w:r w:rsidRPr="00A011C6">
        <w:rPr>
          <w:lang w:val="fr-CA"/>
        </w:rPr>
        <w:t xml:space="preserve"> </w:t>
      </w:r>
      <w:r>
        <w:rPr>
          <w:lang w:val="fr-CA"/>
        </w:rPr>
        <w:t>un moyen de défense qui pouvait</w:t>
      </w:r>
      <w:r w:rsidRPr="00A011C6">
        <w:rPr>
          <w:lang w:val="fr-CA"/>
        </w:rPr>
        <w:t xml:space="preserve"> être invoqué aux termes de la loi. </w:t>
      </w:r>
      <w:r>
        <w:rPr>
          <w:lang w:val="fr-CA"/>
        </w:rPr>
        <w:t xml:space="preserve"> En effet, l</w:t>
      </w:r>
      <w:r w:rsidRPr="00A011C6">
        <w:rPr>
          <w:lang w:val="fr-CA"/>
        </w:rPr>
        <w:t xml:space="preserve">a contrainte ne </w:t>
      </w:r>
      <w:r>
        <w:rPr>
          <w:lang w:val="fr-CA"/>
        </w:rPr>
        <w:t>peut être invoquée que dans l</w:t>
      </w:r>
      <w:r w:rsidRPr="00A011C6">
        <w:rPr>
          <w:lang w:val="fr-CA"/>
        </w:rPr>
        <w:t>es cas où l</w:t>
      </w:r>
      <w:r>
        <w:rPr>
          <w:lang w:val="fr-CA"/>
        </w:rPr>
        <w:t>’</w:t>
      </w:r>
      <w:r w:rsidRPr="00A011C6">
        <w:rPr>
          <w:lang w:val="fr-CA"/>
        </w:rPr>
        <w:t>accusé fait l</w:t>
      </w:r>
      <w:r>
        <w:rPr>
          <w:lang w:val="fr-CA"/>
        </w:rPr>
        <w:t>’objet de menaces en vue de</w:t>
      </w:r>
      <w:r w:rsidRPr="00A011C6">
        <w:rPr>
          <w:lang w:val="fr-CA"/>
        </w:rPr>
        <w:t xml:space="preserve"> le contraindre à perpétrer une infraction.</w:t>
      </w:r>
    </w:p>
    <w:p w:rsidR="00AF49CF" w:rsidRPr="00A011C6" w:rsidRDefault="00AF49CF" w:rsidP="00A859E5">
      <w:pPr>
        <w:pStyle w:val="TitleTitre-AltT"/>
        <w:tabs>
          <w:tab w:val="clear" w:pos="360"/>
          <w:tab w:val="left" w:pos="540"/>
        </w:tabs>
        <w:ind w:left="540" w:hanging="540"/>
        <w:rPr>
          <w:lang w:val="fr-CA"/>
        </w:rPr>
      </w:pPr>
      <w:r>
        <w:rPr>
          <w:lang w:val="fr-CA"/>
        </w:rPr>
        <w:t>C</w:t>
      </w:r>
      <w:r w:rsidRPr="00A011C6">
        <w:rPr>
          <w:lang w:val="fr-CA"/>
        </w:rPr>
        <w:t>.</w:t>
      </w:r>
      <w:r w:rsidRPr="00A011C6">
        <w:rPr>
          <w:lang w:val="fr-CA"/>
        </w:rPr>
        <w:tab/>
      </w:r>
      <w:r>
        <w:rPr>
          <w:i/>
          <w:lang w:val="fr-CA"/>
        </w:rPr>
        <w:t>Réparation</w:t>
      </w:r>
    </w:p>
    <w:p w:rsidR="00AF49CF" w:rsidRPr="00A011C6" w:rsidRDefault="00AF49CF" w:rsidP="00AF49CF">
      <w:pPr>
        <w:pStyle w:val="ParaNoNdepar-AltN"/>
        <w:rPr>
          <w:lang w:val="fr-CA"/>
        </w:rPr>
      </w:pPr>
      <w:r w:rsidRPr="00A011C6">
        <w:rPr>
          <w:lang w:val="fr-CA"/>
        </w:rPr>
        <w:t>La prochaine question en litige est</w:t>
      </w:r>
      <w:r>
        <w:rPr>
          <w:lang w:val="fr-CA"/>
        </w:rPr>
        <w:t xml:space="preserve"> celle de décider quelle ordonnance devrait être rendue</w:t>
      </w:r>
      <w:r w:rsidRPr="00A011C6">
        <w:rPr>
          <w:lang w:val="fr-CA"/>
        </w:rPr>
        <w:t>, compte tenu de notre conclusion selon laquelle la Cour d</w:t>
      </w:r>
      <w:r>
        <w:rPr>
          <w:lang w:val="fr-CA"/>
        </w:rPr>
        <w:t>’</w:t>
      </w:r>
      <w:r w:rsidRPr="00A011C6">
        <w:rPr>
          <w:lang w:val="fr-CA"/>
        </w:rPr>
        <w:t>appel a commis une erreur de droit et que le pourvoi interjeté par le ministèr</w:t>
      </w:r>
      <w:r>
        <w:rPr>
          <w:lang w:val="fr-CA"/>
        </w:rPr>
        <w:t>e public devrait être accueilli. À notre avis, l</w:t>
      </w:r>
      <w:r w:rsidRPr="0010517F">
        <w:rPr>
          <w:rFonts w:cs="Times New Roman"/>
          <w:lang w:val="fr-CA"/>
        </w:rPr>
        <w:t>’</w:t>
      </w:r>
      <w:r>
        <w:rPr>
          <w:lang w:val="fr-CA"/>
        </w:rPr>
        <w:t>intérêt de la justice commande l</w:t>
      </w:r>
      <w:r w:rsidRPr="0010517F">
        <w:rPr>
          <w:rFonts w:cs="Times New Roman"/>
          <w:lang w:val="fr-CA"/>
        </w:rPr>
        <w:t>’</w:t>
      </w:r>
      <w:r>
        <w:rPr>
          <w:lang w:val="fr-CA"/>
        </w:rPr>
        <w:t>inscription d</w:t>
      </w:r>
      <w:r w:rsidRPr="0010517F">
        <w:rPr>
          <w:rFonts w:cs="Times New Roman"/>
          <w:lang w:val="fr-CA"/>
        </w:rPr>
        <w:t>’</w:t>
      </w:r>
      <w:r>
        <w:rPr>
          <w:lang w:val="fr-CA"/>
        </w:rPr>
        <w:t xml:space="preserve">un arrêt des procédures, ce que la Cour a </w:t>
      </w:r>
      <w:r w:rsidRPr="00752E35">
        <w:rPr>
          <w:lang w:val="fr-CA"/>
        </w:rPr>
        <w:t>le pouvoir d</w:t>
      </w:r>
      <w:r w:rsidRPr="00752E35">
        <w:rPr>
          <w:rFonts w:cs="Times New Roman"/>
          <w:lang w:val="fr-CA"/>
        </w:rPr>
        <w:t>’</w:t>
      </w:r>
      <w:r w:rsidRPr="00752E35">
        <w:rPr>
          <w:lang w:val="fr-CA"/>
        </w:rPr>
        <w:t>ordonner dans les cas les plus manifestes aux termes de l</w:t>
      </w:r>
      <w:r w:rsidRPr="00752E35">
        <w:rPr>
          <w:rFonts w:cs="Times New Roman"/>
          <w:lang w:val="fr-CA"/>
        </w:rPr>
        <w:t>’</w:t>
      </w:r>
      <w:r>
        <w:rPr>
          <w:lang w:val="fr-CA"/>
        </w:rPr>
        <w:t>art. </w:t>
      </w:r>
      <w:r w:rsidRPr="00752E35">
        <w:rPr>
          <w:lang w:val="fr-CA"/>
        </w:rPr>
        <w:t xml:space="preserve">695 du </w:t>
      </w:r>
      <w:r w:rsidRPr="00752E35">
        <w:rPr>
          <w:i/>
          <w:lang w:val="fr-CA"/>
        </w:rPr>
        <w:t>Code</w:t>
      </w:r>
      <w:r>
        <w:rPr>
          <w:lang w:val="fr-CA"/>
        </w:rPr>
        <w:t> </w:t>
      </w:r>
      <w:r w:rsidR="00A859E5">
        <w:rPr>
          <w:lang w:val="fr-CA"/>
        </w:rPr>
        <w:t>(</w:t>
      </w:r>
      <w:r w:rsidRPr="00752E35">
        <w:rPr>
          <w:lang w:val="fr-CA"/>
        </w:rPr>
        <w:t>voir, p</w:t>
      </w:r>
      <w:r w:rsidR="00A859E5">
        <w:rPr>
          <w:lang w:val="fr-CA"/>
        </w:rPr>
        <w:t xml:space="preserve">. </w:t>
      </w:r>
      <w:r w:rsidRPr="00752E35">
        <w:rPr>
          <w:lang w:val="fr-CA"/>
        </w:rPr>
        <w:t>ex</w:t>
      </w:r>
      <w:r w:rsidR="00A859E5">
        <w:rPr>
          <w:lang w:val="fr-CA"/>
        </w:rPr>
        <w:t>.</w:t>
      </w:r>
      <w:r w:rsidRPr="00752E35">
        <w:rPr>
          <w:lang w:val="fr-CA"/>
        </w:rPr>
        <w:t>,</w:t>
      </w:r>
      <w:r>
        <w:rPr>
          <w:lang w:val="fr-CA"/>
        </w:rPr>
        <w:t xml:space="preserve"> </w:t>
      </w:r>
      <w:r>
        <w:rPr>
          <w:rFonts w:cs="Times New Roman"/>
          <w:i/>
          <w:lang w:val="fr-CA"/>
        </w:rPr>
        <w:t>R. c</w:t>
      </w:r>
      <w:r w:rsidRPr="00752E35">
        <w:rPr>
          <w:rFonts w:cs="Times New Roman"/>
          <w:i/>
          <w:lang w:val="fr-CA"/>
        </w:rPr>
        <w:t>. Hinse</w:t>
      </w:r>
      <w:r w:rsidRPr="00752E35">
        <w:rPr>
          <w:rFonts w:cs="Times New Roman"/>
          <w:lang w:val="fr-CA"/>
        </w:rPr>
        <w:t xml:space="preserve">, [1995] </w:t>
      </w:r>
      <w:r>
        <w:rPr>
          <w:rFonts w:cs="Times New Roman"/>
          <w:lang w:val="fr-CA"/>
        </w:rPr>
        <w:t xml:space="preserve">4 </w:t>
      </w:r>
      <w:r w:rsidRPr="00752E35">
        <w:rPr>
          <w:rFonts w:cs="Times New Roman"/>
          <w:lang w:val="fr-CA"/>
        </w:rPr>
        <w:t>R.</w:t>
      </w:r>
      <w:r>
        <w:rPr>
          <w:rFonts w:cs="Times New Roman"/>
          <w:lang w:val="fr-CA"/>
        </w:rPr>
        <w:t>C.S.</w:t>
      </w:r>
      <w:r w:rsidRPr="00752E35">
        <w:rPr>
          <w:rFonts w:cs="Times New Roman"/>
          <w:lang w:val="fr-CA"/>
        </w:rPr>
        <w:t xml:space="preserve"> 597, </w:t>
      </w:r>
      <w:r>
        <w:rPr>
          <w:rFonts w:cs="Times New Roman"/>
          <w:lang w:val="fr-CA"/>
        </w:rPr>
        <w:t>par. </w:t>
      </w:r>
      <w:r w:rsidRPr="00752E35">
        <w:rPr>
          <w:rFonts w:cs="Times New Roman"/>
          <w:lang w:val="fr-CA"/>
        </w:rPr>
        <w:t xml:space="preserve">23; </w:t>
      </w:r>
      <w:r w:rsidRPr="00752E35">
        <w:rPr>
          <w:rFonts w:cs="Times New Roman"/>
          <w:i/>
          <w:lang w:val="fr-CA"/>
        </w:rPr>
        <w:t xml:space="preserve">R. </w:t>
      </w:r>
      <w:r>
        <w:rPr>
          <w:rFonts w:cs="Times New Roman"/>
          <w:i/>
          <w:lang w:val="fr-CA"/>
        </w:rPr>
        <w:t>c</w:t>
      </w:r>
      <w:r w:rsidRPr="00752E35">
        <w:rPr>
          <w:rFonts w:cs="Times New Roman"/>
          <w:i/>
          <w:lang w:val="fr-CA"/>
        </w:rPr>
        <w:t>. Provo</w:t>
      </w:r>
      <w:r>
        <w:rPr>
          <w:rFonts w:cs="Times New Roman"/>
          <w:lang w:val="fr-CA"/>
        </w:rPr>
        <w:t>, [1989] 2 R.C.S</w:t>
      </w:r>
      <w:r w:rsidRPr="00752E35">
        <w:rPr>
          <w:rFonts w:cs="Times New Roman"/>
          <w:lang w:val="fr-CA"/>
        </w:rPr>
        <w:t>. 3</w:t>
      </w:r>
      <w:r>
        <w:rPr>
          <w:rFonts w:cs="Times New Roman"/>
          <w:lang w:val="fr-CA"/>
        </w:rPr>
        <w:t>, p. </w:t>
      </w:r>
      <w:r w:rsidRPr="00752E35">
        <w:rPr>
          <w:rFonts w:cs="Times New Roman"/>
          <w:lang w:val="fr-CA"/>
        </w:rPr>
        <w:t>18</w:t>
      </w:r>
      <w:r>
        <w:rPr>
          <w:rFonts w:cs="Times New Roman"/>
          <w:lang w:val="fr-CA"/>
        </w:rPr>
        <w:noBreakHyphen/>
      </w:r>
      <w:r w:rsidRPr="00752E35">
        <w:rPr>
          <w:rFonts w:cs="Times New Roman"/>
          <w:lang w:val="fr-CA"/>
        </w:rPr>
        <w:t>23</w:t>
      </w:r>
      <w:r w:rsidR="00A859E5">
        <w:rPr>
          <w:rFonts w:cs="Times New Roman"/>
          <w:lang w:val="fr-CA"/>
        </w:rPr>
        <w:t>)</w:t>
      </w:r>
      <w:r>
        <w:rPr>
          <w:rFonts w:cs="Times New Roman"/>
          <w:lang w:val="fr-CA"/>
        </w:rPr>
        <w:t>.</w:t>
      </w:r>
    </w:p>
    <w:p w:rsidR="00AF49CF" w:rsidRPr="00473E30" w:rsidRDefault="00AF49CF" w:rsidP="00AF49CF">
      <w:pPr>
        <w:pStyle w:val="ParaNoNdepar-AltN"/>
        <w:rPr>
          <w:lang w:val="fr-CA"/>
        </w:rPr>
      </w:pPr>
      <w:r w:rsidRPr="00473E30">
        <w:rPr>
          <w:lang w:val="fr-CA"/>
        </w:rPr>
        <w:t>Il est évident que le droit applicable en matière de contrainte manque de clarté, d</w:t>
      </w:r>
      <w:r w:rsidRPr="00473E30">
        <w:rPr>
          <w:rFonts w:cs="Times New Roman"/>
          <w:lang w:val="fr-CA"/>
        </w:rPr>
        <w:t>’</w:t>
      </w:r>
      <w:r w:rsidRPr="00473E30">
        <w:rPr>
          <w:lang w:val="fr-CA"/>
        </w:rPr>
        <w:t>où la difficulté particulière d’y recourir comme moyen de défense.  S</w:t>
      </w:r>
      <w:r w:rsidRPr="00473E30">
        <w:rPr>
          <w:rFonts w:cs="Times New Roman"/>
          <w:lang w:val="fr-CA"/>
        </w:rPr>
        <w:t>’</w:t>
      </w:r>
      <w:r w:rsidRPr="00473E30">
        <w:rPr>
          <w:lang w:val="fr-CA"/>
        </w:rPr>
        <w:t>ajoute à ce facteur le problème que crée en l</w:t>
      </w:r>
      <w:r w:rsidRPr="00473E30">
        <w:rPr>
          <w:rFonts w:cs="Times New Roman"/>
          <w:lang w:val="fr-CA"/>
        </w:rPr>
        <w:t>’</w:t>
      </w:r>
      <w:r w:rsidRPr="00473E30">
        <w:rPr>
          <w:lang w:val="fr-CA"/>
        </w:rPr>
        <w:t>espèce le changement du point de vue du ministère public concernant le droit applicable entre la tenue du procès et la procédure d’appel.  Le procès s</w:t>
      </w:r>
      <w:r w:rsidRPr="00473E30">
        <w:rPr>
          <w:rFonts w:cs="Times New Roman"/>
          <w:lang w:val="fr-CA"/>
        </w:rPr>
        <w:t>’</w:t>
      </w:r>
      <w:r w:rsidRPr="00473E30">
        <w:rPr>
          <w:lang w:val="fr-CA"/>
        </w:rPr>
        <w:t>était déroulé sur la base de la prémisse que M</w:t>
      </w:r>
      <w:r w:rsidRPr="00473E30">
        <w:rPr>
          <w:vertAlign w:val="superscript"/>
          <w:lang w:val="fr-CA"/>
        </w:rPr>
        <w:t>me</w:t>
      </w:r>
      <w:r w:rsidRPr="00473E30">
        <w:rPr>
          <w:lang w:val="fr-CA"/>
        </w:rPr>
        <w:t> Ryan pouvait, en droit, invoquer la contrainte si les faits appuyaient cette position.  Elle s’est donc présentée au procès en croyant que les questions en litige étaient surtout les questions de fait consistant à savoir si elle avait renvoyé à des éléments de preuve susceptibles de soulever un doute raisonnable quant aux divers éléments constitutifs de la contrainte.  Vraisemblablement, des décisions concernant la conduite de la défense ont été prises sur ce fondement et auraient pu être différentes si elle avait été connue au moment du procès le moyen de droit défendu en appel par le ministère public selon lequel M</w:t>
      </w:r>
      <w:r w:rsidRPr="00473E30">
        <w:rPr>
          <w:vertAlign w:val="superscript"/>
          <w:lang w:val="fr-CA"/>
        </w:rPr>
        <w:t>me</w:t>
      </w:r>
      <w:r w:rsidRPr="00473E30">
        <w:rPr>
          <w:lang w:val="fr-CA"/>
        </w:rPr>
        <w:t xml:space="preserve"> Ryan ne pouvait, en droit, invoquer la contrainte.  Il existe donc un risque sérieux que certaines des conséquences de ces décisions ne puissent pas être annulées dans le contexte d’un nouveau procès, et il pourrait alors être injuste d’ordonner un nouveau procès.  En </w:t>
      </w:r>
      <w:r w:rsidRPr="00473E30">
        <w:rPr>
          <w:rFonts w:cs="Times New Roman"/>
          <w:szCs w:val="24"/>
          <w:lang w:val="fr-CA"/>
        </w:rPr>
        <w:t>outre, M</w:t>
      </w:r>
      <w:r w:rsidRPr="00473E30">
        <w:rPr>
          <w:rFonts w:cs="Times New Roman"/>
          <w:szCs w:val="24"/>
          <w:vertAlign w:val="superscript"/>
          <w:lang w:val="fr-CA"/>
        </w:rPr>
        <w:t>me</w:t>
      </w:r>
      <w:r w:rsidRPr="00473E30">
        <w:rPr>
          <w:rFonts w:cs="Times New Roman"/>
          <w:szCs w:val="24"/>
          <w:lang w:val="fr-CA"/>
        </w:rPr>
        <w:t> Ryan a été sérieusement affectée par les mauvais traitements que lui a infligés M. Ryan, ainsi que, nul doute, par ces interminables procédures, s’étirant sur presque cinq ans, et au cours desquelles elle a d’abord été acquittée en première instance avant de s’opposer avec succès à l’appel du ministère public en Cour d’appel.  Il est aussi troublant de constater, à la lumière du dossier, que les autorités compétentes ont semblé démontrer un plus grand empressement à intervenir pour protéger M. Ryan qu’à réagir à la demande</w:t>
      </w:r>
      <w:r>
        <w:rPr>
          <w:rFonts w:cs="Times New Roman"/>
          <w:szCs w:val="24"/>
          <w:lang w:val="fr-CA"/>
        </w:rPr>
        <w:t xml:space="preserve"> de</w:t>
      </w:r>
      <w:r w:rsidRPr="00473E30">
        <w:rPr>
          <w:rFonts w:cs="Times New Roman"/>
          <w:szCs w:val="24"/>
          <w:lang w:val="fr-CA"/>
        </w:rPr>
        <w:t xml:space="preserve"> M</w:t>
      </w:r>
      <w:r w:rsidRPr="00473E30">
        <w:rPr>
          <w:rFonts w:cs="Times New Roman"/>
          <w:szCs w:val="24"/>
          <w:vertAlign w:val="superscript"/>
          <w:lang w:val="fr-CA"/>
        </w:rPr>
        <w:t>me</w:t>
      </w:r>
      <w:r w:rsidRPr="00473E30">
        <w:rPr>
          <w:rFonts w:cs="Times New Roman"/>
          <w:szCs w:val="24"/>
          <w:lang w:val="fr-CA"/>
        </w:rPr>
        <w:t xml:space="preserve"> Ryan lorsqu’elle sollicitait leur aide pour mettre un terme au règne de terreur que lui imposait son époux.  Certes, l’arrêt </w:t>
      </w:r>
      <w:r w:rsidRPr="00473E30">
        <w:rPr>
          <w:lang w:val="fr-CA"/>
        </w:rPr>
        <w:t>des procédures n</w:t>
      </w:r>
      <w:r w:rsidRPr="00473E30">
        <w:rPr>
          <w:rFonts w:cs="Times New Roman"/>
          <w:lang w:val="fr-CA"/>
        </w:rPr>
        <w:t>’</w:t>
      </w:r>
      <w:r w:rsidRPr="00473E30">
        <w:rPr>
          <w:lang w:val="fr-CA"/>
        </w:rPr>
        <w:t>est justifié que dans les cas les plus manifestes </w:t>
      </w:r>
      <w:r w:rsidR="00232405">
        <w:rPr>
          <w:lang w:val="fr-CA"/>
        </w:rPr>
        <w:t>(</w:t>
      </w:r>
      <w:r w:rsidRPr="00473E30">
        <w:rPr>
          <w:lang w:val="fr-CA"/>
        </w:rPr>
        <w:t xml:space="preserve">voir </w:t>
      </w:r>
      <w:r w:rsidRPr="00473E30">
        <w:rPr>
          <w:i/>
          <w:lang w:val="fr-CA"/>
        </w:rPr>
        <w:t>R. c. Power</w:t>
      </w:r>
      <w:r w:rsidRPr="00473E30">
        <w:rPr>
          <w:lang w:val="fr-CA"/>
        </w:rPr>
        <w:t>, [1994] 1 R.C.S. 601, p. 615</w:t>
      </w:r>
      <w:r w:rsidR="00232405">
        <w:rPr>
          <w:lang w:val="fr-CA"/>
        </w:rPr>
        <w:t>)</w:t>
      </w:r>
      <w:r w:rsidRPr="00473E30">
        <w:rPr>
          <w:lang w:val="fr-CA"/>
        </w:rPr>
        <w:t>.  À notre avis, toutefois, le cas de M</w:t>
      </w:r>
      <w:r w:rsidRPr="00473E30">
        <w:rPr>
          <w:vertAlign w:val="superscript"/>
          <w:lang w:val="fr-CA"/>
        </w:rPr>
        <w:t>me</w:t>
      </w:r>
      <w:r w:rsidRPr="00473E30">
        <w:rPr>
          <w:lang w:val="fr-CA"/>
        </w:rPr>
        <w:t> Ryan relève de la catégorie résiduelle des affaires exigeant un arrêt des procédures : il s</w:t>
      </w:r>
      <w:r w:rsidRPr="00473E30">
        <w:rPr>
          <w:rFonts w:cs="Times New Roman"/>
          <w:lang w:val="fr-CA"/>
        </w:rPr>
        <w:t>’</w:t>
      </w:r>
      <w:r w:rsidRPr="00473E30">
        <w:rPr>
          <w:lang w:val="fr-CA"/>
        </w:rPr>
        <w:t>agit d</w:t>
      </w:r>
      <w:r w:rsidRPr="00473E30">
        <w:rPr>
          <w:rFonts w:cs="Times New Roman"/>
          <w:lang w:val="fr-CA"/>
        </w:rPr>
        <w:t>’</w:t>
      </w:r>
      <w:r w:rsidRPr="00473E30">
        <w:rPr>
          <w:lang w:val="fr-CA"/>
        </w:rPr>
        <w:t>une situation exceptionnelle qui commande une réparation exceptionnelle.  Compte tenu de toutes les circonstances, il serait injuste d</w:t>
      </w:r>
      <w:r w:rsidRPr="00473E30">
        <w:rPr>
          <w:rFonts w:cs="Times New Roman"/>
          <w:lang w:val="fr-CA"/>
        </w:rPr>
        <w:t>’</w:t>
      </w:r>
      <w:r w:rsidRPr="00473E30">
        <w:rPr>
          <w:lang w:val="fr-CA"/>
        </w:rPr>
        <w:t>imposer à M</w:t>
      </w:r>
      <w:r w:rsidRPr="00473E30">
        <w:rPr>
          <w:vertAlign w:val="superscript"/>
          <w:lang w:val="fr-CA"/>
        </w:rPr>
        <w:t>me</w:t>
      </w:r>
      <w:r w:rsidRPr="00473E30">
        <w:rPr>
          <w:lang w:val="fr-CA"/>
        </w:rPr>
        <w:t> Ryan un autre procès. Aussi, dans l</w:t>
      </w:r>
      <w:r w:rsidRPr="00473E30">
        <w:rPr>
          <w:rFonts w:cs="Times New Roman"/>
          <w:lang w:val="fr-CA"/>
        </w:rPr>
        <w:t>’</w:t>
      </w:r>
      <w:r w:rsidRPr="00473E30">
        <w:rPr>
          <w:lang w:val="fr-CA"/>
        </w:rPr>
        <w:t>intérêt de la justice, un arrêt des procédures s</w:t>
      </w:r>
      <w:r w:rsidRPr="00473E30">
        <w:rPr>
          <w:rFonts w:cs="Times New Roman"/>
          <w:lang w:val="fr-CA"/>
        </w:rPr>
        <w:t>’</w:t>
      </w:r>
      <w:r w:rsidRPr="00473E30">
        <w:rPr>
          <w:lang w:val="fr-CA"/>
        </w:rPr>
        <w:t>impose</w:t>
      </w:r>
      <w:r w:rsidR="00B751FD">
        <w:rPr>
          <w:lang w:val="fr-CA"/>
        </w:rPr>
        <w:t>-t-</w:t>
      </w:r>
      <w:r w:rsidRPr="00473E30">
        <w:rPr>
          <w:lang w:val="fr-CA"/>
        </w:rPr>
        <w:t>il à des fins de protection contre ces conséquences abusives </w:t>
      </w:r>
      <w:r w:rsidR="00232405">
        <w:rPr>
          <w:lang w:val="fr-CA"/>
        </w:rPr>
        <w:t>(</w:t>
      </w:r>
      <w:r w:rsidRPr="00473E30">
        <w:rPr>
          <w:lang w:val="fr-CA"/>
        </w:rPr>
        <w:t xml:space="preserve">voir </w:t>
      </w:r>
      <w:r w:rsidRPr="00473E30">
        <w:rPr>
          <w:i/>
          <w:lang w:val="fr-CA"/>
        </w:rPr>
        <w:t>Power</w:t>
      </w:r>
      <w:r w:rsidRPr="00473E30">
        <w:rPr>
          <w:lang w:val="fr-CA"/>
        </w:rPr>
        <w:t>, p. 615</w:t>
      </w:r>
      <w:r w:rsidRPr="00473E30">
        <w:rPr>
          <w:lang w:val="fr-CA"/>
        </w:rPr>
        <w:noBreakHyphen/>
        <w:t xml:space="preserve">616; </w:t>
      </w:r>
      <w:r w:rsidRPr="00473E30">
        <w:rPr>
          <w:i/>
          <w:lang w:val="fr-CA"/>
        </w:rPr>
        <w:t xml:space="preserve">Canada (Ministre de la Citoyenneté et de l’Immigration) </w:t>
      </w:r>
      <w:r w:rsidRPr="00473E30">
        <w:rPr>
          <w:i/>
          <w:iCs/>
          <w:lang w:val="fr-CA"/>
        </w:rPr>
        <w:t>c</w:t>
      </w:r>
      <w:r w:rsidRPr="00473E30">
        <w:rPr>
          <w:i/>
          <w:lang w:val="fr-CA"/>
        </w:rPr>
        <w:t>. Tobiass</w:t>
      </w:r>
      <w:r w:rsidRPr="00473E30">
        <w:rPr>
          <w:lang w:val="fr-CA"/>
        </w:rPr>
        <w:t>, [1997] 3 R.C.S. 391, par. 91</w:t>
      </w:r>
      <w:r w:rsidR="00232405">
        <w:rPr>
          <w:lang w:val="fr-CA"/>
        </w:rPr>
        <w:t>)</w:t>
      </w:r>
      <w:r w:rsidRPr="00473E30">
        <w:rPr>
          <w:lang w:val="fr-CA"/>
        </w:rPr>
        <w:t>.</w:t>
      </w:r>
    </w:p>
    <w:p w:rsidR="00AF49CF" w:rsidRPr="00A011C6" w:rsidRDefault="00AF49CF" w:rsidP="008008EC">
      <w:pPr>
        <w:pStyle w:val="TitleTitre-AltT"/>
        <w:tabs>
          <w:tab w:val="clear" w:pos="360"/>
          <w:tab w:val="left" w:pos="540"/>
        </w:tabs>
        <w:ind w:left="540" w:hanging="540"/>
        <w:rPr>
          <w:lang w:val="fr-CA"/>
        </w:rPr>
      </w:pPr>
      <w:r>
        <w:rPr>
          <w:lang w:val="fr-CA"/>
        </w:rPr>
        <w:t>D</w:t>
      </w:r>
      <w:r w:rsidRPr="00A011C6">
        <w:rPr>
          <w:lang w:val="fr-CA"/>
        </w:rPr>
        <w:t>.</w:t>
      </w:r>
      <w:r w:rsidRPr="00A011C6">
        <w:rPr>
          <w:lang w:val="fr-CA"/>
        </w:rPr>
        <w:tab/>
      </w:r>
      <w:r w:rsidRPr="00A011C6">
        <w:rPr>
          <w:i/>
          <w:lang w:val="fr-CA"/>
        </w:rPr>
        <w:t>Le droit en matière de contrainte peut</w:t>
      </w:r>
      <w:r>
        <w:rPr>
          <w:i/>
          <w:lang w:val="fr-CA"/>
        </w:rPr>
        <w:noBreakHyphen/>
      </w:r>
      <w:r w:rsidRPr="00A011C6">
        <w:rPr>
          <w:i/>
          <w:lang w:val="fr-CA"/>
        </w:rPr>
        <w:t>il être clarifié?</w:t>
      </w:r>
    </w:p>
    <w:p w:rsidR="00AF49CF" w:rsidRPr="00A011C6" w:rsidRDefault="00AF49CF" w:rsidP="00AF49CF">
      <w:pPr>
        <w:pStyle w:val="ParaNoNdepar-AltN"/>
        <w:rPr>
          <w:lang w:val="fr-CA"/>
        </w:rPr>
      </w:pPr>
      <w:r w:rsidRPr="00A011C6">
        <w:rPr>
          <w:lang w:val="fr-CA"/>
        </w:rPr>
        <w:t xml:space="preserve">Le présent pourvoi </w:t>
      </w:r>
      <w:r>
        <w:rPr>
          <w:lang w:val="fr-CA"/>
        </w:rPr>
        <w:t>souligne</w:t>
      </w:r>
      <w:r w:rsidRPr="00A011C6">
        <w:rPr>
          <w:lang w:val="fr-CA"/>
        </w:rPr>
        <w:t xml:space="preserve"> la nécessité d</w:t>
      </w:r>
      <w:r>
        <w:rPr>
          <w:lang w:val="fr-CA"/>
        </w:rPr>
        <w:t>’</w:t>
      </w:r>
      <w:r w:rsidRPr="00A011C6">
        <w:rPr>
          <w:lang w:val="fr-CA"/>
        </w:rPr>
        <w:t>apporter des éclaircissements supplémentaire</w:t>
      </w:r>
      <w:r>
        <w:rPr>
          <w:lang w:val="fr-CA"/>
        </w:rPr>
        <w:t>s</w:t>
      </w:r>
      <w:r w:rsidRPr="00A011C6">
        <w:rPr>
          <w:lang w:val="fr-CA"/>
        </w:rPr>
        <w:t xml:space="preserve"> au droit en matière de contrainte.  La version législative du moyen de défense s</w:t>
      </w:r>
      <w:r>
        <w:rPr>
          <w:lang w:val="fr-CA"/>
        </w:rPr>
        <w:t>’</w:t>
      </w:r>
      <w:r w:rsidRPr="00A011C6">
        <w:rPr>
          <w:lang w:val="fr-CA"/>
        </w:rPr>
        <w:t xml:space="preserve">applique aux </w:t>
      </w:r>
      <w:r>
        <w:rPr>
          <w:lang w:val="fr-CA"/>
        </w:rPr>
        <w:t xml:space="preserve">auteurs principaux d’infractions </w:t>
      </w:r>
      <w:r w:rsidRPr="00A011C6">
        <w:rPr>
          <w:lang w:val="fr-CA"/>
        </w:rPr>
        <w:t>et la common law aux</w:t>
      </w:r>
      <w:r>
        <w:rPr>
          <w:lang w:val="fr-CA"/>
        </w:rPr>
        <w:t xml:space="preserve"> participants à des infractions</w:t>
      </w:r>
      <w:r w:rsidRPr="00A011C6">
        <w:rPr>
          <w:lang w:val="fr-CA"/>
        </w:rPr>
        <w:t xml:space="preserve">.  Des aspects importants de la version législative ont été jugés inconstitutionnels dans </w:t>
      </w:r>
      <w:r w:rsidRPr="00A011C6">
        <w:rPr>
          <w:i/>
          <w:lang w:val="fr-CA"/>
        </w:rPr>
        <w:t>Ruzic</w:t>
      </w:r>
      <w:r w:rsidRPr="00A011C6">
        <w:rPr>
          <w:lang w:val="fr-CA"/>
        </w:rPr>
        <w:t xml:space="preserve">. </w:t>
      </w:r>
      <w:r>
        <w:rPr>
          <w:lang w:val="fr-CA"/>
        </w:rPr>
        <w:t xml:space="preserve"> </w:t>
      </w:r>
      <w:r w:rsidRPr="00A011C6">
        <w:rPr>
          <w:lang w:val="fr-CA"/>
        </w:rPr>
        <w:t>L</w:t>
      </w:r>
      <w:r>
        <w:rPr>
          <w:lang w:val="fr-CA"/>
        </w:rPr>
        <w:t>a disposition demeure</w:t>
      </w:r>
      <w:r w:rsidRPr="00A011C6">
        <w:rPr>
          <w:lang w:val="fr-CA"/>
        </w:rPr>
        <w:t xml:space="preserve"> toujours </w:t>
      </w:r>
      <w:r>
        <w:rPr>
          <w:lang w:val="fr-CA"/>
        </w:rPr>
        <w:t>en vigueur,</w:t>
      </w:r>
      <w:r w:rsidRPr="00A011C6">
        <w:rPr>
          <w:lang w:val="fr-CA"/>
        </w:rPr>
        <w:t xml:space="preserve"> mais a par contre fait l</w:t>
      </w:r>
      <w:r>
        <w:rPr>
          <w:lang w:val="fr-CA"/>
        </w:rPr>
        <w:t>’</w:t>
      </w:r>
      <w:r w:rsidRPr="00A011C6">
        <w:rPr>
          <w:lang w:val="fr-CA"/>
        </w:rPr>
        <w:t xml:space="preserve">objet de deux suppressions importantes. </w:t>
      </w:r>
      <w:r>
        <w:rPr>
          <w:lang w:val="fr-CA"/>
        </w:rPr>
        <w:t xml:space="preserve"> </w:t>
      </w:r>
      <w:r w:rsidRPr="00A011C6">
        <w:rPr>
          <w:lang w:val="fr-CA"/>
        </w:rPr>
        <w:t>La version législative de l</w:t>
      </w:r>
      <w:r>
        <w:rPr>
          <w:lang w:val="fr-CA"/>
        </w:rPr>
        <w:t>’</w:t>
      </w:r>
      <w:r w:rsidRPr="00A011C6">
        <w:rPr>
          <w:lang w:val="fr-CA"/>
        </w:rPr>
        <w:t>infraction exclut une longue liste d</w:t>
      </w:r>
      <w:r>
        <w:rPr>
          <w:lang w:val="fr-CA"/>
        </w:rPr>
        <w:t>’</w:t>
      </w:r>
      <w:r w:rsidRPr="00A011C6">
        <w:rPr>
          <w:lang w:val="fr-CA"/>
        </w:rPr>
        <w:t xml:space="preserve">infractions de son application, mais divers tribunaux ont jugé que certaines de ces exclusions étaient inconstitutionnelles. </w:t>
      </w:r>
      <w:r>
        <w:rPr>
          <w:lang w:val="fr-CA"/>
        </w:rPr>
        <w:t xml:space="preserve"> </w:t>
      </w:r>
      <w:r w:rsidRPr="00A011C6">
        <w:rPr>
          <w:lang w:val="fr-CA"/>
        </w:rPr>
        <w:t>Par exemple, dans</w:t>
      </w:r>
      <w:r>
        <w:rPr>
          <w:lang w:val="fr-CA"/>
        </w:rPr>
        <w:t xml:space="preserve"> </w:t>
      </w:r>
      <w:r w:rsidRPr="00A011C6">
        <w:rPr>
          <w:i/>
          <w:lang w:val="fr-CA"/>
        </w:rPr>
        <w:t>R. c. Fraser</w:t>
      </w:r>
      <w:r w:rsidRPr="00A011C6">
        <w:rPr>
          <w:lang w:val="fr-CA"/>
        </w:rPr>
        <w:t xml:space="preserve"> </w:t>
      </w:r>
      <w:r>
        <w:rPr>
          <w:lang w:val="fr-CA"/>
        </w:rPr>
        <w:t>(</w:t>
      </w:r>
      <w:r w:rsidRPr="00A011C6">
        <w:rPr>
          <w:lang w:val="fr-CA"/>
        </w:rPr>
        <w:t>2002</w:t>
      </w:r>
      <w:r>
        <w:rPr>
          <w:lang w:val="fr-CA"/>
        </w:rPr>
        <w:t>),</w:t>
      </w:r>
      <w:r w:rsidRPr="00A011C6">
        <w:rPr>
          <w:lang w:val="fr-CA"/>
        </w:rPr>
        <w:t xml:space="preserve"> </w:t>
      </w:r>
      <w:r>
        <w:rPr>
          <w:lang w:val="fr-CA"/>
        </w:rPr>
        <w:t xml:space="preserve">3 C.R. (6th) 308, </w:t>
      </w:r>
      <w:r w:rsidRPr="00A011C6">
        <w:rPr>
          <w:lang w:val="fr-CA"/>
        </w:rPr>
        <w:t>la Cour provinciale de la Nouvelle</w:t>
      </w:r>
      <w:r>
        <w:rPr>
          <w:lang w:val="fr-CA"/>
        </w:rPr>
        <w:noBreakHyphen/>
      </w:r>
      <w:r w:rsidRPr="00A011C6">
        <w:rPr>
          <w:lang w:val="fr-CA"/>
        </w:rPr>
        <w:t>Écosse a déclaré ce qui suit</w:t>
      </w:r>
      <w:r>
        <w:rPr>
          <w:lang w:val="fr-CA"/>
        </w:rPr>
        <w:t> :</w:t>
      </w:r>
    </w:p>
    <w:p w:rsidR="00AF49CF" w:rsidRPr="00A011C6" w:rsidRDefault="00AF49CF" w:rsidP="008008EC">
      <w:pPr>
        <w:pStyle w:val="Citation-AltC"/>
        <w:tabs>
          <w:tab w:val="left" w:pos="1620"/>
        </w:tabs>
        <w:ind w:hanging="1166"/>
        <w:contextualSpacing w:val="0"/>
        <w:rPr>
          <w:lang w:val="fr-CA"/>
        </w:rPr>
      </w:pPr>
      <w:r>
        <w:rPr>
          <w:smallCaps/>
          <w:szCs w:val="24"/>
          <w:lang w:val="fr-CA"/>
        </w:rPr>
        <w:tab/>
      </w:r>
      <w:r>
        <w:rPr>
          <w:smallCaps/>
          <w:szCs w:val="24"/>
          <w:lang w:val="fr-CA"/>
        </w:rPr>
        <w:tab/>
      </w:r>
      <w:r w:rsidRPr="00A011C6">
        <w:rPr>
          <w:smallCaps/>
          <w:szCs w:val="24"/>
          <w:lang w:val="fr-CA"/>
        </w:rPr>
        <w:t>[traduction]</w:t>
      </w:r>
      <w:r>
        <w:rPr>
          <w:szCs w:val="24"/>
          <w:lang w:val="fr-CA"/>
        </w:rPr>
        <w:t xml:space="preserve"> </w:t>
      </w:r>
      <w:r w:rsidR="008008EC">
        <w:rPr>
          <w:szCs w:val="24"/>
          <w:lang w:val="fr-CA"/>
        </w:rPr>
        <w:t>. . .</w:t>
      </w:r>
      <w:r>
        <w:rPr>
          <w:szCs w:val="24"/>
          <w:lang w:val="fr-CA"/>
        </w:rPr>
        <w:t xml:space="preserve"> </w:t>
      </w:r>
      <w:r w:rsidR="008008EC">
        <w:rPr>
          <w:szCs w:val="24"/>
          <w:lang w:val="fr-CA"/>
        </w:rPr>
        <w:t>l</w:t>
      </w:r>
      <w:r>
        <w:rPr>
          <w:szCs w:val="24"/>
          <w:lang w:val="fr-CA"/>
        </w:rPr>
        <w:t>’art. </w:t>
      </w:r>
      <w:r w:rsidRPr="00A011C6">
        <w:rPr>
          <w:szCs w:val="24"/>
          <w:lang w:val="fr-CA"/>
        </w:rPr>
        <w:t xml:space="preserve">17 du </w:t>
      </w:r>
      <w:r w:rsidRPr="0068202E">
        <w:rPr>
          <w:i/>
          <w:szCs w:val="24"/>
          <w:lang w:val="fr-CA"/>
        </w:rPr>
        <w:t>Code criminel</w:t>
      </w:r>
      <w:r w:rsidRPr="00A011C6">
        <w:rPr>
          <w:szCs w:val="24"/>
          <w:lang w:val="fr-CA"/>
        </w:rPr>
        <w:t>, dans la mesure où i</w:t>
      </w:r>
      <w:r>
        <w:rPr>
          <w:szCs w:val="24"/>
          <w:lang w:val="fr-CA"/>
        </w:rPr>
        <w:t xml:space="preserve">l élimine le moyen de défense fondé sur la contrainte </w:t>
      </w:r>
      <w:r w:rsidRPr="00A011C6">
        <w:rPr>
          <w:szCs w:val="24"/>
          <w:lang w:val="fr-CA"/>
        </w:rPr>
        <w:t>o</w:t>
      </w:r>
      <w:r>
        <w:rPr>
          <w:szCs w:val="24"/>
          <w:lang w:val="fr-CA"/>
        </w:rPr>
        <w:t>u sur</w:t>
      </w:r>
      <w:r w:rsidRPr="00A011C6">
        <w:rPr>
          <w:szCs w:val="24"/>
          <w:lang w:val="fr-CA"/>
        </w:rPr>
        <w:t xml:space="preserve"> la nécessité dans les cas d</w:t>
      </w:r>
      <w:r>
        <w:rPr>
          <w:szCs w:val="24"/>
          <w:lang w:val="fr-CA"/>
        </w:rPr>
        <w:t>’infractions liées au</w:t>
      </w:r>
      <w:r w:rsidRPr="00A011C6">
        <w:rPr>
          <w:szCs w:val="24"/>
          <w:lang w:val="fr-CA"/>
        </w:rPr>
        <w:t xml:space="preserve"> cambriolage</w:t>
      </w:r>
      <w:r>
        <w:rPr>
          <w:szCs w:val="24"/>
          <w:lang w:val="fr-CA"/>
        </w:rPr>
        <w:t>,</w:t>
      </w:r>
      <w:r w:rsidRPr="00A011C6">
        <w:rPr>
          <w:szCs w:val="24"/>
          <w:lang w:val="fr-CA"/>
        </w:rPr>
        <w:t xml:space="preserve"> est </w:t>
      </w:r>
      <w:r>
        <w:rPr>
          <w:szCs w:val="24"/>
          <w:lang w:val="fr-CA"/>
        </w:rPr>
        <w:t>inopérant,</w:t>
      </w:r>
      <w:r w:rsidRPr="00A011C6">
        <w:rPr>
          <w:szCs w:val="24"/>
          <w:lang w:val="fr-CA"/>
        </w:rPr>
        <w:t xml:space="preserve"> car il contrevient à la </w:t>
      </w:r>
      <w:r w:rsidRPr="0068202E">
        <w:rPr>
          <w:i/>
          <w:szCs w:val="24"/>
          <w:lang w:val="fr-CA"/>
        </w:rPr>
        <w:t>Charte canadienne des droits et libertés</w:t>
      </w:r>
      <w:r w:rsidRPr="00A011C6">
        <w:rPr>
          <w:szCs w:val="24"/>
          <w:lang w:val="fr-CA"/>
        </w:rPr>
        <w:t xml:space="preserve"> et, en particulier, à</w:t>
      </w:r>
      <w:r>
        <w:rPr>
          <w:szCs w:val="24"/>
          <w:lang w:val="fr-CA"/>
        </w:rPr>
        <w:t xml:space="preserve"> son art. </w:t>
      </w:r>
      <w:r w:rsidRPr="00A011C6">
        <w:rPr>
          <w:szCs w:val="24"/>
          <w:lang w:val="fr-CA"/>
        </w:rPr>
        <w:t>7</w:t>
      </w:r>
      <w:r>
        <w:rPr>
          <w:szCs w:val="24"/>
          <w:lang w:val="fr-CA"/>
        </w:rPr>
        <w:t>.</w:t>
      </w:r>
      <w:r w:rsidRPr="00A011C6">
        <w:rPr>
          <w:szCs w:val="24"/>
          <w:lang w:val="fr-CA"/>
        </w:rPr>
        <w:t xml:space="preserve"> </w:t>
      </w:r>
      <w:r>
        <w:rPr>
          <w:szCs w:val="24"/>
          <w:lang w:val="fr-CA"/>
        </w:rPr>
        <w:t xml:space="preserve"> </w:t>
      </w:r>
      <w:r w:rsidRPr="00A011C6">
        <w:rPr>
          <w:szCs w:val="24"/>
          <w:lang w:val="fr-CA"/>
        </w:rPr>
        <w:t>[</w:t>
      </w:r>
      <w:r>
        <w:rPr>
          <w:szCs w:val="24"/>
          <w:lang w:val="fr-CA"/>
        </w:rPr>
        <w:t>par. </w:t>
      </w:r>
      <w:r w:rsidRPr="00A011C6">
        <w:rPr>
          <w:szCs w:val="24"/>
          <w:lang w:val="fr-CA"/>
        </w:rPr>
        <w:t>5]</w:t>
      </w:r>
    </w:p>
    <w:p w:rsidR="00AF49CF" w:rsidRPr="00A011C6" w:rsidRDefault="00AF49CF" w:rsidP="00AF49CF">
      <w:pPr>
        <w:pStyle w:val="ContinueParaSuitedupar-AltP"/>
        <w:rPr>
          <w:lang w:val="fr-CA"/>
        </w:rPr>
      </w:pPr>
      <w:r>
        <w:rPr>
          <w:lang w:val="fr-CA"/>
        </w:rPr>
        <w:t>Une incertitude plane ainsi au sujet d</w:t>
      </w:r>
      <w:r w:rsidRPr="00A011C6">
        <w:rPr>
          <w:lang w:val="fr-CA"/>
        </w:rPr>
        <w:t xml:space="preserve">es </w:t>
      </w:r>
      <w:r>
        <w:rPr>
          <w:lang w:val="fr-CA"/>
        </w:rPr>
        <w:t>ressemblances et d</w:t>
      </w:r>
      <w:r w:rsidRPr="00A011C6">
        <w:rPr>
          <w:lang w:val="fr-CA"/>
        </w:rPr>
        <w:t>es différences entre la  version de common law et la version législative de l</w:t>
      </w:r>
      <w:r>
        <w:rPr>
          <w:lang w:val="fr-CA"/>
        </w:rPr>
        <w:t>’</w:t>
      </w:r>
      <w:r w:rsidRPr="00A011C6">
        <w:rPr>
          <w:lang w:val="fr-CA"/>
        </w:rPr>
        <w:t>infraction</w:t>
      </w:r>
      <w:r>
        <w:rPr>
          <w:lang w:val="fr-CA"/>
        </w:rPr>
        <w:t xml:space="preserve">.  </w:t>
      </w:r>
      <w:r w:rsidRPr="00A011C6">
        <w:rPr>
          <w:lang w:val="fr-CA"/>
        </w:rPr>
        <w:t>Dans les limites du rôle joué par les tribunaux dans l</w:t>
      </w:r>
      <w:r>
        <w:rPr>
          <w:lang w:val="fr-CA"/>
        </w:rPr>
        <w:t>’</w:t>
      </w:r>
      <w:r w:rsidRPr="00A011C6">
        <w:rPr>
          <w:lang w:val="fr-CA"/>
        </w:rPr>
        <w:t>évolution du droit, des éclaircissements suppl</w:t>
      </w:r>
      <w:r>
        <w:rPr>
          <w:lang w:val="fr-CA"/>
        </w:rPr>
        <w:t>émentaires s</w:t>
      </w:r>
      <w:r w:rsidRPr="00044A6F">
        <w:rPr>
          <w:rFonts w:cs="Times New Roman"/>
          <w:lang w:val="fr-CA"/>
        </w:rPr>
        <w:t>’</w:t>
      </w:r>
      <w:r>
        <w:rPr>
          <w:lang w:val="fr-CA"/>
        </w:rPr>
        <w:t>imposent</w:t>
      </w:r>
      <w:r w:rsidRPr="00A011C6">
        <w:rPr>
          <w:lang w:val="fr-CA"/>
        </w:rPr>
        <w:t>.</w:t>
      </w:r>
    </w:p>
    <w:p w:rsidR="00AF49CF" w:rsidRPr="00A011C6" w:rsidRDefault="00AF49CF" w:rsidP="00AF49CF">
      <w:pPr>
        <w:pStyle w:val="ParaNoNdepar-AltN"/>
        <w:rPr>
          <w:i/>
          <w:lang w:val="fr-CA"/>
        </w:rPr>
      </w:pPr>
      <w:r w:rsidRPr="00A011C6">
        <w:rPr>
          <w:lang w:val="fr-CA"/>
        </w:rPr>
        <w:t>Selon nous, après la décision rendue par la Cour dans</w:t>
      </w:r>
      <w:r>
        <w:rPr>
          <w:lang w:val="fr-CA"/>
        </w:rPr>
        <w:t xml:space="preserve"> l</w:t>
      </w:r>
      <w:r w:rsidRPr="00044A6F">
        <w:rPr>
          <w:rFonts w:cs="Times New Roman"/>
          <w:lang w:val="fr-CA"/>
        </w:rPr>
        <w:t>’</w:t>
      </w:r>
      <w:r>
        <w:rPr>
          <w:lang w:val="fr-CA"/>
        </w:rPr>
        <w:t>affaire</w:t>
      </w:r>
      <w:r w:rsidRPr="00A011C6">
        <w:rPr>
          <w:lang w:val="fr-CA"/>
        </w:rPr>
        <w:t xml:space="preserve"> </w:t>
      </w:r>
      <w:r w:rsidRPr="00A011C6">
        <w:rPr>
          <w:i/>
          <w:lang w:val="fr-CA"/>
        </w:rPr>
        <w:t>Ruzic</w:t>
      </w:r>
      <w:r w:rsidRPr="00A011C6">
        <w:rPr>
          <w:lang w:val="fr-CA"/>
        </w:rPr>
        <w:t>,</w:t>
      </w:r>
      <w:r w:rsidRPr="00A011C6">
        <w:rPr>
          <w:i/>
          <w:lang w:val="fr-CA"/>
        </w:rPr>
        <w:t xml:space="preserve"> </w:t>
      </w:r>
      <w:r w:rsidRPr="00A011C6">
        <w:rPr>
          <w:lang w:val="fr-CA"/>
        </w:rPr>
        <w:t xml:space="preserve">une réévaluation </w:t>
      </w:r>
      <w:r>
        <w:rPr>
          <w:lang w:val="fr-CA"/>
        </w:rPr>
        <w:t xml:space="preserve">partielle </w:t>
      </w:r>
      <w:r w:rsidRPr="00A011C6">
        <w:rPr>
          <w:lang w:val="fr-CA"/>
        </w:rPr>
        <w:t xml:space="preserve">et </w:t>
      </w:r>
      <w:r>
        <w:rPr>
          <w:lang w:val="fr-CA"/>
        </w:rPr>
        <w:t>des</w:t>
      </w:r>
      <w:r w:rsidRPr="00A011C6">
        <w:rPr>
          <w:lang w:val="fr-CA"/>
        </w:rPr>
        <w:t xml:space="preserve"> rajustements</w:t>
      </w:r>
      <w:r>
        <w:rPr>
          <w:lang w:val="fr-CA"/>
        </w:rPr>
        <w:t xml:space="preserve"> ponctuels</w:t>
      </w:r>
      <w:r w:rsidRPr="00A011C6">
        <w:rPr>
          <w:lang w:val="fr-CA"/>
        </w:rPr>
        <w:t xml:space="preserve"> de l</w:t>
      </w:r>
      <w:r>
        <w:rPr>
          <w:lang w:val="fr-CA"/>
        </w:rPr>
        <w:t>’</w:t>
      </w:r>
      <w:r w:rsidRPr="00A011C6">
        <w:rPr>
          <w:lang w:val="fr-CA"/>
        </w:rPr>
        <w:t>interprétation</w:t>
      </w:r>
      <w:r>
        <w:rPr>
          <w:lang w:val="fr-CA"/>
        </w:rPr>
        <w:t>,</w:t>
      </w:r>
      <w:r w:rsidRPr="00A011C6">
        <w:rPr>
          <w:lang w:val="fr-CA"/>
        </w:rPr>
        <w:t xml:space="preserve"> </w:t>
      </w:r>
      <w:r>
        <w:rPr>
          <w:lang w:val="fr-CA"/>
        </w:rPr>
        <w:t xml:space="preserve">tant de la version législative que de </w:t>
      </w:r>
      <w:r w:rsidRPr="00A011C6">
        <w:rPr>
          <w:lang w:val="fr-CA"/>
        </w:rPr>
        <w:t xml:space="preserve">la </w:t>
      </w:r>
      <w:r>
        <w:rPr>
          <w:lang w:val="fr-CA"/>
        </w:rPr>
        <w:t xml:space="preserve">version de </w:t>
      </w:r>
      <w:r w:rsidRPr="00A011C6">
        <w:rPr>
          <w:lang w:val="fr-CA"/>
        </w:rPr>
        <w:t>common law</w:t>
      </w:r>
      <w:r>
        <w:rPr>
          <w:lang w:val="fr-CA"/>
        </w:rPr>
        <w:t>,</w:t>
      </w:r>
      <w:r w:rsidRPr="00A011C6">
        <w:rPr>
          <w:lang w:val="fr-CA"/>
        </w:rPr>
        <w:t xml:space="preserve"> </w:t>
      </w:r>
      <w:r>
        <w:rPr>
          <w:lang w:val="fr-CA"/>
        </w:rPr>
        <w:t xml:space="preserve">du moyen de défense fondé sur la contrainte </w:t>
      </w:r>
      <w:r w:rsidRPr="00A011C6">
        <w:rPr>
          <w:lang w:val="fr-CA"/>
        </w:rPr>
        <w:t xml:space="preserve">semble nécessaire.  </w:t>
      </w:r>
      <w:r>
        <w:rPr>
          <w:lang w:val="fr-CA"/>
        </w:rPr>
        <w:t>Nous résumerons d’abord les conclusions</w:t>
      </w:r>
      <w:r w:rsidRPr="00A011C6">
        <w:rPr>
          <w:lang w:val="fr-CA"/>
        </w:rPr>
        <w:t xml:space="preserve"> </w:t>
      </w:r>
      <w:r>
        <w:rPr>
          <w:lang w:val="fr-CA"/>
        </w:rPr>
        <w:t>adoptées</w:t>
      </w:r>
      <w:r w:rsidRPr="00A011C6">
        <w:rPr>
          <w:lang w:val="fr-CA"/>
        </w:rPr>
        <w:t xml:space="preserve"> dans </w:t>
      </w:r>
      <w:r w:rsidRPr="00A011C6">
        <w:rPr>
          <w:i/>
          <w:lang w:val="fr-CA"/>
        </w:rPr>
        <w:t>Ruzic</w:t>
      </w:r>
      <w:r w:rsidRPr="00A011C6">
        <w:rPr>
          <w:lang w:val="fr-CA"/>
        </w:rPr>
        <w:t xml:space="preserve">, puis </w:t>
      </w:r>
      <w:r>
        <w:rPr>
          <w:lang w:val="fr-CA"/>
        </w:rPr>
        <w:t xml:space="preserve">nous traiterons des divers éléments constitutifs </w:t>
      </w:r>
      <w:r w:rsidRPr="00A011C6">
        <w:rPr>
          <w:lang w:val="fr-CA"/>
        </w:rPr>
        <w:t xml:space="preserve">de la </w:t>
      </w:r>
      <w:r>
        <w:rPr>
          <w:lang w:val="fr-CA"/>
        </w:rPr>
        <w:t>version</w:t>
      </w:r>
      <w:r w:rsidRPr="00A011C6">
        <w:rPr>
          <w:lang w:val="fr-CA"/>
        </w:rPr>
        <w:t xml:space="preserve"> législative et de la version de common law du moyen de défense</w:t>
      </w:r>
      <w:r>
        <w:rPr>
          <w:lang w:val="fr-CA"/>
        </w:rPr>
        <w:t>.</w:t>
      </w:r>
    </w:p>
    <w:p w:rsidR="00AF49CF" w:rsidRPr="00A011C6" w:rsidRDefault="00AF49CF" w:rsidP="00077048">
      <w:pPr>
        <w:pStyle w:val="TitleTitre-AltT"/>
        <w:tabs>
          <w:tab w:val="clear" w:pos="360"/>
          <w:tab w:val="left" w:pos="630"/>
        </w:tabs>
        <w:ind w:left="1170" w:hanging="1170"/>
        <w:rPr>
          <w:lang w:val="fr-CA"/>
        </w:rPr>
      </w:pPr>
      <w:r w:rsidRPr="00A011C6">
        <w:rPr>
          <w:lang w:val="fr-CA"/>
        </w:rPr>
        <w:tab/>
        <w:t>(1)</w:t>
      </w:r>
      <w:r w:rsidRPr="00A011C6">
        <w:rPr>
          <w:lang w:val="fr-CA"/>
        </w:rPr>
        <w:tab/>
      </w:r>
      <w:r>
        <w:rPr>
          <w:u w:val="single"/>
          <w:lang w:val="fr-CA"/>
        </w:rPr>
        <w:t>Aperçu</w:t>
      </w:r>
      <w:r w:rsidRPr="00A011C6">
        <w:rPr>
          <w:u w:val="single"/>
          <w:lang w:val="fr-CA"/>
        </w:rPr>
        <w:t xml:space="preserve"> de</w:t>
      </w:r>
      <w:r>
        <w:rPr>
          <w:u w:val="single"/>
          <w:lang w:val="fr-CA"/>
        </w:rPr>
        <w:t xml:space="preserve"> l</w:t>
      </w:r>
      <w:r w:rsidRPr="00F01CC4">
        <w:rPr>
          <w:rFonts w:cs="Times New Roman"/>
          <w:u w:val="single"/>
          <w:lang w:val="fr-CA"/>
        </w:rPr>
        <w:t>’</w:t>
      </w:r>
      <w:r>
        <w:rPr>
          <w:u w:val="single"/>
          <w:lang w:val="fr-CA"/>
        </w:rPr>
        <w:t>arrêt</w:t>
      </w:r>
      <w:r w:rsidRPr="00A011C6">
        <w:rPr>
          <w:u w:val="single"/>
          <w:lang w:val="fr-CA"/>
        </w:rPr>
        <w:t xml:space="preserve"> </w:t>
      </w:r>
      <w:r w:rsidRPr="00A011C6">
        <w:rPr>
          <w:i/>
          <w:u w:val="single"/>
          <w:lang w:val="fr-CA"/>
        </w:rPr>
        <w:t>Ruzic</w:t>
      </w:r>
    </w:p>
    <w:p w:rsidR="00AF49CF" w:rsidRPr="00A011C6" w:rsidRDefault="00AF49CF" w:rsidP="00AF49CF">
      <w:pPr>
        <w:pStyle w:val="ParaNoNdepar-AltN"/>
        <w:rPr>
          <w:lang w:val="fr-CA"/>
        </w:rPr>
      </w:pPr>
      <w:r w:rsidRPr="00A011C6">
        <w:rPr>
          <w:lang w:val="fr-CA"/>
        </w:rPr>
        <w:t xml:space="preserve">Dans </w:t>
      </w:r>
      <w:r w:rsidRPr="00A011C6">
        <w:rPr>
          <w:i/>
          <w:lang w:val="fr-CA"/>
        </w:rPr>
        <w:t>Ruzic</w:t>
      </w:r>
      <w:r w:rsidRPr="00A011C6">
        <w:rPr>
          <w:lang w:val="fr-CA"/>
        </w:rPr>
        <w:t>, la Cour a traité de la constitutionnalité de certaines parties</w:t>
      </w:r>
      <w:r>
        <w:rPr>
          <w:lang w:val="fr-CA"/>
        </w:rPr>
        <w:t xml:space="preserve"> de la version législative</w:t>
      </w:r>
      <w:r w:rsidRPr="00A011C6">
        <w:rPr>
          <w:lang w:val="fr-CA"/>
        </w:rPr>
        <w:t xml:space="preserve"> </w:t>
      </w:r>
      <w:r>
        <w:rPr>
          <w:lang w:val="fr-CA"/>
        </w:rPr>
        <w:t>du moyen de défense fondé sur</w:t>
      </w:r>
      <w:r w:rsidRPr="00A011C6">
        <w:rPr>
          <w:lang w:val="fr-CA"/>
        </w:rPr>
        <w:t xml:space="preserve"> la contrainte</w:t>
      </w:r>
      <w:r>
        <w:rPr>
          <w:lang w:val="fr-CA"/>
        </w:rPr>
        <w:t>, qui sont prévues</w:t>
      </w:r>
      <w:r w:rsidRPr="00A011C6">
        <w:rPr>
          <w:lang w:val="fr-CA"/>
        </w:rPr>
        <w:t xml:space="preserve"> à l</w:t>
      </w:r>
      <w:r>
        <w:rPr>
          <w:lang w:val="fr-CA"/>
        </w:rPr>
        <w:t>’art. </w:t>
      </w:r>
      <w:r w:rsidRPr="00A011C6">
        <w:rPr>
          <w:lang w:val="fr-CA"/>
        </w:rPr>
        <w:t xml:space="preserve">17 du </w:t>
      </w:r>
      <w:r w:rsidRPr="00A011C6">
        <w:rPr>
          <w:i/>
          <w:lang w:val="fr-CA"/>
        </w:rPr>
        <w:t>Code criminel</w:t>
      </w:r>
      <w:r w:rsidRPr="00A011C6">
        <w:rPr>
          <w:lang w:val="fr-CA"/>
        </w:rPr>
        <w:t xml:space="preserve">. </w:t>
      </w:r>
      <w:r>
        <w:rPr>
          <w:lang w:val="fr-CA"/>
        </w:rPr>
        <w:t xml:space="preserve"> Dans cette affaire, l’</w:t>
      </w:r>
      <w:r w:rsidRPr="00A011C6">
        <w:rPr>
          <w:lang w:val="fr-CA"/>
        </w:rPr>
        <w:t>accusée a</w:t>
      </w:r>
      <w:r>
        <w:rPr>
          <w:lang w:val="fr-CA"/>
        </w:rPr>
        <w:t xml:space="preserve"> avoué avoir importé</w:t>
      </w:r>
      <w:r w:rsidRPr="00A011C6">
        <w:rPr>
          <w:lang w:val="fr-CA"/>
        </w:rPr>
        <w:t xml:space="preserve"> de l</w:t>
      </w:r>
      <w:r>
        <w:rPr>
          <w:lang w:val="fr-CA"/>
        </w:rPr>
        <w:t>’</w:t>
      </w:r>
      <w:r w:rsidRPr="00A011C6">
        <w:rPr>
          <w:lang w:val="fr-CA"/>
        </w:rPr>
        <w:t>héroïne au Canada à partir de la Serbie</w:t>
      </w:r>
      <w:r>
        <w:rPr>
          <w:lang w:val="fr-CA"/>
        </w:rPr>
        <w:t xml:space="preserve">.  </w:t>
      </w:r>
      <w:r w:rsidRPr="00A011C6">
        <w:rPr>
          <w:lang w:val="fr-CA"/>
        </w:rPr>
        <w:t xml:space="preserve">Elle a </w:t>
      </w:r>
      <w:r>
        <w:rPr>
          <w:lang w:val="fr-CA"/>
        </w:rPr>
        <w:t xml:space="preserve">toutefois </w:t>
      </w:r>
      <w:r w:rsidRPr="00A011C6">
        <w:rPr>
          <w:lang w:val="fr-CA"/>
        </w:rPr>
        <w:t>prétendu qu</w:t>
      </w:r>
      <w:r>
        <w:rPr>
          <w:lang w:val="fr-CA"/>
        </w:rPr>
        <w:t>’</w:t>
      </w:r>
      <w:r w:rsidRPr="00A011C6">
        <w:rPr>
          <w:lang w:val="fr-CA"/>
        </w:rPr>
        <w:t xml:space="preserve">elle </w:t>
      </w:r>
      <w:r>
        <w:rPr>
          <w:lang w:val="fr-CA"/>
        </w:rPr>
        <w:t>devait être excusée</w:t>
      </w:r>
      <w:r w:rsidRPr="00A011C6">
        <w:rPr>
          <w:lang w:val="fr-CA"/>
        </w:rPr>
        <w:t xml:space="preserve"> de </w:t>
      </w:r>
      <w:r>
        <w:rPr>
          <w:lang w:val="fr-CA"/>
        </w:rPr>
        <w:t xml:space="preserve">toute </w:t>
      </w:r>
      <w:r w:rsidRPr="00A011C6">
        <w:rPr>
          <w:lang w:val="fr-CA"/>
        </w:rPr>
        <w:t>responsabilité criminelle parce qu</w:t>
      </w:r>
      <w:r>
        <w:rPr>
          <w:lang w:val="fr-CA"/>
        </w:rPr>
        <w:t>’</w:t>
      </w:r>
      <w:r w:rsidRPr="00A011C6">
        <w:rPr>
          <w:lang w:val="fr-CA"/>
        </w:rPr>
        <w:t>un</w:t>
      </w:r>
      <w:r>
        <w:rPr>
          <w:lang w:val="fr-CA"/>
        </w:rPr>
        <w:t xml:space="preserve"> tiers </w:t>
      </w:r>
      <w:r w:rsidRPr="00A011C6">
        <w:rPr>
          <w:lang w:val="fr-CA"/>
        </w:rPr>
        <w:t xml:space="preserve">en Serbie avait menacé de </w:t>
      </w:r>
      <w:r>
        <w:rPr>
          <w:lang w:val="fr-CA"/>
        </w:rPr>
        <w:t>s</w:t>
      </w:r>
      <w:r w:rsidRPr="006620DE">
        <w:rPr>
          <w:rFonts w:cs="Times New Roman"/>
          <w:lang w:val="fr-CA"/>
        </w:rPr>
        <w:t>’</w:t>
      </w:r>
      <w:r>
        <w:rPr>
          <w:lang w:val="fr-CA"/>
        </w:rPr>
        <w:t xml:space="preserve">en prendre </w:t>
      </w:r>
      <w:r w:rsidRPr="00A011C6">
        <w:rPr>
          <w:lang w:val="fr-CA"/>
        </w:rPr>
        <w:t>à sa mère si el</w:t>
      </w:r>
      <w:r>
        <w:rPr>
          <w:lang w:val="fr-CA"/>
        </w:rPr>
        <w:t>le ne commettait</w:t>
      </w:r>
      <w:r w:rsidRPr="00A011C6">
        <w:rPr>
          <w:lang w:val="fr-CA"/>
        </w:rPr>
        <w:t xml:space="preserve"> pas l</w:t>
      </w:r>
      <w:r>
        <w:rPr>
          <w:lang w:val="fr-CA"/>
        </w:rPr>
        <w:t>’</w:t>
      </w:r>
      <w:r w:rsidRPr="00A011C6">
        <w:rPr>
          <w:lang w:val="fr-CA"/>
        </w:rPr>
        <w:t xml:space="preserve">infraction </w:t>
      </w:r>
      <w:r>
        <w:rPr>
          <w:lang w:val="fr-CA"/>
        </w:rPr>
        <w:t xml:space="preserve">en cause, </w:t>
      </w:r>
      <w:r w:rsidRPr="00A011C6">
        <w:rPr>
          <w:lang w:val="fr-CA"/>
        </w:rPr>
        <w:t xml:space="preserve">et que la police serbe aurait été incapable de </w:t>
      </w:r>
      <w:r>
        <w:rPr>
          <w:lang w:val="fr-CA"/>
        </w:rPr>
        <w:t xml:space="preserve">la </w:t>
      </w:r>
      <w:r w:rsidRPr="00A011C6">
        <w:rPr>
          <w:lang w:val="fr-CA"/>
        </w:rPr>
        <w:t xml:space="preserve">protéger. </w:t>
      </w:r>
      <w:r>
        <w:rPr>
          <w:lang w:val="fr-CA"/>
        </w:rPr>
        <w:t xml:space="preserve"> </w:t>
      </w:r>
      <w:r w:rsidRPr="00A011C6">
        <w:rPr>
          <w:lang w:val="fr-CA"/>
        </w:rPr>
        <w:t>L</w:t>
      </w:r>
      <w:r>
        <w:rPr>
          <w:lang w:val="fr-CA"/>
        </w:rPr>
        <w:t>’</w:t>
      </w:r>
      <w:r w:rsidRPr="00A011C6">
        <w:rPr>
          <w:lang w:val="fr-CA"/>
        </w:rPr>
        <w:t>accusée a reconnu que s</w:t>
      </w:r>
      <w:r>
        <w:rPr>
          <w:lang w:val="fr-CA"/>
        </w:rPr>
        <w:t>on argument fondé sur</w:t>
      </w:r>
      <w:r w:rsidRPr="00A011C6">
        <w:rPr>
          <w:lang w:val="fr-CA"/>
        </w:rPr>
        <w:t xml:space="preserve"> la contrainte ne </w:t>
      </w:r>
      <w:r>
        <w:rPr>
          <w:lang w:val="fr-CA"/>
        </w:rPr>
        <w:t>remplissait</w:t>
      </w:r>
      <w:r w:rsidRPr="00A011C6">
        <w:rPr>
          <w:lang w:val="fr-CA"/>
        </w:rPr>
        <w:t xml:space="preserve"> pas </w:t>
      </w:r>
      <w:r>
        <w:rPr>
          <w:lang w:val="fr-CA"/>
        </w:rPr>
        <w:t>les conditions préalables</w:t>
      </w:r>
      <w:r w:rsidRPr="00A011C6">
        <w:rPr>
          <w:lang w:val="fr-CA"/>
        </w:rPr>
        <w:t xml:space="preserve"> </w:t>
      </w:r>
      <w:r>
        <w:rPr>
          <w:lang w:val="fr-CA"/>
        </w:rPr>
        <w:t>d’</w:t>
      </w:r>
      <w:r w:rsidRPr="00A011C6">
        <w:rPr>
          <w:lang w:val="fr-CA"/>
        </w:rPr>
        <w:t xml:space="preserve">immédiateté et de présence </w:t>
      </w:r>
      <w:r>
        <w:rPr>
          <w:lang w:val="fr-CA"/>
        </w:rPr>
        <w:t>permettant d</w:t>
      </w:r>
      <w:r w:rsidRPr="006620DE">
        <w:rPr>
          <w:rFonts w:cs="Times New Roman"/>
          <w:lang w:val="fr-CA"/>
        </w:rPr>
        <w:t>’</w:t>
      </w:r>
      <w:r>
        <w:rPr>
          <w:lang w:val="fr-CA"/>
        </w:rPr>
        <w:t>invoquer le</w:t>
      </w:r>
      <w:r w:rsidRPr="00A011C6">
        <w:rPr>
          <w:lang w:val="fr-CA"/>
        </w:rPr>
        <w:t xml:space="preserve"> moyen de défense prévu par la loi. </w:t>
      </w:r>
      <w:r>
        <w:rPr>
          <w:lang w:val="fr-CA"/>
        </w:rPr>
        <w:t xml:space="preserve"> Toutefois, e</w:t>
      </w:r>
      <w:r w:rsidRPr="00A011C6">
        <w:rPr>
          <w:lang w:val="fr-CA"/>
        </w:rPr>
        <w:t>lle a contesté la constitutionnalité de l</w:t>
      </w:r>
      <w:r>
        <w:rPr>
          <w:lang w:val="fr-CA"/>
        </w:rPr>
        <w:t>’art. </w:t>
      </w:r>
      <w:r w:rsidRPr="00A011C6">
        <w:rPr>
          <w:lang w:val="fr-CA"/>
        </w:rPr>
        <w:t>17, qui est ainsi libellé</w:t>
      </w:r>
      <w:r>
        <w:rPr>
          <w:lang w:val="fr-CA"/>
        </w:rPr>
        <w:t> :</w:t>
      </w:r>
    </w:p>
    <w:p w:rsidR="00AF49CF" w:rsidRPr="00A011C6" w:rsidRDefault="00AF49CF" w:rsidP="00077048">
      <w:pPr>
        <w:pStyle w:val="Citation-AltC"/>
        <w:tabs>
          <w:tab w:val="left" w:pos="1620"/>
        </w:tabs>
        <w:ind w:hanging="1166"/>
        <w:rPr>
          <w:lang w:val="fr-CA"/>
        </w:rPr>
      </w:pPr>
      <w:r>
        <w:rPr>
          <w:lang w:val="fr-CA"/>
        </w:rPr>
        <w:tab/>
      </w:r>
      <w:r>
        <w:rPr>
          <w:lang w:val="fr-CA"/>
        </w:rPr>
        <w:tab/>
      </w:r>
      <w:r w:rsidR="00B76B6E" w:rsidRPr="00B76B6E">
        <w:rPr>
          <w:b/>
          <w:lang w:val="fr-CA"/>
        </w:rPr>
        <w:t>17.</w:t>
      </w:r>
      <w:r w:rsidR="00B76B6E">
        <w:rPr>
          <w:lang w:val="fr-CA"/>
        </w:rPr>
        <w:t xml:space="preserve"> </w:t>
      </w:r>
      <w:r w:rsidRPr="00A011C6">
        <w:rPr>
          <w:lang w:val="fr-CA"/>
        </w:rPr>
        <w:t>Une personne qui commet une infraction, sous l</w:t>
      </w:r>
      <w:r>
        <w:rPr>
          <w:lang w:val="fr-CA"/>
        </w:rPr>
        <w:t>’</w:t>
      </w:r>
      <w:r w:rsidRPr="00A011C6">
        <w:rPr>
          <w:lang w:val="fr-CA"/>
        </w:rPr>
        <w:t xml:space="preserve">effet de la contrainte exercée par des menaces de </w:t>
      </w:r>
      <w:r w:rsidRPr="00A011C6">
        <w:rPr>
          <w:u w:val="single"/>
          <w:lang w:val="fr-CA"/>
        </w:rPr>
        <w:t>mort immédiate ou de lésions corporelles de la part d</w:t>
      </w:r>
      <w:r>
        <w:rPr>
          <w:u w:val="single"/>
          <w:lang w:val="fr-CA"/>
        </w:rPr>
        <w:t>’</w:t>
      </w:r>
      <w:r w:rsidRPr="00A011C6">
        <w:rPr>
          <w:u w:val="single"/>
          <w:lang w:val="fr-CA"/>
        </w:rPr>
        <w:t>une personne présente lorsque l</w:t>
      </w:r>
      <w:r>
        <w:rPr>
          <w:u w:val="single"/>
          <w:lang w:val="fr-CA"/>
        </w:rPr>
        <w:t>’</w:t>
      </w:r>
      <w:r w:rsidRPr="00A011C6">
        <w:rPr>
          <w:u w:val="single"/>
          <w:lang w:val="fr-CA"/>
        </w:rPr>
        <w:t>infraction est commise</w:t>
      </w:r>
      <w:r w:rsidRPr="00A011C6">
        <w:rPr>
          <w:lang w:val="fr-CA"/>
        </w:rPr>
        <w:t>, est excusée d</w:t>
      </w:r>
      <w:r>
        <w:rPr>
          <w:lang w:val="fr-CA"/>
        </w:rPr>
        <w:t>’</w:t>
      </w:r>
      <w:r w:rsidRPr="00A011C6">
        <w:rPr>
          <w:lang w:val="fr-CA"/>
        </w:rPr>
        <w:t>avoir commis l</w:t>
      </w:r>
      <w:r>
        <w:rPr>
          <w:lang w:val="fr-CA"/>
        </w:rPr>
        <w:t>’</w:t>
      </w:r>
      <w:r w:rsidRPr="00A011C6">
        <w:rPr>
          <w:lang w:val="fr-CA"/>
        </w:rPr>
        <w:t>infraction si elle croit que les menaces seront mises à exécution et si elle ne participe à aucun complot ou aucune association par laquelle elle est soumise à la contrainte</w:t>
      </w:r>
      <w:r>
        <w:rPr>
          <w:lang w:val="fr-CA"/>
        </w:rPr>
        <w:t xml:space="preserve">.  </w:t>
      </w:r>
      <w:r w:rsidRPr="00A011C6">
        <w:rPr>
          <w:lang w:val="fr-CA"/>
        </w:rPr>
        <w:t>Toutefois, le présent article ne s</w:t>
      </w:r>
      <w:r>
        <w:rPr>
          <w:lang w:val="fr-CA"/>
        </w:rPr>
        <w:t>’</w:t>
      </w:r>
      <w:r w:rsidRPr="00A011C6">
        <w:rPr>
          <w:lang w:val="fr-CA"/>
        </w:rPr>
        <w:t>applique pas si l</w:t>
      </w:r>
      <w:r>
        <w:rPr>
          <w:lang w:val="fr-CA"/>
        </w:rPr>
        <w:t>’</w:t>
      </w:r>
      <w:r w:rsidRPr="00A011C6">
        <w:rPr>
          <w:lang w:val="fr-CA"/>
        </w:rPr>
        <w:t>infraction commise est la haute trahison ou la trahison, le meurtre, la piraterie, la tentative de meurtre, l</w:t>
      </w:r>
      <w:r>
        <w:rPr>
          <w:lang w:val="fr-CA"/>
        </w:rPr>
        <w:t>’</w:t>
      </w:r>
      <w:r w:rsidRPr="00A011C6">
        <w:rPr>
          <w:lang w:val="fr-CA"/>
        </w:rPr>
        <w:t>agression sexuelle, l</w:t>
      </w:r>
      <w:r>
        <w:rPr>
          <w:lang w:val="fr-CA"/>
        </w:rPr>
        <w:t>’</w:t>
      </w:r>
      <w:r w:rsidRPr="00A011C6">
        <w:rPr>
          <w:lang w:val="fr-CA"/>
        </w:rPr>
        <w:t>agression sexuelle armée, menaces à une tierce personne ou infliction de lésions corporelles, l</w:t>
      </w:r>
      <w:r>
        <w:rPr>
          <w:lang w:val="fr-CA"/>
        </w:rPr>
        <w:t>’</w:t>
      </w:r>
      <w:r w:rsidRPr="00A011C6">
        <w:rPr>
          <w:lang w:val="fr-CA"/>
        </w:rPr>
        <w:t>agression sexuelle grave, le rapt, la prise d</w:t>
      </w:r>
      <w:r>
        <w:rPr>
          <w:lang w:val="fr-CA"/>
        </w:rPr>
        <w:t>’</w:t>
      </w:r>
      <w:r w:rsidRPr="00A011C6">
        <w:rPr>
          <w:lang w:val="fr-CA"/>
        </w:rPr>
        <w:t>otage, le vol qualifié, l</w:t>
      </w:r>
      <w:r>
        <w:rPr>
          <w:lang w:val="fr-CA"/>
        </w:rPr>
        <w:t>’</w:t>
      </w:r>
      <w:r w:rsidRPr="00A011C6">
        <w:rPr>
          <w:lang w:val="fr-CA"/>
        </w:rPr>
        <w:t>agression armée ou infliction de lésions corporelles, les voies de fait graves, l</w:t>
      </w:r>
      <w:r>
        <w:rPr>
          <w:lang w:val="fr-CA"/>
        </w:rPr>
        <w:t>’</w:t>
      </w:r>
      <w:r w:rsidRPr="00A011C6">
        <w:rPr>
          <w:lang w:val="fr-CA"/>
        </w:rPr>
        <w:t>infliction illégale de lésions corporelles, le crime d</w:t>
      </w:r>
      <w:r>
        <w:rPr>
          <w:lang w:val="fr-CA"/>
        </w:rPr>
        <w:t>’</w:t>
      </w:r>
      <w:r w:rsidRPr="00A011C6">
        <w:rPr>
          <w:lang w:val="fr-CA"/>
        </w:rPr>
        <w:t>incendie ou l</w:t>
      </w:r>
      <w:r>
        <w:rPr>
          <w:lang w:val="fr-CA"/>
        </w:rPr>
        <w:t>’</w:t>
      </w:r>
      <w:r w:rsidRPr="00A011C6">
        <w:rPr>
          <w:lang w:val="fr-CA"/>
        </w:rPr>
        <w:t>une des infractions visées aux articles 280 à 283 (enlèvement et séquestration d</w:t>
      </w:r>
      <w:r>
        <w:rPr>
          <w:lang w:val="fr-CA"/>
        </w:rPr>
        <w:t>’</w:t>
      </w:r>
      <w:r w:rsidRPr="00A011C6">
        <w:rPr>
          <w:lang w:val="fr-CA"/>
        </w:rPr>
        <w:t>une jeune personne)</w:t>
      </w:r>
      <w:r>
        <w:rPr>
          <w:lang w:val="fr-CA"/>
        </w:rPr>
        <w:t xml:space="preserve">. </w:t>
      </w:r>
    </w:p>
    <w:p w:rsidR="00AF49CF" w:rsidRPr="00A011C6" w:rsidRDefault="00AF49CF" w:rsidP="00AF49CF">
      <w:pPr>
        <w:pStyle w:val="ParaNoNdepar-AltN"/>
        <w:rPr>
          <w:lang w:val="fr-CA"/>
        </w:rPr>
      </w:pPr>
      <w:r w:rsidRPr="00A011C6">
        <w:rPr>
          <w:lang w:val="fr-CA"/>
        </w:rPr>
        <w:t>En confirmant l</w:t>
      </w:r>
      <w:r>
        <w:rPr>
          <w:lang w:val="fr-CA"/>
        </w:rPr>
        <w:t>’</w:t>
      </w:r>
      <w:r w:rsidRPr="00A011C6">
        <w:rPr>
          <w:lang w:val="fr-CA"/>
        </w:rPr>
        <w:t>acquittement de l</w:t>
      </w:r>
      <w:r>
        <w:rPr>
          <w:lang w:val="fr-CA"/>
        </w:rPr>
        <w:t xml:space="preserve">’accusée appuyé sur le moyen de défense fondé sur </w:t>
      </w:r>
      <w:r w:rsidRPr="00A011C6">
        <w:rPr>
          <w:lang w:val="fr-CA"/>
        </w:rPr>
        <w:t xml:space="preserve">la contrainte, la Cour, dans </w:t>
      </w:r>
      <w:r w:rsidRPr="00A011C6">
        <w:rPr>
          <w:i/>
          <w:lang w:val="fr-CA"/>
        </w:rPr>
        <w:t>Ruzic</w:t>
      </w:r>
      <w:r w:rsidRPr="00A011C6">
        <w:rPr>
          <w:lang w:val="fr-CA"/>
        </w:rPr>
        <w:t>, a conclu à l</w:t>
      </w:r>
      <w:r>
        <w:rPr>
          <w:lang w:val="fr-CA"/>
        </w:rPr>
        <w:t>’</w:t>
      </w:r>
      <w:r w:rsidRPr="00A011C6">
        <w:rPr>
          <w:lang w:val="fr-CA"/>
        </w:rPr>
        <w:t>unanimité que des parties de l</w:t>
      </w:r>
      <w:r>
        <w:rPr>
          <w:lang w:val="fr-CA"/>
        </w:rPr>
        <w:t>’art. </w:t>
      </w:r>
      <w:r w:rsidRPr="00A011C6">
        <w:rPr>
          <w:lang w:val="fr-CA"/>
        </w:rPr>
        <w:t>17 violaient l</w:t>
      </w:r>
      <w:r>
        <w:rPr>
          <w:lang w:val="fr-CA"/>
        </w:rPr>
        <w:t>’art. </w:t>
      </w:r>
      <w:r w:rsidRPr="00A011C6">
        <w:rPr>
          <w:lang w:val="fr-CA"/>
        </w:rPr>
        <w:t xml:space="preserve">7 de la </w:t>
      </w:r>
      <w:r w:rsidRPr="00A011C6">
        <w:rPr>
          <w:i/>
          <w:lang w:val="fr-CA"/>
        </w:rPr>
        <w:t>Charte</w:t>
      </w:r>
      <w:r>
        <w:rPr>
          <w:i/>
          <w:lang w:val="fr-CA"/>
        </w:rPr>
        <w:t xml:space="preserve"> canadienne des droits et libertés</w:t>
      </w:r>
      <w:r>
        <w:rPr>
          <w:lang w:val="fr-CA"/>
        </w:rPr>
        <w:t>, et leur justification ne pouvait se démontrer au sens de l’article premier</w:t>
      </w:r>
      <w:r w:rsidRPr="00A011C6">
        <w:rPr>
          <w:lang w:val="fr-CA"/>
        </w:rPr>
        <w:t>.</w:t>
      </w:r>
    </w:p>
    <w:p w:rsidR="00AF49CF" w:rsidRPr="00A011C6" w:rsidRDefault="00AF49CF" w:rsidP="00AF49CF">
      <w:pPr>
        <w:pStyle w:val="ParaNoNdepar-AltN"/>
        <w:rPr>
          <w:lang w:val="fr-CA"/>
        </w:rPr>
      </w:pPr>
      <w:r w:rsidRPr="00A011C6">
        <w:rPr>
          <w:lang w:val="fr-CA"/>
        </w:rPr>
        <w:t xml:space="preserve">Dans son analyse, </w:t>
      </w:r>
      <w:r>
        <w:rPr>
          <w:lang w:val="fr-CA"/>
        </w:rPr>
        <w:t>la Cour s</w:t>
      </w:r>
      <w:r w:rsidRPr="006620DE">
        <w:rPr>
          <w:rFonts w:cs="Times New Roman"/>
          <w:lang w:val="fr-CA"/>
        </w:rPr>
        <w:t>’</w:t>
      </w:r>
      <w:r>
        <w:rPr>
          <w:lang w:val="fr-CA"/>
        </w:rPr>
        <w:t>est</w:t>
      </w:r>
      <w:r w:rsidRPr="00A011C6">
        <w:rPr>
          <w:lang w:val="fr-CA"/>
        </w:rPr>
        <w:t xml:space="preserve"> d</w:t>
      </w:r>
      <w:r>
        <w:rPr>
          <w:lang w:val="fr-CA"/>
        </w:rPr>
        <w:t>’</w:t>
      </w:r>
      <w:r w:rsidRPr="00A011C6">
        <w:rPr>
          <w:lang w:val="fr-CA"/>
        </w:rPr>
        <w:t xml:space="preserve">abord </w:t>
      </w:r>
      <w:r>
        <w:rPr>
          <w:lang w:val="fr-CA"/>
        </w:rPr>
        <w:t>demandée si le refus de punir une</w:t>
      </w:r>
      <w:r w:rsidRPr="00A011C6">
        <w:rPr>
          <w:lang w:val="fr-CA"/>
        </w:rPr>
        <w:t xml:space="preserve"> conduite involontaire </w:t>
      </w:r>
      <w:r>
        <w:rPr>
          <w:lang w:val="fr-CA"/>
        </w:rPr>
        <w:t xml:space="preserve">au sens moral constituait </w:t>
      </w:r>
      <w:r w:rsidRPr="00A011C6">
        <w:rPr>
          <w:lang w:val="fr-CA"/>
        </w:rPr>
        <w:t xml:space="preserve">un principe de justice fondamentale.  </w:t>
      </w:r>
      <w:r>
        <w:rPr>
          <w:lang w:val="fr-CA"/>
        </w:rPr>
        <w:t>Une action est considérée comme involontaire au sens moral quand</w:t>
      </w:r>
      <w:r w:rsidRPr="00A011C6">
        <w:rPr>
          <w:lang w:val="fr-CA"/>
        </w:rPr>
        <w:t xml:space="preserve"> « [u]ne personne agit de façon moralement involontaire lorsqu</w:t>
      </w:r>
      <w:r>
        <w:rPr>
          <w:lang w:val="fr-CA"/>
        </w:rPr>
        <w:t>’</w:t>
      </w:r>
      <w:r w:rsidRPr="00A011C6">
        <w:rPr>
          <w:lang w:val="fr-CA"/>
        </w:rPr>
        <w:t>une situation périlleuse ne lui laisse pas d</w:t>
      </w:r>
      <w:r>
        <w:rPr>
          <w:lang w:val="fr-CA"/>
        </w:rPr>
        <w:t>’</w:t>
      </w:r>
      <w:r w:rsidRPr="00A011C6">
        <w:rPr>
          <w:lang w:val="fr-CA"/>
        </w:rPr>
        <w:t>autre choix réaliste que d</w:t>
      </w:r>
      <w:r>
        <w:rPr>
          <w:lang w:val="fr-CA"/>
        </w:rPr>
        <w:t>’</w:t>
      </w:r>
      <w:r w:rsidRPr="00A011C6">
        <w:rPr>
          <w:lang w:val="fr-CA"/>
        </w:rPr>
        <w:t>enfreindre la loi » (</w:t>
      </w:r>
      <w:r w:rsidRPr="00A011C6">
        <w:rPr>
          <w:i/>
          <w:lang w:val="fr-CA"/>
        </w:rPr>
        <w:t>Ruzic</w:t>
      </w:r>
      <w:r w:rsidRPr="00A011C6">
        <w:rPr>
          <w:lang w:val="fr-CA"/>
        </w:rPr>
        <w:t xml:space="preserve">, </w:t>
      </w:r>
      <w:r>
        <w:rPr>
          <w:lang w:val="fr-CA"/>
        </w:rPr>
        <w:t>par. </w:t>
      </w:r>
      <w:r w:rsidRPr="00A011C6">
        <w:rPr>
          <w:lang w:val="fr-CA"/>
        </w:rPr>
        <w:t xml:space="preserve">29). </w:t>
      </w:r>
      <w:r>
        <w:rPr>
          <w:lang w:val="fr-CA"/>
        </w:rPr>
        <w:t xml:space="preserve"> </w:t>
      </w:r>
      <w:r w:rsidRPr="00A011C6">
        <w:rPr>
          <w:lang w:val="fr-CA"/>
        </w:rPr>
        <w:t xml:space="preserve">En concluant que le principe du caractère involontaire au sens moral </w:t>
      </w:r>
      <w:r>
        <w:rPr>
          <w:lang w:val="fr-CA"/>
        </w:rPr>
        <w:t>était</w:t>
      </w:r>
      <w:r w:rsidRPr="00A011C6">
        <w:rPr>
          <w:lang w:val="fr-CA"/>
        </w:rPr>
        <w:t xml:space="preserve"> bel et bien un principe de justice fondamentale, la Cour a souligné qu</w:t>
      </w:r>
      <w:r>
        <w:rPr>
          <w:lang w:val="fr-CA"/>
        </w:rPr>
        <w:t>e la reconnaissance des</w:t>
      </w:r>
      <w:r w:rsidRPr="00A011C6">
        <w:rPr>
          <w:lang w:val="fr-CA"/>
        </w:rPr>
        <w:t xml:space="preserve"> auteurs d</w:t>
      </w:r>
      <w:r>
        <w:rPr>
          <w:lang w:val="fr-CA"/>
        </w:rPr>
        <w:t>’</w:t>
      </w:r>
      <w:r w:rsidRPr="00A011C6">
        <w:rPr>
          <w:lang w:val="fr-CA"/>
        </w:rPr>
        <w:t xml:space="preserve">une infraction criminelle comme des personnes douées de raison </w:t>
      </w:r>
      <w:r>
        <w:rPr>
          <w:lang w:val="fr-CA"/>
        </w:rPr>
        <w:t>capables d’affecter des choix autonomes constitue un principe directeur fondamental de notre droit pénal</w:t>
      </w:r>
      <w:r w:rsidRPr="00A011C6">
        <w:rPr>
          <w:lang w:val="fr-CA"/>
        </w:rPr>
        <w:t>.  Par conséquent, déclarer coupable une personne qui n</w:t>
      </w:r>
      <w:r>
        <w:rPr>
          <w:lang w:val="fr-CA"/>
        </w:rPr>
        <w:t>’</w:t>
      </w:r>
      <w:r w:rsidRPr="00A011C6">
        <w:rPr>
          <w:lang w:val="fr-CA"/>
        </w:rPr>
        <w:t xml:space="preserve">a </w:t>
      </w:r>
      <w:r>
        <w:rPr>
          <w:lang w:val="fr-CA"/>
        </w:rPr>
        <w:t xml:space="preserve">pas </w:t>
      </w:r>
      <w:r w:rsidRPr="00A011C6">
        <w:rPr>
          <w:lang w:val="fr-CA"/>
        </w:rPr>
        <w:t>d</w:t>
      </w:r>
      <w:r>
        <w:rPr>
          <w:lang w:val="fr-CA"/>
        </w:rPr>
        <w:t>’</w:t>
      </w:r>
      <w:r w:rsidRPr="00A011C6">
        <w:rPr>
          <w:lang w:val="fr-CA"/>
        </w:rPr>
        <w:t>autre choix réaliste et dont le comportement est, par conséquent, moralement involontaire</w:t>
      </w:r>
      <w:r>
        <w:rPr>
          <w:lang w:val="fr-CA"/>
        </w:rPr>
        <w:t xml:space="preserve"> constitue une </w:t>
      </w:r>
      <w:r w:rsidRPr="00A011C6">
        <w:rPr>
          <w:lang w:val="fr-CA"/>
        </w:rPr>
        <w:t>violation de l</w:t>
      </w:r>
      <w:r>
        <w:rPr>
          <w:lang w:val="fr-CA"/>
        </w:rPr>
        <w:t>’art. </w:t>
      </w:r>
      <w:r w:rsidRPr="00A011C6">
        <w:rPr>
          <w:lang w:val="fr-CA"/>
        </w:rPr>
        <w:t xml:space="preserve">7 de la </w:t>
      </w:r>
      <w:r w:rsidRPr="00A011C6">
        <w:rPr>
          <w:i/>
          <w:lang w:val="fr-CA"/>
        </w:rPr>
        <w:t>Charte</w:t>
      </w:r>
      <w:r>
        <w:rPr>
          <w:lang w:val="fr-CA"/>
        </w:rPr>
        <w:t>.</w:t>
      </w:r>
    </w:p>
    <w:p w:rsidR="00AF49CF" w:rsidRPr="00A011C6" w:rsidRDefault="00AF49CF" w:rsidP="00AF49CF">
      <w:pPr>
        <w:pStyle w:val="ParaNoNdepar-AltN"/>
        <w:rPr>
          <w:lang w:val="fr-CA"/>
        </w:rPr>
      </w:pPr>
      <w:r w:rsidRPr="00A011C6">
        <w:rPr>
          <w:lang w:val="fr-CA"/>
        </w:rPr>
        <w:t>La Cour s</w:t>
      </w:r>
      <w:r>
        <w:rPr>
          <w:lang w:val="fr-CA"/>
        </w:rPr>
        <w:t>’</w:t>
      </w:r>
      <w:r w:rsidRPr="00A011C6">
        <w:rPr>
          <w:lang w:val="fr-CA"/>
        </w:rPr>
        <w:t>est ensuite demandé</w:t>
      </w:r>
      <w:r>
        <w:rPr>
          <w:lang w:val="fr-CA"/>
        </w:rPr>
        <w:t>e</w:t>
      </w:r>
      <w:r w:rsidRPr="00A011C6">
        <w:rPr>
          <w:lang w:val="fr-CA"/>
        </w:rPr>
        <w:t xml:space="preserve"> si les exigences d</w:t>
      </w:r>
      <w:r>
        <w:rPr>
          <w:lang w:val="fr-CA"/>
        </w:rPr>
        <w:t>’</w:t>
      </w:r>
      <w:r w:rsidRPr="00A011C6">
        <w:rPr>
          <w:lang w:val="fr-CA"/>
        </w:rPr>
        <w:t>immédiateté et de présence de l</w:t>
      </w:r>
      <w:r>
        <w:rPr>
          <w:lang w:val="fr-CA"/>
        </w:rPr>
        <w:t>’art. </w:t>
      </w:r>
      <w:r w:rsidRPr="00A011C6">
        <w:rPr>
          <w:lang w:val="fr-CA"/>
        </w:rPr>
        <w:t xml:space="preserve">17 </w:t>
      </w:r>
      <w:r>
        <w:rPr>
          <w:lang w:val="fr-CA"/>
        </w:rPr>
        <w:t>contrevenaient</w:t>
      </w:r>
      <w:r w:rsidRPr="00A011C6">
        <w:rPr>
          <w:lang w:val="fr-CA"/>
        </w:rPr>
        <w:t xml:space="preserve"> au principe fondamental du caractère involontaire au sens moral en</w:t>
      </w:r>
      <w:r>
        <w:rPr>
          <w:lang w:val="fr-CA"/>
        </w:rPr>
        <w:t xml:space="preserve"> limitant le moyen de défense fondé sur</w:t>
      </w:r>
      <w:r w:rsidRPr="00A011C6">
        <w:rPr>
          <w:lang w:val="fr-CA"/>
        </w:rPr>
        <w:t xml:space="preserve"> la contrainte au cas d</w:t>
      </w:r>
      <w:r>
        <w:rPr>
          <w:lang w:val="fr-CA"/>
        </w:rPr>
        <w:t>’</w:t>
      </w:r>
      <w:r w:rsidRPr="00A011C6">
        <w:rPr>
          <w:lang w:val="fr-CA"/>
        </w:rPr>
        <w:t>une personne qui commet une infraction en raison d</w:t>
      </w:r>
      <w:r>
        <w:rPr>
          <w:lang w:val="fr-CA"/>
        </w:rPr>
        <w:t xml:space="preserve">e </w:t>
      </w:r>
      <w:r w:rsidRPr="00A011C6">
        <w:rPr>
          <w:lang w:val="fr-CA"/>
        </w:rPr>
        <w:t>menace</w:t>
      </w:r>
      <w:r>
        <w:rPr>
          <w:lang w:val="fr-CA"/>
        </w:rPr>
        <w:t>s</w:t>
      </w:r>
      <w:r w:rsidRPr="00A011C6">
        <w:rPr>
          <w:lang w:val="fr-CA"/>
        </w:rPr>
        <w:t xml:space="preserve"> de lésions corporelles susceptibles d</w:t>
      </w:r>
      <w:r>
        <w:rPr>
          <w:lang w:val="fr-CA"/>
        </w:rPr>
        <w:t>’</w:t>
      </w:r>
      <w:r w:rsidRPr="00A011C6">
        <w:rPr>
          <w:lang w:val="fr-CA"/>
        </w:rPr>
        <w:t>être mises à exécution immédiatement par une personne présente lorsque l</w:t>
      </w:r>
      <w:r>
        <w:rPr>
          <w:lang w:val="fr-CA"/>
        </w:rPr>
        <w:t>’</w:t>
      </w:r>
      <w:r w:rsidRPr="00A011C6">
        <w:rPr>
          <w:lang w:val="fr-CA"/>
        </w:rPr>
        <w:t xml:space="preserve">infraction est commise. </w:t>
      </w:r>
      <w:r>
        <w:rPr>
          <w:lang w:val="fr-CA"/>
        </w:rPr>
        <w:t xml:space="preserve"> </w:t>
      </w:r>
      <w:r w:rsidRPr="00A011C6">
        <w:rPr>
          <w:lang w:val="fr-CA"/>
        </w:rPr>
        <w:t>La Cour a conclu que les exigences d</w:t>
      </w:r>
      <w:r>
        <w:rPr>
          <w:lang w:val="fr-CA"/>
        </w:rPr>
        <w:t>’</w:t>
      </w:r>
      <w:r w:rsidRPr="00A011C6">
        <w:rPr>
          <w:lang w:val="fr-CA"/>
        </w:rPr>
        <w:t>immédiateté et de présence,</w:t>
      </w:r>
      <w:r>
        <w:rPr>
          <w:lang w:val="fr-CA"/>
        </w:rPr>
        <w:t xml:space="preserve"> considérées ensemble, excluent</w:t>
      </w:r>
      <w:r w:rsidRPr="00A011C6">
        <w:rPr>
          <w:lang w:val="fr-CA"/>
        </w:rPr>
        <w:t xml:space="preserve"> les menaces de pr</w:t>
      </w:r>
      <w:r>
        <w:rPr>
          <w:lang w:val="fr-CA"/>
        </w:rPr>
        <w:t>éjudice futur, et violent</w:t>
      </w:r>
      <w:r w:rsidRPr="00A011C6">
        <w:rPr>
          <w:lang w:val="fr-CA"/>
        </w:rPr>
        <w:t xml:space="preserve"> donc la </w:t>
      </w:r>
      <w:r w:rsidRPr="00A011C6">
        <w:rPr>
          <w:i/>
          <w:lang w:val="fr-CA"/>
        </w:rPr>
        <w:t>Charte</w:t>
      </w:r>
      <w:r w:rsidRPr="00A011C6">
        <w:rPr>
          <w:lang w:val="fr-CA"/>
        </w:rPr>
        <w:t xml:space="preserve">. </w:t>
      </w:r>
      <w:r>
        <w:rPr>
          <w:lang w:val="fr-CA"/>
        </w:rPr>
        <w:t xml:space="preserve"> </w:t>
      </w:r>
      <w:r w:rsidRPr="00A011C6">
        <w:rPr>
          <w:lang w:val="fr-CA"/>
        </w:rPr>
        <w:t>La portée trop limitative de l</w:t>
      </w:r>
      <w:r>
        <w:rPr>
          <w:lang w:val="fr-CA"/>
        </w:rPr>
        <w:t>’art. </w:t>
      </w:r>
      <w:r w:rsidRPr="00A011C6">
        <w:rPr>
          <w:lang w:val="fr-CA"/>
        </w:rPr>
        <w:t>17 viole le droit à la liberté et à la sécurité protégé par l</w:t>
      </w:r>
      <w:r>
        <w:rPr>
          <w:lang w:val="fr-CA"/>
        </w:rPr>
        <w:t>’art. </w:t>
      </w:r>
      <w:r w:rsidRPr="00A011C6">
        <w:rPr>
          <w:lang w:val="fr-CA"/>
        </w:rPr>
        <w:t>7</w:t>
      </w:r>
      <w:r>
        <w:rPr>
          <w:lang w:val="fr-CA"/>
        </w:rPr>
        <w:t>,</w:t>
      </w:r>
      <w:r w:rsidRPr="00A011C6">
        <w:rPr>
          <w:lang w:val="fr-CA"/>
        </w:rPr>
        <w:t xml:space="preserve"> car elle peut mener à la condamnation de personnes qui, </w:t>
      </w:r>
      <w:r>
        <w:rPr>
          <w:lang w:val="fr-CA"/>
        </w:rPr>
        <w:t xml:space="preserve">placées </w:t>
      </w:r>
      <w:r w:rsidRPr="00A011C6">
        <w:rPr>
          <w:lang w:val="fr-CA"/>
        </w:rPr>
        <w:t>sous l</w:t>
      </w:r>
      <w:r>
        <w:rPr>
          <w:lang w:val="fr-CA"/>
        </w:rPr>
        <w:t>’</w:t>
      </w:r>
      <w:r w:rsidRPr="00A011C6">
        <w:rPr>
          <w:lang w:val="fr-CA"/>
        </w:rPr>
        <w:t>effet de la contrainte résultant de menaces de préjudice futur, n</w:t>
      </w:r>
      <w:r>
        <w:rPr>
          <w:lang w:val="fr-CA"/>
        </w:rPr>
        <w:t>’</w:t>
      </w:r>
      <w:r w:rsidRPr="00A011C6">
        <w:rPr>
          <w:lang w:val="fr-CA"/>
        </w:rPr>
        <w:t xml:space="preserve">ont pas agi volontairement. </w:t>
      </w:r>
      <w:r>
        <w:rPr>
          <w:lang w:val="fr-CA"/>
        </w:rPr>
        <w:t xml:space="preserve"> </w:t>
      </w:r>
      <w:r w:rsidRPr="00A011C6">
        <w:rPr>
          <w:lang w:val="fr-CA"/>
        </w:rPr>
        <w:t>Cette violation ne peut être justifiée aux termes de l</w:t>
      </w:r>
      <w:r>
        <w:rPr>
          <w:lang w:val="fr-CA"/>
        </w:rPr>
        <w:t>’</w:t>
      </w:r>
      <w:r w:rsidRPr="00A011C6">
        <w:rPr>
          <w:lang w:val="fr-CA"/>
        </w:rPr>
        <w:t>article premier.</w:t>
      </w:r>
    </w:p>
    <w:p w:rsidR="00AF49CF" w:rsidRPr="00A011C6" w:rsidRDefault="00AF49CF" w:rsidP="00AF49CF">
      <w:pPr>
        <w:pStyle w:val="ParaNoNdepar-AltN"/>
        <w:rPr>
          <w:lang w:val="fr-CA"/>
        </w:rPr>
      </w:pPr>
      <w:r w:rsidRPr="00A011C6">
        <w:rPr>
          <w:lang w:val="fr-CA"/>
        </w:rPr>
        <w:t>La Cour a précisé que l</w:t>
      </w:r>
      <w:r>
        <w:rPr>
          <w:lang w:val="fr-CA"/>
        </w:rPr>
        <w:t>’art. </w:t>
      </w:r>
      <w:r w:rsidRPr="00A011C6">
        <w:rPr>
          <w:lang w:val="fr-CA"/>
        </w:rPr>
        <w:t>17 exige</w:t>
      </w:r>
      <w:r>
        <w:rPr>
          <w:lang w:val="fr-CA"/>
        </w:rPr>
        <w:t>ait</w:t>
      </w:r>
      <w:r w:rsidRPr="00A011C6">
        <w:rPr>
          <w:lang w:val="fr-CA"/>
        </w:rPr>
        <w:t xml:space="preserve"> uniquement que les menaces soient proférées </w:t>
      </w:r>
      <w:r w:rsidRPr="00A011C6">
        <w:rPr>
          <w:i/>
          <w:lang w:val="fr-CA"/>
        </w:rPr>
        <w:t>à</w:t>
      </w:r>
      <w:r w:rsidRPr="00A011C6">
        <w:rPr>
          <w:lang w:val="fr-CA"/>
        </w:rPr>
        <w:t xml:space="preserve"> l</w:t>
      </w:r>
      <w:r>
        <w:rPr>
          <w:lang w:val="fr-CA"/>
        </w:rPr>
        <w:t>’</w:t>
      </w:r>
      <w:r w:rsidRPr="00A011C6">
        <w:rPr>
          <w:lang w:val="fr-CA"/>
        </w:rPr>
        <w:t xml:space="preserve">accusé, et non pas que </w:t>
      </w:r>
      <w:r>
        <w:rPr>
          <w:lang w:val="fr-CA"/>
        </w:rPr>
        <w:t>celui</w:t>
      </w:r>
      <w:r>
        <w:rPr>
          <w:lang w:val="fr-CA"/>
        </w:rPr>
        <w:noBreakHyphen/>
        <w:t xml:space="preserve">ci soit </w:t>
      </w:r>
      <w:r w:rsidRPr="00A011C6">
        <w:rPr>
          <w:lang w:val="fr-CA"/>
        </w:rPr>
        <w:t>lui</w:t>
      </w:r>
      <w:r>
        <w:rPr>
          <w:lang w:val="fr-CA"/>
        </w:rPr>
        <w:noBreakHyphen/>
      </w:r>
      <w:r w:rsidRPr="00A011C6">
        <w:rPr>
          <w:lang w:val="fr-CA"/>
        </w:rPr>
        <w:t>même</w:t>
      </w:r>
      <w:r>
        <w:rPr>
          <w:lang w:val="fr-CA"/>
        </w:rPr>
        <w:t xml:space="preserve"> </w:t>
      </w:r>
      <w:r w:rsidRPr="00A011C6">
        <w:rPr>
          <w:lang w:val="fr-CA"/>
        </w:rPr>
        <w:t>l</w:t>
      </w:r>
      <w:r>
        <w:rPr>
          <w:lang w:val="fr-CA"/>
        </w:rPr>
        <w:t>’</w:t>
      </w:r>
      <w:r w:rsidRPr="00A011C6">
        <w:rPr>
          <w:i/>
          <w:lang w:val="fr-CA"/>
        </w:rPr>
        <w:t>objet</w:t>
      </w:r>
      <w:r w:rsidRPr="00A011C6">
        <w:rPr>
          <w:lang w:val="fr-CA"/>
        </w:rPr>
        <w:t xml:space="preserve"> des menaces de préjudice</w:t>
      </w:r>
      <w:r>
        <w:rPr>
          <w:lang w:val="fr-CA"/>
        </w:rPr>
        <w:t xml:space="preserve">.  </w:t>
      </w:r>
      <w:r w:rsidRPr="00A011C6">
        <w:rPr>
          <w:lang w:val="fr-CA"/>
        </w:rPr>
        <w:t>Par conséquent, l</w:t>
      </w:r>
      <w:r>
        <w:rPr>
          <w:lang w:val="fr-CA"/>
        </w:rPr>
        <w:t>’art. 17</w:t>
      </w:r>
      <w:r w:rsidRPr="00A011C6">
        <w:rPr>
          <w:lang w:val="fr-CA"/>
        </w:rPr>
        <w:t xml:space="preserve"> </w:t>
      </w:r>
      <w:r>
        <w:rPr>
          <w:lang w:val="fr-CA"/>
        </w:rPr>
        <w:t>n’exige pas</w:t>
      </w:r>
      <w:r w:rsidRPr="00A011C6">
        <w:rPr>
          <w:lang w:val="fr-CA"/>
        </w:rPr>
        <w:t xml:space="preserve"> que les menaces de préjudice visent directement l</w:t>
      </w:r>
      <w:r>
        <w:rPr>
          <w:lang w:val="fr-CA"/>
        </w:rPr>
        <w:t>’accusé.  Selon cette disposition, ces menaces peuvent être dirigées vers un tiers</w:t>
      </w:r>
      <w:r w:rsidRPr="00A011C6">
        <w:rPr>
          <w:lang w:val="fr-CA"/>
        </w:rPr>
        <w:t xml:space="preserve">. </w:t>
      </w:r>
      <w:r>
        <w:rPr>
          <w:lang w:val="fr-CA"/>
        </w:rPr>
        <w:t xml:space="preserve"> </w:t>
      </w:r>
      <w:r w:rsidRPr="00A011C6">
        <w:rPr>
          <w:lang w:val="fr-CA"/>
        </w:rPr>
        <w:t>De plus, la Cour a confirmé les décisions qu</w:t>
      </w:r>
      <w:r>
        <w:rPr>
          <w:lang w:val="fr-CA"/>
        </w:rPr>
        <w:t>’</w:t>
      </w:r>
      <w:r w:rsidRPr="00A011C6">
        <w:rPr>
          <w:lang w:val="fr-CA"/>
        </w:rPr>
        <w:t>elle a</w:t>
      </w:r>
      <w:r>
        <w:rPr>
          <w:lang w:val="fr-CA"/>
        </w:rPr>
        <w:t>vait</w:t>
      </w:r>
      <w:r w:rsidRPr="00A011C6">
        <w:rPr>
          <w:lang w:val="fr-CA"/>
        </w:rPr>
        <w:t xml:space="preserve"> déjà rendues dans </w:t>
      </w:r>
      <w:r>
        <w:rPr>
          <w:lang w:val="fr-CA"/>
        </w:rPr>
        <w:t xml:space="preserve">les arrêts </w:t>
      </w:r>
      <w:r w:rsidRPr="00A011C6">
        <w:rPr>
          <w:i/>
          <w:iCs/>
          <w:lang w:val="fr-CA"/>
        </w:rPr>
        <w:t>Paquette c. La Reine</w:t>
      </w:r>
      <w:r w:rsidRPr="00A011C6">
        <w:rPr>
          <w:iCs/>
          <w:lang w:val="fr-CA"/>
        </w:rPr>
        <w:t>, [1977] 2 R.C.S.</w:t>
      </w:r>
      <w:r w:rsidRPr="00A011C6">
        <w:rPr>
          <w:i/>
          <w:iCs/>
          <w:lang w:val="fr-CA"/>
        </w:rPr>
        <w:t xml:space="preserve"> </w:t>
      </w:r>
      <w:r w:rsidRPr="00A011C6">
        <w:rPr>
          <w:iCs/>
          <w:lang w:val="fr-CA"/>
        </w:rPr>
        <w:t>189</w:t>
      </w:r>
      <w:r>
        <w:rPr>
          <w:iCs/>
          <w:lang w:val="fr-CA"/>
        </w:rPr>
        <w:t>,</w:t>
      </w:r>
      <w:r w:rsidRPr="00A011C6">
        <w:rPr>
          <w:iCs/>
          <w:lang w:val="fr-CA"/>
        </w:rPr>
        <w:t xml:space="preserve"> et</w:t>
      </w:r>
      <w:r w:rsidRPr="00A011C6">
        <w:rPr>
          <w:lang w:val="fr-CA"/>
        </w:rPr>
        <w:t xml:space="preserve"> </w:t>
      </w:r>
      <w:r w:rsidRPr="00A011C6">
        <w:rPr>
          <w:i/>
          <w:iCs/>
          <w:lang w:val="fr-CA"/>
        </w:rPr>
        <w:t>Hibbert</w:t>
      </w:r>
      <w:r>
        <w:rPr>
          <w:lang w:val="fr-CA"/>
        </w:rPr>
        <w:t>.  Dans ces arrêts,</w:t>
      </w:r>
      <w:r w:rsidRPr="00A011C6">
        <w:rPr>
          <w:lang w:val="fr-CA"/>
        </w:rPr>
        <w:t xml:space="preserve"> elle a</w:t>
      </w:r>
      <w:r>
        <w:rPr>
          <w:lang w:val="fr-CA"/>
        </w:rPr>
        <w:t>vait</w:t>
      </w:r>
      <w:r w:rsidRPr="00A011C6">
        <w:rPr>
          <w:lang w:val="fr-CA"/>
        </w:rPr>
        <w:t xml:space="preserve"> conclu que l</w:t>
      </w:r>
      <w:r>
        <w:rPr>
          <w:lang w:val="fr-CA"/>
        </w:rPr>
        <w:t>’art. </w:t>
      </w:r>
      <w:r w:rsidRPr="00A011C6">
        <w:rPr>
          <w:lang w:val="fr-CA"/>
        </w:rPr>
        <w:t>17 ne s</w:t>
      </w:r>
      <w:r>
        <w:rPr>
          <w:lang w:val="fr-CA"/>
        </w:rPr>
        <w:t>’appliquait</w:t>
      </w:r>
      <w:r w:rsidRPr="00A011C6">
        <w:rPr>
          <w:lang w:val="fr-CA"/>
        </w:rPr>
        <w:t xml:space="preserve"> qu</w:t>
      </w:r>
      <w:r>
        <w:rPr>
          <w:lang w:val="fr-CA"/>
        </w:rPr>
        <w:t xml:space="preserve">’à </w:t>
      </w:r>
      <w:r w:rsidRPr="00A011C6">
        <w:rPr>
          <w:lang w:val="fr-CA"/>
        </w:rPr>
        <w:t>l</w:t>
      </w:r>
      <w:r>
        <w:rPr>
          <w:lang w:val="fr-CA"/>
        </w:rPr>
        <w:t>’</w:t>
      </w:r>
      <w:r w:rsidRPr="00A011C6">
        <w:rPr>
          <w:lang w:val="fr-CA"/>
        </w:rPr>
        <w:t>auteur principal d</w:t>
      </w:r>
      <w:r>
        <w:rPr>
          <w:lang w:val="fr-CA"/>
        </w:rPr>
        <w:t>’</w:t>
      </w:r>
      <w:r w:rsidRPr="00A011C6">
        <w:rPr>
          <w:lang w:val="fr-CA"/>
        </w:rPr>
        <w:t>une infraction, alors que</w:t>
      </w:r>
      <w:r>
        <w:rPr>
          <w:lang w:val="fr-CA"/>
        </w:rPr>
        <w:t xml:space="preserve"> seuls les</w:t>
      </w:r>
      <w:r w:rsidRPr="00A011C6">
        <w:rPr>
          <w:lang w:val="fr-CA"/>
        </w:rPr>
        <w:t xml:space="preserve"> participants à une infraction </w:t>
      </w:r>
      <w:r>
        <w:rPr>
          <w:lang w:val="fr-CA"/>
        </w:rPr>
        <w:t>peuvent</w:t>
      </w:r>
      <w:r w:rsidRPr="00A011C6">
        <w:rPr>
          <w:lang w:val="fr-CA"/>
        </w:rPr>
        <w:t xml:space="preserve"> </w:t>
      </w:r>
      <w:r>
        <w:rPr>
          <w:lang w:val="fr-CA"/>
        </w:rPr>
        <w:t xml:space="preserve">soulever </w:t>
      </w:r>
      <w:r w:rsidRPr="00A011C6">
        <w:rPr>
          <w:lang w:val="fr-CA"/>
        </w:rPr>
        <w:t xml:space="preserve">le moyen de défense de common law fondé sur la contrainte. </w:t>
      </w:r>
      <w:r>
        <w:rPr>
          <w:lang w:val="fr-CA"/>
        </w:rPr>
        <w:t xml:space="preserve"> </w:t>
      </w:r>
      <w:r w:rsidRPr="00A011C6">
        <w:rPr>
          <w:lang w:val="fr-CA"/>
        </w:rPr>
        <w:t>Enfin, la Cour a refusé d</w:t>
      </w:r>
      <w:r>
        <w:rPr>
          <w:lang w:val="fr-CA"/>
        </w:rPr>
        <w:t>’</w:t>
      </w:r>
      <w:r w:rsidRPr="00A011C6">
        <w:rPr>
          <w:lang w:val="fr-CA"/>
        </w:rPr>
        <w:t>examiner si la liste des infractions exclues figurant à l</w:t>
      </w:r>
      <w:r>
        <w:rPr>
          <w:lang w:val="fr-CA"/>
        </w:rPr>
        <w:t>’art. </w:t>
      </w:r>
      <w:r w:rsidRPr="00A011C6">
        <w:rPr>
          <w:lang w:val="fr-CA"/>
        </w:rPr>
        <w:t>17 viol</w:t>
      </w:r>
      <w:r>
        <w:rPr>
          <w:lang w:val="fr-CA"/>
        </w:rPr>
        <w:t>ait</w:t>
      </w:r>
      <w:r w:rsidRPr="00A011C6">
        <w:rPr>
          <w:lang w:val="fr-CA"/>
        </w:rPr>
        <w:t xml:space="preserve"> la </w:t>
      </w:r>
      <w:r w:rsidRPr="00A011C6">
        <w:rPr>
          <w:i/>
          <w:lang w:val="fr-CA"/>
        </w:rPr>
        <w:t>Charte</w:t>
      </w:r>
      <w:r w:rsidRPr="00A011C6">
        <w:rPr>
          <w:lang w:val="fr-CA"/>
        </w:rPr>
        <w:t xml:space="preserve">, car aucune des infractions en litige dans le pourvoi ne </w:t>
      </w:r>
      <w:r>
        <w:rPr>
          <w:lang w:val="fr-CA"/>
        </w:rPr>
        <w:t>faisait partie de cette</w:t>
      </w:r>
      <w:r w:rsidRPr="00A011C6">
        <w:rPr>
          <w:lang w:val="fr-CA"/>
        </w:rPr>
        <w:t xml:space="preserve"> liste</w:t>
      </w:r>
      <w:r>
        <w:rPr>
          <w:lang w:val="fr-CA"/>
        </w:rPr>
        <w:t> </w:t>
      </w:r>
      <w:r w:rsidR="00B76B6E">
        <w:rPr>
          <w:lang w:val="fr-CA"/>
        </w:rPr>
        <w:t>(</w:t>
      </w:r>
      <w:r>
        <w:rPr>
          <w:lang w:val="fr-CA"/>
        </w:rPr>
        <w:t>par. </w:t>
      </w:r>
      <w:r w:rsidRPr="00A011C6">
        <w:rPr>
          <w:lang w:val="fr-CA"/>
        </w:rPr>
        <w:t>19</w:t>
      </w:r>
      <w:r w:rsidR="00B76B6E">
        <w:rPr>
          <w:lang w:val="fr-CA"/>
        </w:rPr>
        <w:t>)</w:t>
      </w:r>
      <w:r w:rsidRPr="00A011C6">
        <w:rPr>
          <w:lang w:val="fr-CA"/>
        </w:rPr>
        <w:t>.</w:t>
      </w:r>
    </w:p>
    <w:p w:rsidR="00AF49CF" w:rsidRPr="00A011C6" w:rsidRDefault="00AF49CF" w:rsidP="002151F8">
      <w:pPr>
        <w:pStyle w:val="TitleTitre-AltT"/>
        <w:tabs>
          <w:tab w:val="clear" w:pos="360"/>
          <w:tab w:val="left" w:pos="630"/>
        </w:tabs>
        <w:ind w:left="1170" w:hanging="1170"/>
        <w:rPr>
          <w:lang w:val="fr-CA"/>
        </w:rPr>
      </w:pPr>
      <w:r w:rsidRPr="00A011C6">
        <w:rPr>
          <w:lang w:val="fr-CA"/>
        </w:rPr>
        <w:tab/>
        <w:t>(2)</w:t>
      </w:r>
      <w:r w:rsidRPr="00A011C6">
        <w:rPr>
          <w:lang w:val="fr-CA"/>
        </w:rPr>
        <w:tab/>
      </w:r>
      <w:r>
        <w:rPr>
          <w:u w:val="single"/>
          <w:lang w:val="fr-CA"/>
        </w:rPr>
        <w:t>L</w:t>
      </w:r>
      <w:r w:rsidRPr="00A011C6">
        <w:rPr>
          <w:u w:val="single"/>
          <w:lang w:val="fr-CA"/>
        </w:rPr>
        <w:t>a contrainte</w:t>
      </w:r>
      <w:r>
        <w:rPr>
          <w:u w:val="single"/>
          <w:lang w:val="fr-CA"/>
        </w:rPr>
        <w:t xml:space="preserve"> comme moyen de défense</w:t>
      </w:r>
      <w:r w:rsidRPr="00A011C6">
        <w:rPr>
          <w:u w:val="single"/>
          <w:lang w:val="fr-CA"/>
        </w:rPr>
        <w:t xml:space="preserve"> prévu par la loi</w:t>
      </w:r>
      <w:r>
        <w:rPr>
          <w:u w:val="single"/>
          <w:lang w:val="fr-CA"/>
        </w:rPr>
        <w:t>,</w:t>
      </w:r>
      <w:r w:rsidRPr="00A011C6">
        <w:rPr>
          <w:u w:val="single"/>
          <w:lang w:val="fr-CA"/>
        </w:rPr>
        <w:t xml:space="preserve"> après l</w:t>
      </w:r>
      <w:r>
        <w:rPr>
          <w:u w:val="single"/>
          <w:lang w:val="fr-CA"/>
        </w:rPr>
        <w:t>’</w:t>
      </w:r>
      <w:r w:rsidRPr="00A011C6">
        <w:rPr>
          <w:u w:val="single"/>
          <w:lang w:val="fr-CA"/>
        </w:rPr>
        <w:t xml:space="preserve">arrêt </w:t>
      </w:r>
      <w:r w:rsidRPr="00A011C6">
        <w:rPr>
          <w:i/>
          <w:u w:val="single"/>
          <w:lang w:val="fr-CA"/>
        </w:rPr>
        <w:t>Ruzic</w:t>
      </w:r>
    </w:p>
    <w:p w:rsidR="00AF49CF" w:rsidRPr="00A011C6" w:rsidRDefault="00AF49CF" w:rsidP="00AF49CF">
      <w:pPr>
        <w:pStyle w:val="ParaNoNdepar-AltN"/>
        <w:rPr>
          <w:lang w:val="fr-CA"/>
        </w:rPr>
      </w:pPr>
      <w:r w:rsidRPr="00A011C6">
        <w:rPr>
          <w:lang w:val="fr-CA"/>
        </w:rPr>
        <w:t>Que reste</w:t>
      </w:r>
      <w:r>
        <w:rPr>
          <w:lang w:val="fr-CA"/>
        </w:rPr>
        <w:noBreakHyphen/>
      </w:r>
      <w:r w:rsidRPr="00A011C6">
        <w:rPr>
          <w:lang w:val="fr-CA"/>
        </w:rPr>
        <w:t>t</w:t>
      </w:r>
      <w:r>
        <w:rPr>
          <w:lang w:val="fr-CA"/>
        </w:rPr>
        <w:noBreakHyphen/>
      </w:r>
      <w:r w:rsidRPr="00A011C6">
        <w:rPr>
          <w:lang w:val="fr-CA"/>
        </w:rPr>
        <w:t>il donc de l</w:t>
      </w:r>
      <w:r>
        <w:rPr>
          <w:lang w:val="fr-CA"/>
        </w:rPr>
        <w:t>’art. </w:t>
      </w:r>
      <w:r w:rsidRPr="00A011C6">
        <w:rPr>
          <w:lang w:val="fr-CA"/>
        </w:rPr>
        <w:t>17 après l</w:t>
      </w:r>
      <w:r>
        <w:rPr>
          <w:lang w:val="fr-CA"/>
        </w:rPr>
        <w:t>’</w:t>
      </w:r>
      <w:r w:rsidRPr="00A011C6">
        <w:rPr>
          <w:lang w:val="fr-CA"/>
        </w:rPr>
        <w:t xml:space="preserve">arrêt </w:t>
      </w:r>
      <w:r w:rsidRPr="00A011C6">
        <w:rPr>
          <w:i/>
          <w:lang w:val="fr-CA"/>
        </w:rPr>
        <w:t>Ruzic</w:t>
      </w:r>
      <w:r w:rsidRPr="00A011C6">
        <w:rPr>
          <w:lang w:val="fr-CA"/>
        </w:rPr>
        <w:t>? La Cour n</w:t>
      </w:r>
      <w:r>
        <w:rPr>
          <w:lang w:val="fr-CA"/>
        </w:rPr>
        <w:t>’</w:t>
      </w:r>
      <w:r w:rsidRPr="00A011C6">
        <w:rPr>
          <w:lang w:val="fr-CA"/>
        </w:rPr>
        <w:t xml:space="preserve">a pas </w:t>
      </w:r>
      <w:r>
        <w:rPr>
          <w:lang w:val="fr-CA"/>
        </w:rPr>
        <w:t>invalid</w:t>
      </w:r>
      <w:r w:rsidRPr="00A011C6">
        <w:rPr>
          <w:lang w:val="fr-CA"/>
        </w:rPr>
        <w:t>é complètement l</w:t>
      </w:r>
      <w:r>
        <w:rPr>
          <w:lang w:val="fr-CA"/>
        </w:rPr>
        <w:t>’art. </w:t>
      </w:r>
      <w:r w:rsidRPr="00A011C6">
        <w:rPr>
          <w:lang w:val="fr-CA"/>
        </w:rPr>
        <w:t>1</w:t>
      </w:r>
      <w:r>
        <w:rPr>
          <w:lang w:val="fr-CA"/>
        </w:rPr>
        <w:t>7,</w:t>
      </w:r>
      <w:r w:rsidRPr="00A011C6">
        <w:rPr>
          <w:lang w:val="fr-CA"/>
        </w:rPr>
        <w:t xml:space="preserve"> </w:t>
      </w:r>
      <w:r>
        <w:rPr>
          <w:lang w:val="fr-CA"/>
        </w:rPr>
        <w:t xml:space="preserve">ne le déclarant </w:t>
      </w:r>
      <w:r w:rsidRPr="00A011C6">
        <w:rPr>
          <w:lang w:val="fr-CA"/>
        </w:rPr>
        <w:t>inconstitutionnel qu</w:t>
      </w:r>
      <w:r>
        <w:rPr>
          <w:lang w:val="fr-CA"/>
        </w:rPr>
        <w:t>’</w:t>
      </w:r>
      <w:r w:rsidRPr="00A011C6">
        <w:rPr>
          <w:lang w:val="fr-CA"/>
        </w:rPr>
        <w:t>« en partie » (</w:t>
      </w:r>
      <w:r>
        <w:rPr>
          <w:lang w:val="fr-CA"/>
        </w:rPr>
        <w:t>par. </w:t>
      </w:r>
      <w:r w:rsidRPr="00A011C6">
        <w:rPr>
          <w:lang w:val="fr-CA"/>
        </w:rPr>
        <w:t xml:space="preserve">1). </w:t>
      </w:r>
      <w:r>
        <w:rPr>
          <w:lang w:val="fr-CA"/>
        </w:rPr>
        <w:t xml:space="preserve"> </w:t>
      </w:r>
      <w:r w:rsidRPr="00A011C6">
        <w:rPr>
          <w:lang w:val="fr-CA"/>
        </w:rPr>
        <w:t xml:space="preserve">Par conséquent, </w:t>
      </w:r>
      <w:r>
        <w:rPr>
          <w:lang w:val="fr-CA"/>
        </w:rPr>
        <w:t>les quatre conditions</w:t>
      </w:r>
      <w:r w:rsidRPr="00A011C6">
        <w:rPr>
          <w:lang w:val="fr-CA"/>
        </w:rPr>
        <w:t xml:space="preserve"> </w:t>
      </w:r>
      <w:r>
        <w:rPr>
          <w:lang w:val="fr-CA"/>
        </w:rPr>
        <w:t xml:space="preserve">nécessaires pour invoquer le </w:t>
      </w:r>
      <w:r w:rsidRPr="00A011C6">
        <w:rPr>
          <w:lang w:val="fr-CA"/>
        </w:rPr>
        <w:t>moyen de défense prévu par la loi</w:t>
      </w:r>
      <w:r>
        <w:rPr>
          <w:lang w:val="fr-CA"/>
        </w:rPr>
        <w:t xml:space="preserve"> </w:t>
      </w:r>
      <w:r w:rsidRPr="00A011C6">
        <w:rPr>
          <w:lang w:val="fr-CA"/>
        </w:rPr>
        <w:t xml:space="preserve">demeurent inchangées après </w:t>
      </w:r>
      <w:r>
        <w:rPr>
          <w:lang w:val="fr-CA"/>
        </w:rPr>
        <w:t>l’</w:t>
      </w:r>
      <w:r w:rsidRPr="00A011C6">
        <w:rPr>
          <w:lang w:val="fr-CA"/>
        </w:rPr>
        <w:t>arrêt </w:t>
      </w:r>
      <w:r w:rsidRPr="00A011C6">
        <w:rPr>
          <w:i/>
          <w:lang w:val="fr-CA"/>
        </w:rPr>
        <w:t>Ruzic</w:t>
      </w:r>
      <w:r>
        <w:rPr>
          <w:lang w:val="fr-CA"/>
        </w:rPr>
        <w:t> :</w:t>
      </w:r>
    </w:p>
    <w:p w:rsidR="00AF49CF" w:rsidRPr="00A011C6" w:rsidRDefault="00AF49CF" w:rsidP="002151F8">
      <w:pPr>
        <w:pStyle w:val="Citation-AltC"/>
        <w:numPr>
          <w:ilvl w:val="0"/>
          <w:numId w:val="20"/>
        </w:numPr>
        <w:spacing w:after="480" w:line="360" w:lineRule="auto"/>
        <w:ind w:left="720" w:hanging="720"/>
        <w:contextualSpacing w:val="0"/>
        <w:rPr>
          <w:lang w:val="fr-CA"/>
        </w:rPr>
      </w:pPr>
      <w:r>
        <w:rPr>
          <w:lang w:val="fr-CA"/>
        </w:rPr>
        <w:t>i</w:t>
      </w:r>
      <w:r w:rsidRPr="00A011C6">
        <w:rPr>
          <w:lang w:val="fr-CA"/>
        </w:rPr>
        <w:t>l doit y avoir une menace de causer la mort ou des lésions corporelles visant l</w:t>
      </w:r>
      <w:r>
        <w:rPr>
          <w:lang w:val="fr-CA"/>
        </w:rPr>
        <w:t>’accusé ou un tiers</w:t>
      </w:r>
      <w:r w:rsidRPr="00A011C6">
        <w:rPr>
          <w:lang w:val="fr-CA"/>
        </w:rPr>
        <w:t>;</w:t>
      </w:r>
    </w:p>
    <w:p w:rsidR="00AF49CF" w:rsidRPr="00A011C6" w:rsidRDefault="00AF49CF" w:rsidP="002151F8">
      <w:pPr>
        <w:pStyle w:val="Citation-AltC"/>
        <w:numPr>
          <w:ilvl w:val="0"/>
          <w:numId w:val="20"/>
        </w:numPr>
        <w:spacing w:after="480" w:line="360" w:lineRule="auto"/>
        <w:ind w:left="720" w:hanging="720"/>
        <w:contextualSpacing w:val="0"/>
        <w:rPr>
          <w:lang w:val="fr-CA"/>
        </w:rPr>
      </w:pPr>
      <w:r w:rsidRPr="00A011C6">
        <w:rPr>
          <w:lang w:val="fr-CA"/>
        </w:rPr>
        <w:t>l</w:t>
      </w:r>
      <w:r>
        <w:rPr>
          <w:lang w:val="fr-CA"/>
        </w:rPr>
        <w:t>’accusé doit croire</w:t>
      </w:r>
      <w:r w:rsidRPr="00A011C6">
        <w:rPr>
          <w:lang w:val="fr-CA"/>
        </w:rPr>
        <w:t xml:space="preserve"> que les menaces seront mises à exécution; </w:t>
      </w:r>
    </w:p>
    <w:p w:rsidR="00AF49CF" w:rsidRPr="00A011C6" w:rsidRDefault="00AF49CF" w:rsidP="002151F8">
      <w:pPr>
        <w:pStyle w:val="Citation-AltC"/>
        <w:numPr>
          <w:ilvl w:val="0"/>
          <w:numId w:val="20"/>
        </w:numPr>
        <w:spacing w:after="480" w:line="360" w:lineRule="auto"/>
        <w:ind w:left="720" w:hanging="720"/>
        <w:contextualSpacing w:val="0"/>
        <w:rPr>
          <w:lang w:val="fr-CA"/>
        </w:rPr>
      </w:pPr>
      <w:r w:rsidRPr="00A011C6">
        <w:rPr>
          <w:lang w:val="fr-CA"/>
        </w:rPr>
        <w:t>l</w:t>
      </w:r>
      <w:r>
        <w:rPr>
          <w:lang w:val="fr-CA"/>
        </w:rPr>
        <w:t>’</w:t>
      </w:r>
      <w:r w:rsidRPr="00A011C6">
        <w:rPr>
          <w:lang w:val="fr-CA"/>
        </w:rPr>
        <w:t>infraction ne doit pas figurer sur la liste des infractions exclues;</w:t>
      </w:r>
    </w:p>
    <w:p w:rsidR="00AF49CF" w:rsidRPr="00A011C6" w:rsidRDefault="00AF49CF" w:rsidP="002151F8">
      <w:pPr>
        <w:pStyle w:val="Citation-AltC"/>
        <w:numPr>
          <w:ilvl w:val="0"/>
          <w:numId w:val="20"/>
        </w:numPr>
        <w:spacing w:after="480" w:line="360" w:lineRule="auto"/>
        <w:ind w:left="720" w:hanging="720"/>
        <w:contextualSpacing w:val="0"/>
        <w:rPr>
          <w:lang w:val="fr-CA"/>
        </w:rPr>
      </w:pPr>
      <w:r w:rsidRPr="00A011C6">
        <w:rPr>
          <w:lang w:val="fr-CA"/>
        </w:rPr>
        <w:t>l</w:t>
      </w:r>
      <w:r>
        <w:rPr>
          <w:lang w:val="fr-CA"/>
        </w:rPr>
        <w:t>’</w:t>
      </w:r>
      <w:r w:rsidRPr="00A011C6">
        <w:rPr>
          <w:lang w:val="fr-CA"/>
        </w:rPr>
        <w:t>accusé ne partic</w:t>
      </w:r>
      <w:r>
        <w:rPr>
          <w:lang w:val="fr-CA"/>
        </w:rPr>
        <w:t>ipe à aucun complot ni à</w:t>
      </w:r>
      <w:r w:rsidRPr="00A011C6">
        <w:rPr>
          <w:lang w:val="fr-CA"/>
        </w:rPr>
        <w:t xml:space="preserve"> a</w:t>
      </w:r>
      <w:r>
        <w:rPr>
          <w:lang w:val="fr-CA"/>
        </w:rPr>
        <w:t xml:space="preserve">ucune association le soumettant </w:t>
      </w:r>
      <w:r w:rsidRPr="00A011C6">
        <w:rPr>
          <w:lang w:val="fr-CA"/>
        </w:rPr>
        <w:t>à la contrainte.</w:t>
      </w:r>
    </w:p>
    <w:p w:rsidR="00AF49CF" w:rsidRPr="00A011C6" w:rsidRDefault="00AF49CF" w:rsidP="00AF49CF">
      <w:pPr>
        <w:pStyle w:val="ParaNoNdepar-AltN"/>
        <w:rPr>
          <w:lang w:val="fr-CA"/>
        </w:rPr>
      </w:pPr>
      <w:r w:rsidRPr="00A011C6">
        <w:rPr>
          <w:lang w:val="fr-CA"/>
        </w:rPr>
        <w:t xml:space="preserve">Toutefois, la Cour, dans </w:t>
      </w:r>
      <w:r w:rsidRPr="00A011C6">
        <w:rPr>
          <w:i/>
          <w:lang w:val="fr-CA"/>
        </w:rPr>
        <w:t>Ruzic</w:t>
      </w:r>
      <w:r w:rsidRPr="00A011C6">
        <w:rPr>
          <w:lang w:val="fr-CA"/>
        </w:rPr>
        <w:t>, n</w:t>
      </w:r>
      <w:r>
        <w:rPr>
          <w:lang w:val="fr-CA"/>
        </w:rPr>
        <w:t>’</w:t>
      </w:r>
      <w:r w:rsidRPr="00A011C6">
        <w:rPr>
          <w:lang w:val="fr-CA"/>
        </w:rPr>
        <w:t xml:space="preserve">a pas </w:t>
      </w:r>
      <w:r>
        <w:rPr>
          <w:lang w:val="fr-CA"/>
        </w:rPr>
        <w:t>seulement confirmé l</w:t>
      </w:r>
      <w:r w:rsidRPr="00EB4C06">
        <w:rPr>
          <w:rFonts w:cs="Times New Roman"/>
          <w:lang w:val="fr-CA"/>
        </w:rPr>
        <w:t>’</w:t>
      </w:r>
      <w:r>
        <w:rPr>
          <w:lang w:val="fr-CA"/>
        </w:rPr>
        <w:t>opposabilité du</w:t>
      </w:r>
      <w:r w:rsidRPr="00A011C6">
        <w:rPr>
          <w:lang w:val="fr-CA"/>
        </w:rPr>
        <w:t xml:space="preserve"> moyen de défense prévu par la loi en vigueur après l</w:t>
      </w:r>
      <w:r>
        <w:rPr>
          <w:lang w:val="fr-CA"/>
        </w:rPr>
        <w:t>’</w:t>
      </w:r>
      <w:r w:rsidRPr="00A011C6">
        <w:rPr>
          <w:lang w:val="fr-CA"/>
        </w:rPr>
        <w:t xml:space="preserve">avoir </w:t>
      </w:r>
      <w:r>
        <w:rPr>
          <w:lang w:val="fr-CA"/>
        </w:rPr>
        <w:t xml:space="preserve">simplement </w:t>
      </w:r>
      <w:r w:rsidRPr="00A011C6">
        <w:rPr>
          <w:lang w:val="fr-CA"/>
        </w:rPr>
        <w:t>dépouillé de ses parties inconstitutionnelles</w:t>
      </w:r>
      <w:r>
        <w:rPr>
          <w:lang w:val="fr-CA"/>
        </w:rPr>
        <w:t xml:space="preserve">. Elle a aussi complété </w:t>
      </w:r>
      <w:r w:rsidRPr="00A011C6">
        <w:rPr>
          <w:lang w:val="fr-CA"/>
        </w:rPr>
        <w:t>l</w:t>
      </w:r>
      <w:r>
        <w:rPr>
          <w:lang w:val="fr-CA"/>
        </w:rPr>
        <w:t>’</w:t>
      </w:r>
      <w:r w:rsidRPr="00A011C6">
        <w:rPr>
          <w:lang w:val="fr-CA"/>
        </w:rPr>
        <w:t>interprétation et l</w:t>
      </w:r>
      <w:r>
        <w:rPr>
          <w:lang w:val="fr-CA"/>
        </w:rPr>
        <w:t>’</w:t>
      </w:r>
      <w:r w:rsidRPr="00A011C6">
        <w:rPr>
          <w:lang w:val="fr-CA"/>
        </w:rPr>
        <w:t>application de l</w:t>
      </w:r>
      <w:r>
        <w:rPr>
          <w:lang w:val="fr-CA"/>
        </w:rPr>
        <w:t>’art. </w:t>
      </w:r>
      <w:r w:rsidRPr="00A011C6">
        <w:rPr>
          <w:lang w:val="fr-CA"/>
        </w:rPr>
        <w:t xml:space="preserve">17 </w:t>
      </w:r>
      <w:r>
        <w:rPr>
          <w:lang w:val="fr-CA"/>
        </w:rPr>
        <w:t xml:space="preserve">avec </w:t>
      </w:r>
      <w:r w:rsidRPr="00A011C6">
        <w:rPr>
          <w:lang w:val="fr-CA"/>
        </w:rPr>
        <w:t>des éléments du moyen de défense de common law fondé sur la contrainte qui, selon elle, « s</w:t>
      </w:r>
      <w:r>
        <w:rPr>
          <w:lang w:val="fr-CA"/>
        </w:rPr>
        <w:t>’</w:t>
      </w:r>
      <w:r w:rsidRPr="00A011C6">
        <w:rPr>
          <w:lang w:val="fr-CA"/>
        </w:rPr>
        <w:t xml:space="preserve">accord[ent] davantage avec les valeurs de la </w:t>
      </w:r>
      <w:r w:rsidRPr="00A011C6">
        <w:rPr>
          <w:i/>
          <w:lang w:val="fr-CA"/>
        </w:rPr>
        <w:t>Charte</w:t>
      </w:r>
      <w:r w:rsidRPr="00A011C6">
        <w:rPr>
          <w:lang w:val="fr-CA"/>
        </w:rPr>
        <w:t> » (</w:t>
      </w:r>
      <w:r>
        <w:rPr>
          <w:lang w:val="fr-CA"/>
        </w:rPr>
        <w:t>par. </w:t>
      </w:r>
      <w:r w:rsidRPr="00A011C6">
        <w:rPr>
          <w:lang w:val="fr-CA"/>
        </w:rPr>
        <w:t xml:space="preserve">56). </w:t>
      </w:r>
      <w:r>
        <w:rPr>
          <w:lang w:val="fr-CA"/>
        </w:rPr>
        <w:t xml:space="preserve"> Autrement dit</w:t>
      </w:r>
      <w:r w:rsidRPr="00A011C6">
        <w:rPr>
          <w:lang w:val="fr-CA"/>
        </w:rPr>
        <w:t>,</w:t>
      </w:r>
      <w:r>
        <w:rPr>
          <w:lang w:val="fr-CA"/>
        </w:rPr>
        <w:t xml:space="preserve"> elle s</w:t>
      </w:r>
      <w:r w:rsidRPr="006C14E3">
        <w:rPr>
          <w:rFonts w:cs="Times New Roman"/>
          <w:lang w:val="fr-CA"/>
        </w:rPr>
        <w:t>’</w:t>
      </w:r>
      <w:r>
        <w:rPr>
          <w:lang w:val="fr-CA"/>
        </w:rPr>
        <w:t xml:space="preserve">est servie, dans cette affaire, </w:t>
      </w:r>
      <w:r w:rsidRPr="00A011C6">
        <w:rPr>
          <w:lang w:val="fr-CA"/>
        </w:rPr>
        <w:t xml:space="preserve">de la norme de common law </w:t>
      </w:r>
      <w:r>
        <w:rPr>
          <w:lang w:val="fr-CA"/>
        </w:rPr>
        <w:t>pour interpréter les conditions</w:t>
      </w:r>
      <w:r w:rsidRPr="00A011C6">
        <w:rPr>
          <w:lang w:val="fr-CA"/>
        </w:rPr>
        <w:t xml:space="preserve"> positives de la loi </w:t>
      </w:r>
      <w:r>
        <w:rPr>
          <w:lang w:val="fr-CA"/>
        </w:rPr>
        <w:t>(</w:t>
      </w:r>
      <w:r w:rsidRPr="00A011C6">
        <w:rPr>
          <w:lang w:val="fr-CA"/>
        </w:rPr>
        <w:t>voir</w:t>
      </w:r>
      <w:r>
        <w:rPr>
          <w:lang w:val="fr-CA"/>
        </w:rPr>
        <w:t xml:space="preserve"> D. </w:t>
      </w:r>
      <w:r w:rsidRPr="00A011C6">
        <w:rPr>
          <w:lang w:val="fr-CA"/>
        </w:rPr>
        <w:t>M. Paciocco, « No</w:t>
      </w:r>
      <w:r>
        <w:rPr>
          <w:lang w:val="fr-CA"/>
        </w:rPr>
        <w:noBreakHyphen/>
      </w:r>
      <w:r w:rsidRPr="00A011C6">
        <w:rPr>
          <w:lang w:val="fr-CA"/>
        </w:rPr>
        <w:t>one Wants to Be Eaten</w:t>
      </w:r>
      <w:r w:rsidR="002151F8">
        <w:rPr>
          <w:lang w:val="fr-CA"/>
        </w:rPr>
        <w:t xml:space="preserve"> </w:t>
      </w:r>
      <w:r>
        <w:rPr>
          <w:lang w:val="fr-CA"/>
        </w:rPr>
        <w:t>:</w:t>
      </w:r>
      <w:r w:rsidRPr="00A011C6">
        <w:rPr>
          <w:lang w:val="fr-CA"/>
        </w:rPr>
        <w:t xml:space="preserve"> </w:t>
      </w:r>
      <w:r>
        <w:rPr>
          <w:lang w:val="fr-CA"/>
        </w:rPr>
        <w:t xml:space="preserve">The </w:t>
      </w:r>
      <w:r w:rsidRPr="00A011C6">
        <w:rPr>
          <w:lang w:val="fr-CA"/>
        </w:rPr>
        <w:t xml:space="preserve">Logic and Experience of the Law of Necessity and Duress » (2010), 56 </w:t>
      </w:r>
      <w:r w:rsidRPr="00D21BD0">
        <w:rPr>
          <w:i/>
          <w:lang w:val="fr-CA"/>
        </w:rPr>
        <w:t>Crim. L.Q.</w:t>
      </w:r>
      <w:r w:rsidRPr="00A011C6">
        <w:rPr>
          <w:lang w:val="fr-CA"/>
        </w:rPr>
        <w:t xml:space="preserve"> 240, </w:t>
      </w:r>
      <w:r>
        <w:rPr>
          <w:lang w:val="fr-CA"/>
        </w:rPr>
        <w:t>p. </w:t>
      </w:r>
      <w:r w:rsidRPr="00A011C6">
        <w:rPr>
          <w:lang w:val="fr-CA"/>
        </w:rPr>
        <w:t>273</w:t>
      </w:r>
      <w:r>
        <w:rPr>
          <w:lang w:val="fr-CA"/>
        </w:rPr>
        <w:t>)</w:t>
      </w:r>
      <w:r w:rsidRPr="00A011C6">
        <w:rPr>
          <w:lang w:val="fr-CA"/>
        </w:rPr>
        <w:t xml:space="preserve">. </w:t>
      </w:r>
    </w:p>
    <w:p w:rsidR="00AF49CF" w:rsidRPr="00A011C6" w:rsidRDefault="00AF49CF" w:rsidP="00AF49CF">
      <w:pPr>
        <w:pStyle w:val="ParaNoNdepar-AltN"/>
        <w:rPr>
          <w:lang w:val="fr-CA"/>
        </w:rPr>
      </w:pPr>
      <w:r>
        <w:rPr>
          <w:lang w:val="fr-CA"/>
        </w:rPr>
        <w:t>En cas d</w:t>
      </w:r>
      <w:r w:rsidRPr="006C14E3">
        <w:rPr>
          <w:rFonts w:cs="Times New Roman"/>
          <w:lang w:val="fr-CA"/>
        </w:rPr>
        <w:t>’</w:t>
      </w:r>
      <w:r>
        <w:rPr>
          <w:lang w:val="fr-CA"/>
        </w:rPr>
        <w:t>ambiguïtés ou de</w:t>
      </w:r>
      <w:r w:rsidRPr="00A011C6">
        <w:rPr>
          <w:lang w:val="fr-CA"/>
        </w:rPr>
        <w:t xml:space="preserve"> lacunes dans l</w:t>
      </w:r>
      <w:r>
        <w:rPr>
          <w:lang w:val="fr-CA"/>
        </w:rPr>
        <w:t>’art. </w:t>
      </w:r>
      <w:r w:rsidRPr="00A011C6">
        <w:rPr>
          <w:lang w:val="fr-CA"/>
        </w:rPr>
        <w:t>17 partiellement invalidé, le moyen de défense de common law fondé sur la contrainte s</w:t>
      </w:r>
      <w:r>
        <w:rPr>
          <w:lang w:val="fr-CA"/>
        </w:rPr>
        <w:t>’</w:t>
      </w:r>
      <w:r w:rsidRPr="00A011C6">
        <w:rPr>
          <w:lang w:val="fr-CA"/>
        </w:rPr>
        <w:t xml:space="preserve">applique de façon à </w:t>
      </w:r>
      <w:r>
        <w:rPr>
          <w:lang w:val="fr-CA"/>
        </w:rPr>
        <w:t>préciser</w:t>
      </w:r>
      <w:r w:rsidRPr="00A011C6">
        <w:rPr>
          <w:lang w:val="fr-CA"/>
        </w:rPr>
        <w:t xml:space="preserve"> et </w:t>
      </w:r>
      <w:r>
        <w:rPr>
          <w:lang w:val="fr-CA"/>
        </w:rPr>
        <w:t>à compléter</w:t>
      </w:r>
      <w:r w:rsidRPr="00A011C6">
        <w:rPr>
          <w:lang w:val="fr-CA"/>
        </w:rPr>
        <w:t xml:space="preserve"> le moyen de défense prévu par la loi</w:t>
      </w:r>
      <w:r>
        <w:rPr>
          <w:lang w:val="fr-CA"/>
        </w:rPr>
        <w:t> :</w:t>
      </w:r>
    </w:p>
    <w:p w:rsidR="00AF49CF" w:rsidRPr="00A011C6" w:rsidRDefault="00AF49CF" w:rsidP="00AF49CF">
      <w:pPr>
        <w:pStyle w:val="Citation-AltC"/>
        <w:ind w:hanging="1166"/>
        <w:rPr>
          <w:lang w:val="fr-CA"/>
        </w:rPr>
      </w:pPr>
      <w:r>
        <w:rPr>
          <w:lang w:val="fr-CA"/>
        </w:rPr>
        <w:tab/>
      </w:r>
      <w:r w:rsidRPr="00A011C6">
        <w:rPr>
          <w:lang w:val="fr-CA"/>
        </w:rPr>
        <w:t>L</w:t>
      </w:r>
      <w:r>
        <w:rPr>
          <w:lang w:val="fr-CA"/>
        </w:rPr>
        <w:t>’</w:t>
      </w:r>
      <w:r w:rsidRPr="00A011C6">
        <w:rPr>
          <w:lang w:val="fr-CA"/>
        </w:rPr>
        <w:t>analyse de la contrainte en common law verra son utilité confirmée du fait qu</w:t>
      </w:r>
      <w:r>
        <w:rPr>
          <w:lang w:val="fr-CA"/>
        </w:rPr>
        <w:t>’</w:t>
      </w:r>
      <w:r w:rsidRPr="00A011C6">
        <w:rPr>
          <w:lang w:val="fr-CA"/>
        </w:rPr>
        <w:t>elle permettra de clarifier les règles qui devaient être appliquées au moyen de défense de l</w:t>
      </w:r>
      <w:r>
        <w:rPr>
          <w:lang w:val="fr-CA"/>
        </w:rPr>
        <w:t>’</w:t>
      </w:r>
      <w:r w:rsidRPr="00A011C6">
        <w:rPr>
          <w:lang w:val="fr-CA"/>
        </w:rPr>
        <w:t>accusée en l</w:t>
      </w:r>
      <w:r>
        <w:rPr>
          <w:lang w:val="fr-CA"/>
        </w:rPr>
        <w:t>’</w:t>
      </w:r>
      <w:r w:rsidRPr="00A011C6">
        <w:rPr>
          <w:lang w:val="fr-CA"/>
        </w:rPr>
        <w:t xml:space="preserve">espèce </w:t>
      </w:r>
      <w:r w:rsidRPr="009B55BB">
        <w:rPr>
          <w:u w:val="single"/>
          <w:lang w:val="fr-CA"/>
        </w:rPr>
        <w:t>et qui deviendront dorénavant applicables dans tous les autres cas</w:t>
      </w:r>
      <w:r w:rsidRPr="00A011C6">
        <w:rPr>
          <w:lang w:val="fr-CA"/>
        </w:rPr>
        <w:t>, après l</w:t>
      </w:r>
      <w:r>
        <w:rPr>
          <w:lang w:val="fr-CA"/>
        </w:rPr>
        <w:t>’</w:t>
      </w:r>
      <w:r w:rsidRPr="00A011C6">
        <w:rPr>
          <w:lang w:val="fr-CA"/>
        </w:rPr>
        <w:t>invalidation partielle de l</w:t>
      </w:r>
      <w:r>
        <w:rPr>
          <w:lang w:val="fr-CA"/>
        </w:rPr>
        <w:t>’</w:t>
      </w:r>
      <w:r w:rsidRPr="002151F8">
        <w:rPr>
          <w:lang w:val="fr-CA"/>
        </w:rPr>
        <w:t>art. 17</w:t>
      </w:r>
      <w:r w:rsidRPr="00A011C6">
        <w:rPr>
          <w:lang w:val="fr-CA"/>
        </w:rPr>
        <w:t xml:space="preserve"> du </w:t>
      </w:r>
      <w:r w:rsidRPr="002151F8">
        <w:rPr>
          <w:i/>
          <w:iCs/>
          <w:lang w:val="fr-CA"/>
        </w:rPr>
        <w:t>Code criminel</w:t>
      </w:r>
      <w:r w:rsidRPr="00A011C6">
        <w:rPr>
          <w:lang w:val="fr-CA"/>
        </w:rPr>
        <w:t>. [</w:t>
      </w:r>
      <w:r>
        <w:rPr>
          <w:lang w:val="fr-CA"/>
        </w:rPr>
        <w:t>N</w:t>
      </w:r>
      <w:r w:rsidRPr="00A011C6">
        <w:rPr>
          <w:lang w:val="fr-CA"/>
        </w:rPr>
        <w:t>o</w:t>
      </w:r>
      <w:r>
        <w:rPr>
          <w:lang w:val="fr-CA"/>
        </w:rPr>
        <w:t>us</w:t>
      </w:r>
      <w:r w:rsidRPr="00A011C6">
        <w:rPr>
          <w:lang w:val="fr-CA"/>
        </w:rPr>
        <w:t xml:space="preserve"> soulign</w:t>
      </w:r>
      <w:r>
        <w:rPr>
          <w:lang w:val="fr-CA"/>
        </w:rPr>
        <w:t xml:space="preserve">ons; </w:t>
      </w:r>
      <w:r w:rsidRPr="00A011C6">
        <w:rPr>
          <w:i/>
          <w:lang w:val="fr-CA"/>
        </w:rPr>
        <w:t>Ruzic</w:t>
      </w:r>
      <w:r w:rsidRPr="00A011C6">
        <w:rPr>
          <w:lang w:val="fr-CA"/>
        </w:rPr>
        <w:t xml:space="preserve">, </w:t>
      </w:r>
      <w:r>
        <w:rPr>
          <w:lang w:val="fr-CA"/>
        </w:rPr>
        <w:t>par. 55.</w:t>
      </w:r>
      <w:r w:rsidRPr="00A011C6">
        <w:rPr>
          <w:lang w:val="fr-CA"/>
        </w:rPr>
        <w:t>]</w:t>
      </w:r>
    </w:p>
    <w:p w:rsidR="00AF49CF" w:rsidRPr="00A011C6" w:rsidRDefault="00AF49CF" w:rsidP="00AF49CF">
      <w:pPr>
        <w:pStyle w:val="ParaNoNdepar-AltN"/>
        <w:rPr>
          <w:lang w:val="fr-CA"/>
        </w:rPr>
      </w:pPr>
      <w:r w:rsidRPr="00A011C6">
        <w:rPr>
          <w:lang w:val="fr-CA"/>
        </w:rPr>
        <w:t>Dans</w:t>
      </w:r>
      <w:r>
        <w:rPr>
          <w:lang w:val="fr-CA"/>
        </w:rPr>
        <w:t xml:space="preserve"> l</w:t>
      </w:r>
      <w:r w:rsidRPr="009B55BB">
        <w:rPr>
          <w:rFonts w:cs="Times New Roman"/>
          <w:lang w:val="fr-CA"/>
        </w:rPr>
        <w:t>’</w:t>
      </w:r>
      <w:r>
        <w:rPr>
          <w:lang w:val="fr-CA"/>
        </w:rPr>
        <w:t>arrêt</w:t>
      </w:r>
      <w:r w:rsidRPr="00A011C6">
        <w:rPr>
          <w:lang w:val="fr-CA"/>
        </w:rPr>
        <w:t xml:space="preserve"> </w:t>
      </w:r>
      <w:r w:rsidRPr="00A011C6">
        <w:rPr>
          <w:i/>
          <w:lang w:val="fr-CA"/>
        </w:rPr>
        <w:t>Ruzic</w:t>
      </w:r>
      <w:r w:rsidRPr="00A011C6">
        <w:rPr>
          <w:lang w:val="fr-CA"/>
        </w:rPr>
        <w:t>, la Cour a énoncé et analysé</w:t>
      </w:r>
      <w:r>
        <w:rPr>
          <w:lang w:val="fr-CA"/>
        </w:rPr>
        <w:t>,</w:t>
      </w:r>
      <w:r w:rsidRPr="009B55BB">
        <w:rPr>
          <w:lang w:val="fr-CA"/>
        </w:rPr>
        <w:t xml:space="preserve"> </w:t>
      </w:r>
      <w:r>
        <w:rPr>
          <w:lang w:val="fr-CA"/>
        </w:rPr>
        <w:t>relativement au</w:t>
      </w:r>
      <w:r w:rsidRPr="00A011C6">
        <w:rPr>
          <w:lang w:val="fr-CA"/>
        </w:rPr>
        <w:t xml:space="preserve"> moyen de défense de common law fondé sur la contrainte</w:t>
      </w:r>
      <w:r>
        <w:rPr>
          <w:lang w:val="fr-CA"/>
        </w:rPr>
        <w:t>,</w:t>
      </w:r>
      <w:r w:rsidRPr="00A011C6">
        <w:rPr>
          <w:lang w:val="fr-CA"/>
        </w:rPr>
        <w:t xml:space="preserve"> </w:t>
      </w:r>
      <w:r>
        <w:rPr>
          <w:lang w:val="fr-CA"/>
        </w:rPr>
        <w:t xml:space="preserve">trois éléments clés </w:t>
      </w:r>
      <w:r w:rsidRPr="00A011C6">
        <w:rPr>
          <w:lang w:val="fr-CA"/>
        </w:rPr>
        <w:t>qui s</w:t>
      </w:r>
      <w:r>
        <w:rPr>
          <w:lang w:val="fr-CA"/>
        </w:rPr>
        <w:t>’</w:t>
      </w:r>
      <w:r w:rsidRPr="00A011C6">
        <w:rPr>
          <w:lang w:val="fr-CA"/>
        </w:rPr>
        <w:t>appliquent maintenant</w:t>
      </w:r>
      <w:r>
        <w:rPr>
          <w:lang w:val="fr-CA"/>
        </w:rPr>
        <w:t xml:space="preserve"> </w:t>
      </w:r>
      <w:r w:rsidRPr="00A011C6">
        <w:rPr>
          <w:lang w:val="fr-CA"/>
        </w:rPr>
        <w:t xml:space="preserve">dans les causes </w:t>
      </w:r>
      <w:r>
        <w:rPr>
          <w:lang w:val="fr-CA"/>
        </w:rPr>
        <w:t>relatives</w:t>
      </w:r>
      <w:r w:rsidRPr="00A011C6">
        <w:rPr>
          <w:lang w:val="fr-CA"/>
        </w:rPr>
        <w:t xml:space="preserve"> à l</w:t>
      </w:r>
      <w:r>
        <w:rPr>
          <w:lang w:val="fr-CA"/>
        </w:rPr>
        <w:t>’art. </w:t>
      </w:r>
      <w:r w:rsidRPr="00A011C6">
        <w:rPr>
          <w:lang w:val="fr-CA"/>
        </w:rPr>
        <w:t>17, conjointement ave</w:t>
      </w:r>
      <w:r>
        <w:rPr>
          <w:lang w:val="fr-CA"/>
        </w:rPr>
        <w:t>c les quatre conditions qui comporte encore le</w:t>
      </w:r>
      <w:r w:rsidRPr="00A011C6">
        <w:rPr>
          <w:lang w:val="fr-CA"/>
        </w:rPr>
        <w:t xml:space="preserve"> mo</w:t>
      </w:r>
      <w:r>
        <w:rPr>
          <w:lang w:val="fr-CA"/>
        </w:rPr>
        <w:t>yen de défense fondé sur la loi : (1) </w:t>
      </w:r>
      <w:r w:rsidRPr="00A011C6">
        <w:rPr>
          <w:lang w:val="fr-CA"/>
        </w:rPr>
        <w:t>aucun moyen de s</w:t>
      </w:r>
      <w:r>
        <w:rPr>
          <w:lang w:val="fr-CA"/>
        </w:rPr>
        <w:t>’</w:t>
      </w:r>
      <w:r w:rsidRPr="00A011C6">
        <w:rPr>
          <w:lang w:val="fr-CA"/>
        </w:rPr>
        <w:t>en sortir sans danger</w:t>
      </w:r>
      <w:r>
        <w:rPr>
          <w:lang w:val="fr-CA"/>
        </w:rPr>
        <w:t>; (2) </w:t>
      </w:r>
      <w:r w:rsidRPr="00A011C6">
        <w:rPr>
          <w:lang w:val="fr-CA"/>
        </w:rPr>
        <w:t>un lien temporel étroit</w:t>
      </w:r>
      <w:r>
        <w:rPr>
          <w:lang w:val="fr-CA"/>
        </w:rPr>
        <w:t xml:space="preserve">; (3) la </w:t>
      </w:r>
      <w:r w:rsidRPr="00A011C6">
        <w:rPr>
          <w:lang w:val="fr-CA"/>
        </w:rPr>
        <w:t>proportionnalité (voir</w:t>
      </w:r>
      <w:r>
        <w:rPr>
          <w:lang w:val="fr-CA"/>
        </w:rPr>
        <w:t xml:space="preserve"> </w:t>
      </w:r>
      <w:r w:rsidRPr="00A011C6">
        <w:rPr>
          <w:lang w:val="fr-CA"/>
        </w:rPr>
        <w:t xml:space="preserve">Parent, </w:t>
      </w:r>
      <w:r>
        <w:rPr>
          <w:lang w:val="fr-CA"/>
        </w:rPr>
        <w:t>p. </w:t>
      </w:r>
      <w:r w:rsidRPr="00A011C6">
        <w:rPr>
          <w:lang w:val="fr-CA"/>
        </w:rPr>
        <w:t>549</w:t>
      </w:r>
      <w:r>
        <w:rPr>
          <w:lang w:val="fr-CA"/>
        </w:rPr>
        <w:noBreakHyphen/>
      </w:r>
      <w:r w:rsidRPr="00A011C6">
        <w:rPr>
          <w:lang w:val="fr-CA"/>
        </w:rPr>
        <w:t>550).</w:t>
      </w:r>
    </w:p>
    <w:p w:rsidR="00AF49CF" w:rsidRPr="00D3798D" w:rsidRDefault="00AF49CF" w:rsidP="000B2287">
      <w:pPr>
        <w:pStyle w:val="TitleTitre-AltT"/>
        <w:tabs>
          <w:tab w:val="clear" w:pos="360"/>
          <w:tab w:val="left" w:pos="1170"/>
        </w:tabs>
        <w:ind w:left="1710" w:hanging="1620"/>
        <w:rPr>
          <w:i/>
          <w:lang w:val="fr-CA"/>
        </w:rPr>
      </w:pPr>
      <w:r>
        <w:rPr>
          <w:lang w:val="fr-CA"/>
        </w:rPr>
        <w:tab/>
      </w:r>
      <w:r w:rsidRPr="00A011C6">
        <w:rPr>
          <w:lang w:val="fr-CA"/>
        </w:rPr>
        <w:t>a)</w:t>
      </w:r>
      <w:r w:rsidRPr="00A011C6">
        <w:rPr>
          <w:lang w:val="fr-CA"/>
        </w:rPr>
        <w:tab/>
      </w:r>
      <w:r w:rsidRPr="00D3798D">
        <w:rPr>
          <w:i/>
          <w:lang w:val="fr-CA"/>
        </w:rPr>
        <w:t>Aucun moyen de s’en sortir sans danger</w:t>
      </w:r>
    </w:p>
    <w:p w:rsidR="00AF49CF" w:rsidRPr="00A011C6" w:rsidRDefault="00AF49CF" w:rsidP="00AF49CF">
      <w:pPr>
        <w:pStyle w:val="ParaNoNdepar-AltN"/>
        <w:rPr>
          <w:lang w:val="fr-CA"/>
        </w:rPr>
      </w:pPr>
      <w:r w:rsidRPr="00A011C6">
        <w:rPr>
          <w:lang w:val="fr-CA"/>
        </w:rPr>
        <w:t xml:space="preserve">Le moyen de défense </w:t>
      </w:r>
      <w:r>
        <w:rPr>
          <w:lang w:val="fr-CA"/>
        </w:rPr>
        <w:t xml:space="preserve">fondé sur </w:t>
      </w:r>
      <w:r w:rsidRPr="00A011C6">
        <w:rPr>
          <w:lang w:val="fr-CA"/>
        </w:rPr>
        <w:t>la contrainte « se concentre sur la recherche d</w:t>
      </w:r>
      <w:r>
        <w:rPr>
          <w:lang w:val="fr-CA"/>
        </w:rPr>
        <w:t>’</w:t>
      </w:r>
      <w:r w:rsidRPr="00A011C6">
        <w:rPr>
          <w:lang w:val="fr-CA"/>
        </w:rPr>
        <w:t>un moyen de s</w:t>
      </w:r>
      <w:r>
        <w:rPr>
          <w:lang w:val="fr-CA"/>
        </w:rPr>
        <w:t>’</w:t>
      </w:r>
      <w:r w:rsidRPr="00A011C6">
        <w:rPr>
          <w:lang w:val="fr-CA"/>
        </w:rPr>
        <w:t>en sortir sans danger » (</w:t>
      </w:r>
      <w:r w:rsidRPr="00A011C6">
        <w:rPr>
          <w:i/>
          <w:lang w:val="fr-CA"/>
        </w:rPr>
        <w:t>Ruzic</w:t>
      </w:r>
      <w:r w:rsidRPr="00A011C6">
        <w:rPr>
          <w:lang w:val="fr-CA"/>
        </w:rPr>
        <w:t xml:space="preserve">, </w:t>
      </w:r>
      <w:r>
        <w:rPr>
          <w:lang w:val="fr-CA"/>
        </w:rPr>
        <w:t>par. </w:t>
      </w:r>
      <w:r w:rsidRPr="00A011C6">
        <w:rPr>
          <w:lang w:val="fr-CA"/>
        </w:rPr>
        <w:t xml:space="preserve">61). </w:t>
      </w:r>
      <w:r>
        <w:rPr>
          <w:lang w:val="fr-CA"/>
        </w:rPr>
        <w:t xml:space="preserve"> À la suite de s</w:t>
      </w:r>
      <w:r w:rsidRPr="00A011C6">
        <w:rPr>
          <w:lang w:val="fr-CA"/>
        </w:rPr>
        <w:t xml:space="preserve">a décision rendue dans </w:t>
      </w:r>
      <w:r w:rsidRPr="00A011C6">
        <w:rPr>
          <w:i/>
          <w:lang w:val="fr-CA"/>
        </w:rPr>
        <w:t>Hibbert</w:t>
      </w:r>
      <w:r w:rsidRPr="00A011C6">
        <w:rPr>
          <w:lang w:val="fr-CA"/>
        </w:rPr>
        <w:t xml:space="preserve">, </w:t>
      </w:r>
      <w:r>
        <w:rPr>
          <w:lang w:val="fr-CA"/>
        </w:rPr>
        <w:t>la Cour a conclu,</w:t>
      </w:r>
      <w:r w:rsidRPr="00D3798D">
        <w:rPr>
          <w:lang w:val="fr-CA"/>
        </w:rPr>
        <w:t xml:space="preserve"> </w:t>
      </w:r>
      <w:r w:rsidRPr="00A011C6">
        <w:rPr>
          <w:lang w:val="fr-CA"/>
        </w:rPr>
        <w:t xml:space="preserve">dans </w:t>
      </w:r>
      <w:r w:rsidRPr="00A011C6">
        <w:rPr>
          <w:i/>
          <w:lang w:val="fr-CA"/>
        </w:rPr>
        <w:t>Ruzic</w:t>
      </w:r>
      <w:r>
        <w:rPr>
          <w:lang w:val="fr-CA"/>
        </w:rPr>
        <w:t>,  que c</w:t>
      </w:r>
      <w:r w:rsidRPr="00A011C6">
        <w:rPr>
          <w:lang w:val="fr-CA"/>
        </w:rPr>
        <w:t>e moyen de défense ne s</w:t>
      </w:r>
      <w:r>
        <w:rPr>
          <w:lang w:val="fr-CA"/>
        </w:rPr>
        <w:t>’appliquait</w:t>
      </w:r>
      <w:r w:rsidRPr="00A011C6">
        <w:rPr>
          <w:lang w:val="fr-CA"/>
        </w:rPr>
        <w:t xml:space="preserve"> pas aux personnes qui auraient pu </w:t>
      </w:r>
      <w:r>
        <w:rPr>
          <w:lang w:val="fr-CA"/>
        </w:rPr>
        <w:t>échapper</w:t>
      </w:r>
      <w:r w:rsidRPr="00A011C6">
        <w:rPr>
          <w:lang w:val="fr-CA"/>
        </w:rPr>
        <w:t xml:space="preserve"> légalement et sans danger </w:t>
      </w:r>
      <w:r>
        <w:rPr>
          <w:lang w:val="fr-CA"/>
        </w:rPr>
        <w:t>à</w:t>
      </w:r>
      <w:r w:rsidRPr="00A011C6">
        <w:rPr>
          <w:lang w:val="fr-CA"/>
        </w:rPr>
        <w:t xml:space="preserve"> la situation de contrainte. </w:t>
      </w:r>
      <w:r>
        <w:rPr>
          <w:lang w:val="fr-CA"/>
        </w:rPr>
        <w:t xml:space="preserve"> Pour pouvoir invoquer c</w:t>
      </w:r>
      <w:r w:rsidRPr="00A011C6">
        <w:rPr>
          <w:lang w:val="fr-CA"/>
        </w:rPr>
        <w:t>e moyen de défense, l</w:t>
      </w:r>
      <w:r>
        <w:rPr>
          <w:lang w:val="fr-CA"/>
        </w:rPr>
        <w:t>’</w:t>
      </w:r>
      <w:r w:rsidRPr="00A011C6">
        <w:rPr>
          <w:lang w:val="fr-CA"/>
        </w:rPr>
        <w:t xml:space="preserve">accusé </w:t>
      </w:r>
      <w:r>
        <w:rPr>
          <w:lang w:val="fr-CA"/>
        </w:rPr>
        <w:t xml:space="preserve">ne doit </w:t>
      </w:r>
      <w:r w:rsidRPr="00A011C6">
        <w:rPr>
          <w:lang w:val="fr-CA"/>
        </w:rPr>
        <w:t>disposer d</w:t>
      </w:r>
      <w:r>
        <w:rPr>
          <w:lang w:val="fr-CA"/>
        </w:rPr>
        <w:t>’</w:t>
      </w:r>
      <w:r w:rsidRPr="00A011C6">
        <w:rPr>
          <w:lang w:val="fr-CA"/>
        </w:rPr>
        <w:t>aucun moyen de s</w:t>
      </w:r>
      <w:r>
        <w:rPr>
          <w:lang w:val="fr-CA"/>
        </w:rPr>
        <w:t>’</w:t>
      </w:r>
      <w:r w:rsidRPr="00A011C6">
        <w:rPr>
          <w:lang w:val="fr-CA"/>
        </w:rPr>
        <w:t>en sortir sans danger</w:t>
      </w:r>
      <w:r>
        <w:rPr>
          <w:lang w:val="fr-CA"/>
        </w:rPr>
        <w:t>.  Ce critère est lui</w:t>
      </w:r>
      <w:r>
        <w:rPr>
          <w:lang w:val="fr-CA"/>
        </w:rPr>
        <w:noBreakHyphen/>
        <w:t xml:space="preserve">même évalué en fonction de </w:t>
      </w:r>
      <w:r w:rsidRPr="00A011C6">
        <w:rPr>
          <w:lang w:val="fr-CA"/>
        </w:rPr>
        <w:t xml:space="preserve">la norme objective modifiée de la personne raisonnable se trouvant dans une situation </w:t>
      </w:r>
      <w:r>
        <w:rPr>
          <w:lang w:val="fr-CA"/>
        </w:rPr>
        <w:t>similaire</w:t>
      </w:r>
      <w:r w:rsidRPr="00A011C6">
        <w:rPr>
          <w:lang w:val="fr-CA"/>
        </w:rPr>
        <w:t>.</w:t>
      </w:r>
    </w:p>
    <w:p w:rsidR="00AF49CF" w:rsidRPr="00A011C6" w:rsidRDefault="00AF49CF" w:rsidP="000B2287">
      <w:pPr>
        <w:pStyle w:val="TitleTitre-AltT"/>
        <w:tabs>
          <w:tab w:val="clear" w:pos="360"/>
          <w:tab w:val="left" w:pos="1170"/>
        </w:tabs>
        <w:ind w:left="1710" w:hanging="1710"/>
        <w:rPr>
          <w:lang w:val="fr-CA"/>
        </w:rPr>
      </w:pPr>
      <w:r>
        <w:rPr>
          <w:lang w:val="fr-CA"/>
        </w:rPr>
        <w:tab/>
      </w:r>
      <w:r w:rsidRPr="00A011C6">
        <w:rPr>
          <w:lang w:val="fr-CA"/>
        </w:rPr>
        <w:t>b)</w:t>
      </w:r>
      <w:r w:rsidRPr="00A011C6">
        <w:rPr>
          <w:lang w:val="fr-CA"/>
        </w:rPr>
        <w:tab/>
      </w:r>
      <w:r w:rsidRPr="00D3798D">
        <w:rPr>
          <w:i/>
          <w:lang w:val="fr-CA"/>
        </w:rPr>
        <w:t>Un lien temporel étroit</w:t>
      </w:r>
      <w:r w:rsidRPr="00A011C6">
        <w:rPr>
          <w:lang w:val="fr-CA"/>
        </w:rPr>
        <w:t xml:space="preserve"> </w:t>
      </w:r>
    </w:p>
    <w:p w:rsidR="00AF49CF" w:rsidRPr="00A011C6" w:rsidRDefault="00AF49CF" w:rsidP="00AF49CF">
      <w:pPr>
        <w:pStyle w:val="ParaNoNdepar-AltN"/>
        <w:rPr>
          <w:lang w:val="fr-CA"/>
        </w:rPr>
      </w:pPr>
      <w:r w:rsidRPr="00A011C6">
        <w:rPr>
          <w:lang w:val="fr-CA"/>
        </w:rPr>
        <w:t>Il doit exister « un lien temporel étroit entre les menaces et le préjudice que l</w:t>
      </w:r>
      <w:r>
        <w:rPr>
          <w:lang w:val="fr-CA"/>
        </w:rPr>
        <w:t>’</w:t>
      </w:r>
      <w:r w:rsidRPr="00A011C6">
        <w:rPr>
          <w:lang w:val="fr-CA"/>
        </w:rPr>
        <w:t>on menace de causer » (</w:t>
      </w:r>
      <w:r w:rsidRPr="00A011C6">
        <w:rPr>
          <w:i/>
          <w:lang w:val="fr-CA"/>
        </w:rPr>
        <w:t>Ruzic</w:t>
      </w:r>
      <w:r w:rsidRPr="00A011C6">
        <w:rPr>
          <w:lang w:val="fr-CA"/>
        </w:rPr>
        <w:t xml:space="preserve">, </w:t>
      </w:r>
      <w:r>
        <w:rPr>
          <w:lang w:val="fr-CA"/>
        </w:rPr>
        <w:t>par. 96).  C</w:t>
      </w:r>
      <w:r w:rsidRPr="00A011C6">
        <w:rPr>
          <w:lang w:val="fr-CA"/>
        </w:rPr>
        <w:t>e lien étroit entre les menaces et leur exécution doit être tel que l</w:t>
      </w:r>
      <w:r>
        <w:rPr>
          <w:lang w:val="fr-CA"/>
        </w:rPr>
        <w:t>’</w:t>
      </w:r>
      <w:r w:rsidRPr="00A011C6">
        <w:rPr>
          <w:lang w:val="fr-CA"/>
        </w:rPr>
        <w:t>accusé perd</w:t>
      </w:r>
      <w:r>
        <w:rPr>
          <w:lang w:val="fr-CA"/>
        </w:rPr>
        <w:t>e</w:t>
      </w:r>
      <w:r w:rsidRPr="00A011C6">
        <w:rPr>
          <w:lang w:val="fr-CA"/>
        </w:rPr>
        <w:t xml:space="preserve"> la capacité d</w:t>
      </w:r>
      <w:r>
        <w:rPr>
          <w:lang w:val="fr-CA"/>
        </w:rPr>
        <w:t>’</w:t>
      </w:r>
      <w:r w:rsidRPr="00A011C6">
        <w:rPr>
          <w:lang w:val="fr-CA"/>
        </w:rPr>
        <w:t xml:space="preserve">agir volontairement. </w:t>
      </w:r>
      <w:r>
        <w:rPr>
          <w:lang w:val="fr-CA"/>
        </w:rPr>
        <w:t xml:space="preserve"> </w:t>
      </w:r>
      <w:r w:rsidRPr="00A011C6">
        <w:rPr>
          <w:lang w:val="fr-CA"/>
        </w:rPr>
        <w:t>L</w:t>
      </w:r>
      <w:r>
        <w:rPr>
          <w:lang w:val="fr-CA"/>
        </w:rPr>
        <w:t>’</w:t>
      </w:r>
      <w:r w:rsidRPr="00A011C6">
        <w:rPr>
          <w:lang w:val="fr-CA"/>
        </w:rPr>
        <w:t>exigence d</w:t>
      </w:r>
      <w:r>
        <w:rPr>
          <w:lang w:val="fr-CA"/>
        </w:rPr>
        <w:t>’</w:t>
      </w:r>
      <w:r w:rsidRPr="00A011C6">
        <w:rPr>
          <w:lang w:val="fr-CA"/>
        </w:rPr>
        <w:t>un lien temporel étroit entre les menaces et le préjudice que l</w:t>
      </w:r>
      <w:r>
        <w:rPr>
          <w:lang w:val="fr-CA"/>
        </w:rPr>
        <w:t>’</w:t>
      </w:r>
      <w:r w:rsidRPr="00A011C6">
        <w:rPr>
          <w:lang w:val="fr-CA"/>
        </w:rPr>
        <w:t xml:space="preserve">on menace de causer </w:t>
      </w:r>
      <w:r>
        <w:rPr>
          <w:lang w:val="fr-CA"/>
        </w:rPr>
        <w:t>est liée à</w:t>
      </w:r>
      <w:r w:rsidRPr="00A011C6">
        <w:rPr>
          <w:lang w:val="fr-CA"/>
        </w:rPr>
        <w:t xml:space="preserve"> l</w:t>
      </w:r>
      <w:r>
        <w:rPr>
          <w:lang w:val="fr-CA"/>
        </w:rPr>
        <w:t>’</w:t>
      </w:r>
      <w:r w:rsidRPr="00A011C6">
        <w:rPr>
          <w:lang w:val="fr-CA"/>
        </w:rPr>
        <w:t>exigence que l</w:t>
      </w:r>
      <w:r>
        <w:rPr>
          <w:lang w:val="fr-CA"/>
        </w:rPr>
        <w:t xml:space="preserve">’accusé ne </w:t>
      </w:r>
      <w:r w:rsidRPr="00A011C6">
        <w:rPr>
          <w:lang w:val="fr-CA"/>
        </w:rPr>
        <w:t>dispo</w:t>
      </w:r>
      <w:r>
        <w:rPr>
          <w:lang w:val="fr-CA"/>
        </w:rPr>
        <w:t>se</w:t>
      </w:r>
      <w:r w:rsidRPr="00A011C6">
        <w:rPr>
          <w:lang w:val="fr-CA"/>
        </w:rPr>
        <w:t xml:space="preserve"> d</w:t>
      </w:r>
      <w:r>
        <w:rPr>
          <w:lang w:val="fr-CA"/>
        </w:rPr>
        <w:t>’</w:t>
      </w:r>
      <w:r w:rsidRPr="00A011C6">
        <w:rPr>
          <w:lang w:val="fr-CA"/>
        </w:rPr>
        <w:t xml:space="preserve">aucun moyen de </w:t>
      </w:r>
      <w:r>
        <w:rPr>
          <w:lang w:val="fr-CA"/>
        </w:rPr>
        <w:t>se soustraire</w:t>
      </w:r>
      <w:r w:rsidRPr="00A011C6">
        <w:rPr>
          <w:lang w:val="fr-CA"/>
        </w:rPr>
        <w:t xml:space="preserve"> sans danger</w:t>
      </w:r>
      <w:r>
        <w:rPr>
          <w:lang w:val="fr-CA"/>
        </w:rPr>
        <w:t xml:space="preserve"> à la menace</w:t>
      </w:r>
      <w:r w:rsidRPr="00A011C6">
        <w:rPr>
          <w:lang w:val="fr-CA"/>
        </w:rPr>
        <w:t>.  Comme la Cour l</w:t>
      </w:r>
      <w:r>
        <w:rPr>
          <w:lang w:val="fr-CA"/>
        </w:rPr>
        <w:t>’</w:t>
      </w:r>
      <w:r w:rsidRPr="00A011C6">
        <w:rPr>
          <w:lang w:val="fr-CA"/>
        </w:rPr>
        <w:t xml:space="preserve">a </w:t>
      </w:r>
      <w:r>
        <w:rPr>
          <w:lang w:val="fr-CA"/>
        </w:rPr>
        <w:t>expliqué</w:t>
      </w:r>
      <w:r w:rsidRPr="00A011C6">
        <w:rPr>
          <w:lang w:val="fr-CA"/>
        </w:rPr>
        <w:t xml:space="preserve"> dans </w:t>
      </w:r>
      <w:r w:rsidRPr="00A011C6">
        <w:rPr>
          <w:i/>
          <w:lang w:val="fr-CA"/>
        </w:rPr>
        <w:t>Ruzic</w:t>
      </w:r>
      <w:r w:rsidRPr="00A011C6">
        <w:rPr>
          <w:lang w:val="fr-CA"/>
        </w:rPr>
        <w:t>, des menaces « proférées longtemps auparavant</w:t>
      </w:r>
      <w:r>
        <w:rPr>
          <w:lang w:val="fr-CA"/>
        </w:rPr>
        <w:t xml:space="preserve"> [. . .]</w:t>
      </w:r>
      <w:r w:rsidRPr="00A011C6">
        <w:rPr>
          <w:lang w:val="fr-CA"/>
        </w:rPr>
        <w:t xml:space="preserve"> contribueraient à mettre en doute leur propre gravité et, plus particulièrement, l</w:t>
      </w:r>
      <w:r>
        <w:rPr>
          <w:lang w:val="fr-CA"/>
        </w:rPr>
        <w:t>’</w:t>
      </w:r>
      <w:r w:rsidRPr="00A011C6">
        <w:rPr>
          <w:lang w:val="fr-CA"/>
        </w:rPr>
        <w:t>argument de l</w:t>
      </w:r>
      <w:r>
        <w:rPr>
          <w:lang w:val="fr-CA"/>
        </w:rPr>
        <w:t>’</w:t>
      </w:r>
      <w:r w:rsidRPr="00A011C6">
        <w:rPr>
          <w:lang w:val="fr-CA"/>
        </w:rPr>
        <w:t>absence de moyen de s</w:t>
      </w:r>
      <w:r>
        <w:rPr>
          <w:lang w:val="fr-CA"/>
        </w:rPr>
        <w:t>’</w:t>
      </w:r>
      <w:r w:rsidRPr="00A011C6">
        <w:rPr>
          <w:lang w:val="fr-CA"/>
        </w:rPr>
        <w:t>en sortir sans danger » (</w:t>
      </w:r>
      <w:r>
        <w:rPr>
          <w:lang w:val="fr-CA"/>
        </w:rPr>
        <w:t>par. </w:t>
      </w:r>
      <w:r w:rsidRPr="00A011C6">
        <w:rPr>
          <w:lang w:val="fr-CA"/>
        </w:rPr>
        <w:t>65).</w:t>
      </w:r>
    </w:p>
    <w:p w:rsidR="00AF49CF" w:rsidRPr="00B66CDD" w:rsidRDefault="00AF49CF" w:rsidP="00AF49CF">
      <w:pPr>
        <w:pStyle w:val="ParaNoNdepar-AltN"/>
        <w:rPr>
          <w:lang w:val="fr-CA"/>
        </w:rPr>
      </w:pPr>
      <w:r w:rsidRPr="00A011C6">
        <w:rPr>
          <w:lang w:val="fr-CA"/>
        </w:rPr>
        <w:t>Tant que les exigences d</w:t>
      </w:r>
      <w:r>
        <w:rPr>
          <w:lang w:val="fr-CA"/>
        </w:rPr>
        <w:t>’</w:t>
      </w:r>
      <w:r w:rsidRPr="00A011C6">
        <w:rPr>
          <w:lang w:val="fr-CA"/>
        </w:rPr>
        <w:t>immédiateté et de présence de l</w:t>
      </w:r>
      <w:r>
        <w:rPr>
          <w:lang w:val="fr-CA"/>
        </w:rPr>
        <w:t>’art. </w:t>
      </w:r>
      <w:r w:rsidRPr="00A011C6">
        <w:rPr>
          <w:lang w:val="fr-CA"/>
        </w:rPr>
        <w:t>17 demeura</w:t>
      </w:r>
      <w:r>
        <w:rPr>
          <w:lang w:val="fr-CA"/>
        </w:rPr>
        <w:t>ient inchangées, les facteurs relatifs au</w:t>
      </w:r>
      <w:r w:rsidRPr="00A011C6">
        <w:rPr>
          <w:lang w:val="fr-CA"/>
        </w:rPr>
        <w:t xml:space="preserve"> moyen de </w:t>
      </w:r>
      <w:r>
        <w:rPr>
          <w:lang w:val="fr-CA"/>
        </w:rPr>
        <w:t>se soustraire sans danger à la menace et au</w:t>
      </w:r>
      <w:r w:rsidRPr="00A011C6">
        <w:rPr>
          <w:lang w:val="fr-CA"/>
        </w:rPr>
        <w:t xml:space="preserve"> lien temporel étroit </w:t>
      </w:r>
      <w:r>
        <w:rPr>
          <w:lang w:val="fr-CA"/>
        </w:rPr>
        <w:t>n’étaient</w:t>
      </w:r>
      <w:r w:rsidRPr="00A011C6">
        <w:rPr>
          <w:lang w:val="fr-CA"/>
        </w:rPr>
        <w:t xml:space="preserve"> guère pertinents.  Des menaces de mort ou de lésions corporelles</w:t>
      </w:r>
      <w:r>
        <w:rPr>
          <w:lang w:val="fr-CA"/>
        </w:rPr>
        <w:t xml:space="preserve"> </w:t>
      </w:r>
      <w:r w:rsidRPr="00A011C6">
        <w:rPr>
          <w:lang w:val="fr-CA"/>
        </w:rPr>
        <w:t>immédiate</w:t>
      </w:r>
      <w:r>
        <w:rPr>
          <w:lang w:val="fr-CA"/>
        </w:rPr>
        <w:t>s</w:t>
      </w:r>
      <w:r w:rsidRPr="00A011C6">
        <w:rPr>
          <w:lang w:val="fr-CA"/>
        </w:rPr>
        <w:t xml:space="preserve"> qui, selon leur destinataire, ser</w:t>
      </w:r>
      <w:r>
        <w:rPr>
          <w:lang w:val="fr-CA"/>
        </w:rPr>
        <w:t>ont</w:t>
      </w:r>
      <w:r w:rsidRPr="00A011C6">
        <w:rPr>
          <w:lang w:val="fr-CA"/>
        </w:rPr>
        <w:t xml:space="preserve"> exécutées par une personne présente</w:t>
      </w:r>
      <w:r>
        <w:rPr>
          <w:lang w:val="fr-CA"/>
        </w:rPr>
        <w:t xml:space="preserve"> </w:t>
      </w:r>
      <w:r w:rsidRPr="00A011C6">
        <w:rPr>
          <w:lang w:val="fr-CA"/>
        </w:rPr>
        <w:t xml:space="preserve">garantissaient </w:t>
      </w:r>
      <w:r>
        <w:rPr>
          <w:lang w:val="fr-CA"/>
        </w:rPr>
        <w:t>l’existence d’</w:t>
      </w:r>
      <w:r w:rsidRPr="00A011C6">
        <w:rPr>
          <w:lang w:val="fr-CA"/>
        </w:rPr>
        <w:t>un lien temporel étroit et ne laissaient au destinataire aucun moye</w:t>
      </w:r>
      <w:r>
        <w:rPr>
          <w:lang w:val="fr-CA"/>
        </w:rPr>
        <w:t>n</w:t>
      </w:r>
      <w:r w:rsidRPr="00A011C6">
        <w:rPr>
          <w:lang w:val="fr-CA"/>
        </w:rPr>
        <w:t xml:space="preserve"> de s</w:t>
      </w:r>
      <w:r>
        <w:rPr>
          <w:lang w:val="fr-CA"/>
        </w:rPr>
        <w:t>’</w:t>
      </w:r>
      <w:r w:rsidRPr="00A011C6">
        <w:rPr>
          <w:lang w:val="fr-CA"/>
        </w:rPr>
        <w:t>en sortir sans danger</w:t>
      </w:r>
      <w:r>
        <w:rPr>
          <w:lang w:val="fr-CA"/>
        </w:rPr>
        <w:t>.  Toutefois, depuis l’invalidation des</w:t>
      </w:r>
      <w:r w:rsidRPr="00A011C6">
        <w:rPr>
          <w:lang w:val="fr-CA"/>
        </w:rPr>
        <w:t xml:space="preserve"> exigences d</w:t>
      </w:r>
      <w:r>
        <w:rPr>
          <w:lang w:val="fr-CA"/>
        </w:rPr>
        <w:t>’</w:t>
      </w:r>
      <w:r w:rsidRPr="00A011C6">
        <w:rPr>
          <w:lang w:val="fr-CA"/>
        </w:rPr>
        <w:t>immédiateté et de présence de l</w:t>
      </w:r>
      <w:r>
        <w:rPr>
          <w:lang w:val="fr-CA"/>
        </w:rPr>
        <w:t xml:space="preserve">’art. 17, </w:t>
      </w:r>
      <w:r w:rsidRPr="00A011C6">
        <w:rPr>
          <w:lang w:val="fr-CA"/>
        </w:rPr>
        <w:t xml:space="preserve">les exigences de </w:t>
      </w:r>
      <w:r>
        <w:rPr>
          <w:lang w:val="fr-CA"/>
        </w:rPr>
        <w:t>la common law relatives à l</w:t>
      </w:r>
      <w:r w:rsidRPr="00D3798D">
        <w:rPr>
          <w:rFonts w:cs="Times New Roman"/>
          <w:lang w:val="fr-CA"/>
        </w:rPr>
        <w:t>’</w:t>
      </w:r>
      <w:r>
        <w:rPr>
          <w:lang w:val="fr-CA"/>
        </w:rPr>
        <w:t>absence de</w:t>
      </w:r>
      <w:r w:rsidRPr="00A011C6">
        <w:rPr>
          <w:lang w:val="fr-CA"/>
        </w:rPr>
        <w:t xml:space="preserve"> moyen de </w:t>
      </w:r>
      <w:r>
        <w:rPr>
          <w:lang w:val="fr-CA"/>
        </w:rPr>
        <w:t>se soustraire sans danger à la menace et au</w:t>
      </w:r>
      <w:r w:rsidRPr="00A011C6">
        <w:rPr>
          <w:lang w:val="fr-CA"/>
        </w:rPr>
        <w:t xml:space="preserve"> lien temporel étroit sont devenues des moyens essentiels pour évaluer </w:t>
      </w:r>
      <w:r>
        <w:rPr>
          <w:lang w:val="fr-CA"/>
        </w:rPr>
        <w:t>le caractère moralement</w:t>
      </w:r>
      <w:r w:rsidRPr="00B66CDD">
        <w:rPr>
          <w:lang w:val="fr-CA"/>
        </w:rPr>
        <w:t xml:space="preserve"> involontaire</w:t>
      </w:r>
      <w:r w:rsidRPr="00A011C6">
        <w:rPr>
          <w:lang w:val="fr-CA"/>
        </w:rPr>
        <w:t xml:space="preserve"> </w:t>
      </w:r>
      <w:r>
        <w:rPr>
          <w:lang w:val="fr-CA"/>
        </w:rPr>
        <w:t>d</w:t>
      </w:r>
      <w:r w:rsidRPr="00A011C6">
        <w:rPr>
          <w:lang w:val="fr-CA"/>
        </w:rPr>
        <w:t xml:space="preserve">es actes de </w:t>
      </w:r>
      <w:r w:rsidRPr="00B66CDD">
        <w:rPr>
          <w:lang w:val="fr-CA"/>
        </w:rPr>
        <w:t xml:space="preserve">l’accusé. </w:t>
      </w:r>
    </w:p>
    <w:p w:rsidR="00AF49CF" w:rsidRPr="00A011C6" w:rsidRDefault="00AF49CF" w:rsidP="00AF49CF">
      <w:pPr>
        <w:pStyle w:val="ParaNoNdepar-AltN"/>
        <w:rPr>
          <w:lang w:val="fr-CA"/>
        </w:rPr>
      </w:pPr>
      <w:r w:rsidRPr="00B66CDD">
        <w:rPr>
          <w:lang w:val="fr-CA"/>
        </w:rPr>
        <w:t xml:space="preserve">De plus, </w:t>
      </w:r>
      <w:r>
        <w:rPr>
          <w:lang w:val="fr-CA"/>
        </w:rPr>
        <w:t>après l’invalidation d</w:t>
      </w:r>
      <w:r w:rsidRPr="00B66CDD">
        <w:rPr>
          <w:lang w:val="fr-CA"/>
        </w:rPr>
        <w:t>es exigences d’immédiateté et de présence, la croyance de l’accusé voulant que les menaces ser</w:t>
      </w:r>
      <w:r>
        <w:rPr>
          <w:lang w:val="fr-CA"/>
        </w:rPr>
        <w:t>aient</w:t>
      </w:r>
      <w:r w:rsidRPr="00B66CDD">
        <w:rPr>
          <w:lang w:val="fr-CA"/>
        </w:rPr>
        <w:t xml:space="preserve"> mises à exécution</w:t>
      </w:r>
      <w:r w:rsidRPr="00A011C6">
        <w:rPr>
          <w:lang w:val="fr-CA"/>
        </w:rPr>
        <w:t xml:space="preserve"> </w:t>
      </w:r>
      <w:r>
        <w:rPr>
          <w:lang w:val="fr-CA"/>
        </w:rPr>
        <w:t>devait désormais</w:t>
      </w:r>
      <w:r w:rsidRPr="00B66CDD">
        <w:rPr>
          <w:lang w:val="fr-CA"/>
        </w:rPr>
        <w:t xml:space="preserve"> </w:t>
      </w:r>
      <w:r>
        <w:rPr>
          <w:lang w:val="fr-CA"/>
        </w:rPr>
        <w:t>être évaluée en fonction d</w:t>
      </w:r>
      <w:r w:rsidRPr="00E64B89">
        <w:rPr>
          <w:rFonts w:cs="Times New Roman"/>
          <w:lang w:val="fr-CA"/>
        </w:rPr>
        <w:t>’</w:t>
      </w:r>
      <w:r w:rsidRPr="00A011C6">
        <w:rPr>
          <w:lang w:val="fr-CA"/>
        </w:rPr>
        <w:t>une norme objective modifiée de la personne rais</w:t>
      </w:r>
      <w:r>
        <w:rPr>
          <w:lang w:val="fr-CA"/>
        </w:rPr>
        <w:t>onnable se trouvant</w:t>
      </w:r>
      <w:r w:rsidRPr="00A011C6">
        <w:rPr>
          <w:lang w:val="fr-CA"/>
        </w:rPr>
        <w:t xml:space="preserve"> dans une situation </w:t>
      </w:r>
      <w:r>
        <w:rPr>
          <w:lang w:val="fr-CA"/>
        </w:rPr>
        <w:t>similaire</w:t>
      </w:r>
      <w:r w:rsidRPr="00A011C6">
        <w:rPr>
          <w:lang w:val="fr-CA"/>
        </w:rPr>
        <w:t xml:space="preserve">. </w:t>
      </w:r>
      <w:r>
        <w:rPr>
          <w:lang w:val="fr-CA"/>
        </w:rPr>
        <w:t xml:space="preserve"> En effet, l’</w:t>
      </w:r>
      <w:r w:rsidRPr="00A011C6">
        <w:rPr>
          <w:lang w:val="fr-CA"/>
        </w:rPr>
        <w:t>art</w:t>
      </w:r>
      <w:r w:rsidR="000B2287">
        <w:rPr>
          <w:lang w:val="fr-CA"/>
        </w:rPr>
        <w:t>.</w:t>
      </w:r>
      <w:r w:rsidRPr="00A011C6">
        <w:rPr>
          <w:lang w:val="fr-CA"/>
        </w:rPr>
        <w:t> 17 prévoit qu</w:t>
      </w:r>
      <w:r>
        <w:rPr>
          <w:lang w:val="fr-CA"/>
        </w:rPr>
        <w:t>’</w:t>
      </w:r>
      <w:r w:rsidRPr="00A011C6">
        <w:rPr>
          <w:lang w:val="fr-CA"/>
        </w:rPr>
        <w:t>une personne sera excusée « </w:t>
      </w:r>
      <w:r w:rsidRPr="00A011C6">
        <w:rPr>
          <w:u w:val="single"/>
          <w:lang w:val="fr-CA"/>
        </w:rPr>
        <w:t>si elle croit</w:t>
      </w:r>
      <w:r w:rsidRPr="00D8136E">
        <w:rPr>
          <w:lang w:val="fr-CA"/>
        </w:rPr>
        <w:t xml:space="preserve"> que les menaces seront mises à exécution </w:t>
      </w:r>
      <w:r w:rsidRPr="00A011C6">
        <w:rPr>
          <w:lang w:val="fr-CA"/>
        </w:rPr>
        <w:t>».  Donc, à première vue, l</w:t>
      </w:r>
      <w:r>
        <w:rPr>
          <w:lang w:val="fr-CA"/>
        </w:rPr>
        <w:t>’</w:t>
      </w:r>
      <w:r w:rsidRPr="00A011C6">
        <w:rPr>
          <w:lang w:val="fr-CA"/>
        </w:rPr>
        <w:t xml:space="preserve">article exige une croyance purement subjective, une norme moins exigeante </w:t>
      </w:r>
      <w:r>
        <w:rPr>
          <w:lang w:val="fr-CA"/>
        </w:rPr>
        <w:t>qui était logique</w:t>
      </w:r>
      <w:r w:rsidRPr="00A011C6">
        <w:rPr>
          <w:lang w:val="fr-CA"/>
        </w:rPr>
        <w:t xml:space="preserve"> lorsque les menaces étaient manifestement immédiates et que l</w:t>
      </w:r>
      <w:r>
        <w:rPr>
          <w:lang w:val="fr-CA"/>
        </w:rPr>
        <w:t xml:space="preserve">eur </w:t>
      </w:r>
      <w:r w:rsidRPr="00A011C6">
        <w:rPr>
          <w:lang w:val="fr-CA"/>
        </w:rPr>
        <w:t>auteur était physiquement présent sur les lieux</w:t>
      </w:r>
      <w:r>
        <w:rPr>
          <w:lang w:val="fr-CA"/>
        </w:rPr>
        <w:t>.  Cependant</w:t>
      </w:r>
      <w:r w:rsidRPr="00A011C6">
        <w:rPr>
          <w:lang w:val="fr-CA"/>
        </w:rPr>
        <w:t xml:space="preserve">, </w:t>
      </w:r>
      <w:r>
        <w:rPr>
          <w:lang w:val="fr-CA"/>
        </w:rPr>
        <w:t xml:space="preserve">une fois supprimées </w:t>
      </w:r>
      <w:r w:rsidRPr="00A011C6">
        <w:rPr>
          <w:lang w:val="fr-CA"/>
        </w:rPr>
        <w:t>les exigences d</w:t>
      </w:r>
      <w:r>
        <w:rPr>
          <w:lang w:val="fr-CA"/>
        </w:rPr>
        <w:t>’</w:t>
      </w:r>
      <w:r w:rsidRPr="00A011C6">
        <w:rPr>
          <w:lang w:val="fr-CA"/>
        </w:rPr>
        <w:t>immédiateté et de présence</w:t>
      </w:r>
      <w:r>
        <w:rPr>
          <w:lang w:val="fr-CA"/>
        </w:rPr>
        <w:t>,</w:t>
      </w:r>
      <w:r w:rsidRPr="00A011C6">
        <w:rPr>
          <w:lang w:val="fr-CA"/>
        </w:rPr>
        <w:t xml:space="preserve"> l</w:t>
      </w:r>
      <w:r>
        <w:rPr>
          <w:lang w:val="fr-CA"/>
        </w:rPr>
        <w:t>’</w:t>
      </w:r>
      <w:r w:rsidRPr="00A011C6">
        <w:rPr>
          <w:lang w:val="fr-CA"/>
        </w:rPr>
        <w:t>appréciation de la croyance de l</w:t>
      </w:r>
      <w:r>
        <w:rPr>
          <w:lang w:val="fr-CA"/>
        </w:rPr>
        <w:t>’</w:t>
      </w:r>
      <w:r w:rsidRPr="00A011C6">
        <w:rPr>
          <w:lang w:val="fr-CA"/>
        </w:rPr>
        <w:t>accusé que les m</w:t>
      </w:r>
      <w:r>
        <w:rPr>
          <w:lang w:val="fr-CA"/>
        </w:rPr>
        <w:t>enaces seront mises à exécution commande</w:t>
      </w:r>
      <w:r w:rsidRPr="00A011C6">
        <w:rPr>
          <w:lang w:val="fr-CA"/>
        </w:rPr>
        <w:t xml:space="preserve"> nécessairement une norme d</w:t>
      </w:r>
      <w:r>
        <w:rPr>
          <w:lang w:val="fr-CA"/>
        </w:rPr>
        <w:t>’</w:t>
      </w:r>
      <w:r w:rsidRPr="00A011C6">
        <w:rPr>
          <w:lang w:val="fr-CA"/>
        </w:rPr>
        <w:t xml:space="preserve">évaluation plus exigeante. </w:t>
      </w:r>
      <w:r>
        <w:rPr>
          <w:lang w:val="fr-CA"/>
        </w:rPr>
        <w:t xml:space="preserve"> </w:t>
      </w:r>
      <w:r w:rsidRPr="00A011C6">
        <w:rPr>
          <w:lang w:val="fr-CA"/>
        </w:rPr>
        <w:t>En d</w:t>
      </w:r>
      <w:r>
        <w:rPr>
          <w:lang w:val="fr-CA"/>
        </w:rPr>
        <w:t>’autres termes</w:t>
      </w:r>
      <w:r w:rsidRPr="00A011C6">
        <w:rPr>
          <w:lang w:val="fr-CA"/>
        </w:rPr>
        <w:t>, la croyance réelle de l</w:t>
      </w:r>
      <w:r>
        <w:rPr>
          <w:lang w:val="fr-CA"/>
        </w:rPr>
        <w:t>’</w:t>
      </w:r>
      <w:r w:rsidRPr="00A011C6">
        <w:rPr>
          <w:lang w:val="fr-CA"/>
        </w:rPr>
        <w:t>accusé doit également être raisonnable.</w:t>
      </w:r>
    </w:p>
    <w:p w:rsidR="00AF49CF" w:rsidRPr="00A011C6" w:rsidRDefault="00AF49CF" w:rsidP="00AF49CF">
      <w:pPr>
        <w:pStyle w:val="ParaNoNdepar-AltN"/>
        <w:rPr>
          <w:lang w:val="fr-CA"/>
        </w:rPr>
      </w:pPr>
      <w:r>
        <w:rPr>
          <w:lang w:val="fr-CA"/>
        </w:rPr>
        <w:t>En interprétant les exigences d</w:t>
      </w:r>
      <w:r w:rsidRPr="00E64B89">
        <w:rPr>
          <w:rFonts w:cs="Times New Roman"/>
          <w:lang w:val="fr-CA"/>
        </w:rPr>
        <w:t>’</w:t>
      </w:r>
      <w:r>
        <w:rPr>
          <w:lang w:val="fr-CA"/>
        </w:rPr>
        <w:t>un</w:t>
      </w:r>
      <w:r w:rsidRPr="00A011C6">
        <w:rPr>
          <w:lang w:val="fr-CA"/>
        </w:rPr>
        <w:t xml:space="preserve"> moyen de s</w:t>
      </w:r>
      <w:r>
        <w:rPr>
          <w:lang w:val="fr-CA"/>
        </w:rPr>
        <w:t>’</w:t>
      </w:r>
      <w:r w:rsidRPr="00A011C6">
        <w:rPr>
          <w:lang w:val="fr-CA"/>
        </w:rPr>
        <w:t xml:space="preserve">en sortir sans </w:t>
      </w:r>
      <w:r>
        <w:rPr>
          <w:lang w:val="fr-CA"/>
        </w:rPr>
        <w:t>danger et d</w:t>
      </w:r>
      <w:r w:rsidRPr="00E64B89">
        <w:rPr>
          <w:rFonts w:cs="Times New Roman"/>
          <w:lang w:val="fr-CA"/>
        </w:rPr>
        <w:t>’</w:t>
      </w:r>
      <w:r>
        <w:rPr>
          <w:lang w:val="fr-CA"/>
        </w:rPr>
        <w:t>un</w:t>
      </w:r>
      <w:r w:rsidRPr="00A011C6">
        <w:rPr>
          <w:lang w:val="fr-CA"/>
        </w:rPr>
        <w:t xml:space="preserve"> lien temporel étroit, </w:t>
      </w:r>
      <w:r>
        <w:rPr>
          <w:lang w:val="fr-CA"/>
        </w:rPr>
        <w:t>la norme purement subjective</w:t>
      </w:r>
      <w:r w:rsidRPr="00A011C6">
        <w:rPr>
          <w:lang w:val="fr-CA"/>
        </w:rPr>
        <w:t xml:space="preserve"> devient une évaluation fondée sur une norme objective modifiée</w:t>
      </w:r>
      <w:r>
        <w:rPr>
          <w:lang w:val="fr-CA"/>
        </w:rPr>
        <w:t xml:space="preserve">.  </w:t>
      </w:r>
      <w:r w:rsidRPr="00A011C6">
        <w:rPr>
          <w:lang w:val="fr-CA"/>
        </w:rPr>
        <w:t xml:space="preserve">Ces deux éléments, </w:t>
      </w:r>
      <w:r>
        <w:rPr>
          <w:lang w:val="fr-CA"/>
        </w:rPr>
        <w:t xml:space="preserve">conjugués à la croyance </w:t>
      </w:r>
      <w:r w:rsidRPr="00A011C6">
        <w:rPr>
          <w:lang w:val="fr-CA"/>
        </w:rPr>
        <w:t>que les menaces seront mises à exécution, doivent être analysés dans leur ensemble</w:t>
      </w:r>
      <w:r>
        <w:rPr>
          <w:lang w:val="fr-CA"/>
        </w:rPr>
        <w:t> :</w:t>
      </w:r>
      <w:r w:rsidRPr="00A011C6">
        <w:rPr>
          <w:lang w:val="fr-CA"/>
        </w:rPr>
        <w:t> l</w:t>
      </w:r>
      <w:r>
        <w:rPr>
          <w:lang w:val="fr-CA"/>
        </w:rPr>
        <w:t>’</w:t>
      </w:r>
      <w:r w:rsidRPr="00A011C6">
        <w:rPr>
          <w:lang w:val="fr-CA"/>
        </w:rPr>
        <w:t>accusé ne peut raisonnablement croire que les menaces ser</w:t>
      </w:r>
      <w:r>
        <w:rPr>
          <w:lang w:val="fr-CA"/>
        </w:rPr>
        <w:t>ont</w:t>
      </w:r>
      <w:r w:rsidRPr="00A011C6">
        <w:rPr>
          <w:lang w:val="fr-CA"/>
        </w:rPr>
        <w:t xml:space="preserve"> mises à exécution s</w:t>
      </w:r>
      <w:r>
        <w:rPr>
          <w:lang w:val="fr-CA"/>
        </w:rPr>
        <w:t>’</w:t>
      </w:r>
      <w:r w:rsidRPr="00A011C6">
        <w:rPr>
          <w:lang w:val="fr-CA"/>
        </w:rPr>
        <w:t xml:space="preserve">il y a une possibilité de </w:t>
      </w:r>
      <w:r>
        <w:rPr>
          <w:lang w:val="fr-CA"/>
        </w:rPr>
        <w:t>se soustraire à la menace</w:t>
      </w:r>
      <w:r w:rsidRPr="00A011C6">
        <w:rPr>
          <w:lang w:val="fr-CA"/>
        </w:rPr>
        <w:t xml:space="preserve"> sans danger et s</w:t>
      </w:r>
      <w:r>
        <w:rPr>
          <w:lang w:val="fr-CA"/>
        </w:rPr>
        <w:t>’</w:t>
      </w:r>
      <w:r w:rsidRPr="00A011C6">
        <w:rPr>
          <w:lang w:val="fr-CA"/>
        </w:rPr>
        <w:t>il n</w:t>
      </w:r>
      <w:r>
        <w:rPr>
          <w:lang w:val="fr-CA"/>
        </w:rPr>
        <w:t>’</w:t>
      </w:r>
      <w:r w:rsidRPr="00A011C6">
        <w:rPr>
          <w:lang w:val="fr-CA"/>
        </w:rPr>
        <w:t>exist</w:t>
      </w:r>
      <w:r>
        <w:rPr>
          <w:lang w:val="fr-CA"/>
        </w:rPr>
        <w:t xml:space="preserve">e </w:t>
      </w:r>
      <w:r w:rsidRPr="00A011C6">
        <w:rPr>
          <w:lang w:val="fr-CA"/>
        </w:rPr>
        <w:t>aucun lien temporel étroit entre les menaces et le préjudice que l</w:t>
      </w:r>
      <w:r>
        <w:rPr>
          <w:lang w:val="fr-CA"/>
        </w:rPr>
        <w:t>’</w:t>
      </w:r>
      <w:r w:rsidRPr="00A011C6">
        <w:rPr>
          <w:lang w:val="fr-CA"/>
        </w:rPr>
        <w:t xml:space="preserve">on menace de causer.  </w:t>
      </w:r>
    </w:p>
    <w:p w:rsidR="00AF49CF" w:rsidRPr="00A011C6" w:rsidRDefault="00AF49CF" w:rsidP="00AF49CF">
      <w:pPr>
        <w:pStyle w:val="ParaNoNdepar-AltN"/>
        <w:rPr>
          <w:lang w:val="fr-CA"/>
        </w:rPr>
      </w:pPr>
      <w:r w:rsidRPr="00A011C6">
        <w:rPr>
          <w:lang w:val="fr-CA"/>
        </w:rPr>
        <w:t>L</w:t>
      </w:r>
      <w:r>
        <w:rPr>
          <w:lang w:val="fr-CA"/>
        </w:rPr>
        <w:t>’</w:t>
      </w:r>
      <w:r w:rsidRPr="00A011C6">
        <w:rPr>
          <w:lang w:val="fr-CA"/>
        </w:rPr>
        <w:t>ajout des exigences de common law dans le but de remplacer les éléments</w:t>
      </w:r>
      <w:r>
        <w:rPr>
          <w:lang w:val="fr-CA"/>
        </w:rPr>
        <w:t xml:space="preserve"> désormais invalidés</w:t>
      </w:r>
      <w:r w:rsidRPr="00A011C6">
        <w:rPr>
          <w:lang w:val="fr-CA"/>
        </w:rPr>
        <w:t xml:space="preserve"> d</w:t>
      </w:r>
      <w:r>
        <w:rPr>
          <w:lang w:val="fr-CA"/>
        </w:rPr>
        <w:t>’</w:t>
      </w:r>
      <w:r w:rsidRPr="00A011C6">
        <w:rPr>
          <w:lang w:val="fr-CA"/>
        </w:rPr>
        <w:t>immédiateté et de présence de l</w:t>
      </w:r>
      <w:r>
        <w:rPr>
          <w:lang w:val="fr-CA"/>
        </w:rPr>
        <w:t>’art. </w:t>
      </w:r>
      <w:r w:rsidRPr="00A011C6">
        <w:rPr>
          <w:lang w:val="fr-CA"/>
        </w:rPr>
        <w:t xml:space="preserve">17 tempère donc </w:t>
      </w:r>
      <w:r>
        <w:rPr>
          <w:lang w:val="fr-CA"/>
        </w:rPr>
        <w:t>l’application du critère de la</w:t>
      </w:r>
      <w:r w:rsidRPr="00A011C6">
        <w:rPr>
          <w:lang w:val="fr-CA"/>
        </w:rPr>
        <w:t xml:space="preserve"> croyance purement subje</w:t>
      </w:r>
      <w:r>
        <w:rPr>
          <w:lang w:val="fr-CA"/>
        </w:rPr>
        <w:t>ctive dans la gravité des</w:t>
      </w:r>
      <w:r w:rsidRPr="00A011C6">
        <w:rPr>
          <w:lang w:val="fr-CA"/>
        </w:rPr>
        <w:t xml:space="preserve"> menaces.  De plus, ces </w:t>
      </w:r>
      <w:r>
        <w:rPr>
          <w:lang w:val="fr-CA"/>
        </w:rPr>
        <w:t xml:space="preserve">nouvelles </w:t>
      </w:r>
      <w:r w:rsidRPr="00A011C6">
        <w:rPr>
          <w:lang w:val="fr-CA"/>
        </w:rPr>
        <w:t>exigences harmonisent la disposition législative avec le principe du caractère involontaire au sens mor</w:t>
      </w:r>
      <w:r>
        <w:rPr>
          <w:lang w:val="fr-CA"/>
        </w:rPr>
        <w:t>al.  L’</w:t>
      </w:r>
      <w:r w:rsidRPr="00A011C6">
        <w:rPr>
          <w:lang w:val="fr-CA"/>
        </w:rPr>
        <w:t xml:space="preserve">opinion de la société </w:t>
      </w:r>
      <w:r>
        <w:rPr>
          <w:lang w:val="fr-CA"/>
        </w:rPr>
        <w:t xml:space="preserve">sur la conduite </w:t>
      </w:r>
      <w:r w:rsidRPr="00A011C6">
        <w:rPr>
          <w:lang w:val="fr-CA"/>
        </w:rPr>
        <w:t>de l</w:t>
      </w:r>
      <w:r>
        <w:rPr>
          <w:lang w:val="fr-CA"/>
        </w:rPr>
        <w:t>’accusé constitue</w:t>
      </w:r>
      <w:r w:rsidRPr="00A011C6">
        <w:rPr>
          <w:lang w:val="fr-CA"/>
        </w:rPr>
        <w:t xml:space="preserve"> un aspect important du principe</w:t>
      </w:r>
      <w:r>
        <w:rPr>
          <w:lang w:val="fr-CA"/>
        </w:rPr>
        <w:t>;</w:t>
      </w:r>
      <w:r w:rsidRPr="00A011C6">
        <w:rPr>
          <w:lang w:val="fr-CA"/>
        </w:rPr>
        <w:t xml:space="preserve"> il serait </w:t>
      </w:r>
      <w:r>
        <w:rPr>
          <w:lang w:val="fr-CA"/>
        </w:rPr>
        <w:t xml:space="preserve">donc </w:t>
      </w:r>
      <w:r w:rsidRPr="00A011C6">
        <w:rPr>
          <w:lang w:val="fr-CA"/>
        </w:rPr>
        <w:t>contraire à l</w:t>
      </w:r>
      <w:r>
        <w:rPr>
          <w:lang w:val="fr-CA"/>
        </w:rPr>
        <w:t>a natur</w:t>
      </w:r>
      <w:r w:rsidRPr="00A011C6">
        <w:rPr>
          <w:lang w:val="fr-CA"/>
        </w:rPr>
        <w:t xml:space="preserve">e même du caractère involontaire au sens moral </w:t>
      </w:r>
      <w:r>
        <w:rPr>
          <w:lang w:val="fr-CA"/>
        </w:rPr>
        <w:t>d’</w:t>
      </w:r>
      <w:r w:rsidRPr="00A011C6">
        <w:rPr>
          <w:lang w:val="fr-CA"/>
        </w:rPr>
        <w:t xml:space="preserve">accepter </w:t>
      </w:r>
      <w:r>
        <w:rPr>
          <w:lang w:val="fr-CA"/>
        </w:rPr>
        <w:t xml:space="preserve">sans plus </w:t>
      </w:r>
      <w:r w:rsidRPr="00A011C6">
        <w:rPr>
          <w:lang w:val="fr-CA"/>
        </w:rPr>
        <w:t>la croyance subjective de l</w:t>
      </w:r>
      <w:r>
        <w:rPr>
          <w:lang w:val="fr-CA"/>
        </w:rPr>
        <w:t>’</w:t>
      </w:r>
      <w:r w:rsidRPr="00A011C6">
        <w:rPr>
          <w:lang w:val="fr-CA"/>
        </w:rPr>
        <w:t>accusé</w:t>
      </w:r>
      <w:r>
        <w:rPr>
          <w:lang w:val="fr-CA"/>
        </w:rPr>
        <w:t>, sans obliger la présence de</w:t>
      </w:r>
      <w:r w:rsidRPr="00A011C6">
        <w:rPr>
          <w:lang w:val="fr-CA"/>
        </w:rPr>
        <w:t xml:space="preserve"> certains facteurs externes</w:t>
      </w:r>
      <w:r>
        <w:rPr>
          <w:lang w:val="fr-CA"/>
        </w:rPr>
        <w:t>.</w:t>
      </w:r>
      <w:r w:rsidRPr="00A011C6">
        <w:rPr>
          <w:lang w:val="fr-CA"/>
        </w:rPr>
        <w:t xml:space="preserve"> </w:t>
      </w:r>
      <w:r>
        <w:rPr>
          <w:lang w:val="fr-CA"/>
        </w:rPr>
        <w:t xml:space="preserve"> </w:t>
      </w:r>
      <w:r w:rsidRPr="00A011C6">
        <w:rPr>
          <w:lang w:val="fr-CA"/>
        </w:rPr>
        <w:t>Renvoyant à</w:t>
      </w:r>
      <w:r>
        <w:rPr>
          <w:lang w:val="fr-CA"/>
        </w:rPr>
        <w:t xml:space="preserve"> l</w:t>
      </w:r>
      <w:r w:rsidRPr="00B35342">
        <w:rPr>
          <w:rFonts w:cs="Times New Roman"/>
          <w:lang w:val="fr-CA"/>
        </w:rPr>
        <w:t>’</w:t>
      </w:r>
      <w:r>
        <w:rPr>
          <w:lang w:val="fr-CA"/>
        </w:rPr>
        <w:t>arrêt</w:t>
      </w:r>
      <w:r w:rsidRPr="00A011C6">
        <w:rPr>
          <w:lang w:val="fr-CA"/>
        </w:rPr>
        <w:t xml:space="preserve"> </w:t>
      </w:r>
      <w:r w:rsidRPr="00A011C6">
        <w:rPr>
          <w:i/>
          <w:lang w:val="fr-CA"/>
        </w:rPr>
        <w:t>R. c. Howe</w:t>
      </w:r>
      <w:r>
        <w:rPr>
          <w:lang w:val="fr-CA"/>
        </w:rPr>
        <w:t>,</w:t>
      </w:r>
      <w:r w:rsidRPr="00A011C6">
        <w:rPr>
          <w:lang w:val="fr-CA"/>
        </w:rPr>
        <w:t xml:space="preserve"> [1987] A.C. 417</w:t>
      </w:r>
      <w:r>
        <w:rPr>
          <w:lang w:val="fr-CA"/>
        </w:rPr>
        <w:t xml:space="preserve"> (H.L.), p. </w:t>
      </w:r>
      <w:r w:rsidRPr="00A011C6">
        <w:rPr>
          <w:lang w:val="fr-CA"/>
        </w:rPr>
        <w:t xml:space="preserve">426,  Baker convient que </w:t>
      </w:r>
      <w:r w:rsidRPr="00A011C6">
        <w:rPr>
          <w:smallCaps/>
          <w:lang w:val="fr-CA"/>
        </w:rPr>
        <w:t>[traduction]</w:t>
      </w:r>
      <w:r w:rsidRPr="00A011C6">
        <w:rPr>
          <w:lang w:val="fr-CA"/>
        </w:rPr>
        <w:t xml:space="preserve"> « [l]es menaces </w:t>
      </w:r>
      <w:r w:rsidR="00FC539D">
        <w:rPr>
          <w:rFonts w:cs="Times New Roman"/>
          <w:lang w:val="fr-CA"/>
        </w:rPr>
        <w:t>“</w:t>
      </w:r>
      <w:r w:rsidRPr="00A011C6">
        <w:rPr>
          <w:lang w:val="fr-CA"/>
        </w:rPr>
        <w:t>doivent comporter un degré de violence à ce point important</w:t>
      </w:r>
      <w:r>
        <w:rPr>
          <w:lang w:val="fr-CA"/>
        </w:rPr>
        <w:t xml:space="preserve"> qu</w:t>
      </w:r>
      <w:r w:rsidRPr="00B35342">
        <w:rPr>
          <w:rFonts w:cs="Times New Roman"/>
          <w:lang w:val="fr-CA"/>
        </w:rPr>
        <w:t>’</w:t>
      </w:r>
      <w:r>
        <w:rPr>
          <w:lang w:val="fr-CA"/>
        </w:rPr>
        <w:t>on peut penser</w:t>
      </w:r>
      <w:r w:rsidRPr="00A011C6">
        <w:rPr>
          <w:lang w:val="fr-CA"/>
        </w:rPr>
        <w:t xml:space="preserve"> </w:t>
      </w:r>
      <w:r w:rsidR="00FC539D">
        <w:rPr>
          <w:lang w:val="fr-CA"/>
        </w:rPr>
        <w:t>‘</w:t>
      </w:r>
      <w:r w:rsidRPr="00A011C6">
        <w:rPr>
          <w:lang w:val="fr-CA"/>
        </w:rPr>
        <w:t>qu</w:t>
      </w:r>
      <w:r>
        <w:rPr>
          <w:lang w:val="fr-CA"/>
        </w:rPr>
        <w:t>’</w:t>
      </w:r>
      <w:r w:rsidRPr="00A011C6">
        <w:rPr>
          <w:lang w:val="fr-CA"/>
        </w:rPr>
        <w:t>une personne raisonnablement déterminée</w:t>
      </w:r>
      <w:r>
        <w:rPr>
          <w:lang w:val="fr-CA"/>
        </w:rPr>
        <w:t>’</w:t>
      </w:r>
      <w:r w:rsidRPr="00A011C6">
        <w:rPr>
          <w:lang w:val="fr-CA"/>
        </w:rPr>
        <w:t xml:space="preserve"> ayant les mêm</w:t>
      </w:r>
      <w:r>
        <w:rPr>
          <w:lang w:val="fr-CA"/>
        </w:rPr>
        <w:t>es caractéristiques et se trouva</w:t>
      </w:r>
      <w:r w:rsidRPr="00A011C6">
        <w:rPr>
          <w:lang w:val="fr-CA"/>
        </w:rPr>
        <w:t>nt dans la même situation que le défendeur n</w:t>
      </w:r>
      <w:r>
        <w:rPr>
          <w:lang w:val="fr-CA"/>
        </w:rPr>
        <w:t>’</w:t>
      </w:r>
      <w:r w:rsidRPr="00A011C6">
        <w:rPr>
          <w:lang w:val="fr-CA"/>
        </w:rPr>
        <w:t>aurait pas pu résister</w:t>
      </w:r>
      <w:r w:rsidR="00FC539D">
        <w:rPr>
          <w:rFonts w:cs="Times New Roman"/>
          <w:lang w:val="fr-CA"/>
        </w:rPr>
        <w:t>”</w:t>
      </w:r>
      <w:r w:rsidRPr="00A011C6">
        <w:rPr>
          <w:lang w:val="fr-CA"/>
        </w:rPr>
        <w:t> »</w:t>
      </w:r>
      <w:r>
        <w:rPr>
          <w:lang w:val="fr-CA"/>
        </w:rPr>
        <w:t xml:space="preserve"> (par. 25</w:t>
      </w:r>
      <w:r>
        <w:rPr>
          <w:lang w:val="fr-CA"/>
        </w:rPr>
        <w:noBreakHyphen/>
        <w:t>015)</w:t>
      </w:r>
      <w:r w:rsidRPr="00A011C6">
        <w:rPr>
          <w:lang w:val="fr-CA"/>
        </w:rPr>
        <w:t xml:space="preserve">.  Il </w:t>
      </w:r>
      <w:r>
        <w:rPr>
          <w:lang w:val="fr-CA"/>
        </w:rPr>
        <w:t>affirme</w:t>
      </w:r>
      <w:r w:rsidRPr="00A011C6">
        <w:rPr>
          <w:lang w:val="fr-CA"/>
        </w:rPr>
        <w:t xml:space="preserve"> expressément que l</w:t>
      </w:r>
      <w:r>
        <w:rPr>
          <w:lang w:val="fr-CA"/>
        </w:rPr>
        <w:t>’</w:t>
      </w:r>
      <w:r w:rsidRPr="00A011C6">
        <w:rPr>
          <w:lang w:val="fr-CA"/>
        </w:rPr>
        <w:t xml:space="preserve">accusé doit avoir des motifs raisonnables de croire que les menaces seront mises à exécution </w:t>
      </w:r>
      <w:r>
        <w:rPr>
          <w:lang w:val="fr-CA"/>
        </w:rPr>
        <w:t>(par. 25</w:t>
      </w:r>
      <w:r>
        <w:rPr>
          <w:lang w:val="fr-CA"/>
        </w:rPr>
        <w:noBreakHyphen/>
      </w:r>
      <w:r w:rsidRPr="00A011C6">
        <w:rPr>
          <w:lang w:val="fr-CA"/>
        </w:rPr>
        <w:t>015</w:t>
      </w:r>
      <w:r>
        <w:rPr>
          <w:lang w:val="fr-CA"/>
        </w:rPr>
        <w:t xml:space="preserve"> et 25</w:t>
      </w:r>
      <w:r>
        <w:rPr>
          <w:lang w:val="fr-CA"/>
        </w:rPr>
        <w:noBreakHyphen/>
        <w:t>016)</w:t>
      </w:r>
      <w:r w:rsidRPr="00A011C6">
        <w:rPr>
          <w:lang w:val="fr-CA"/>
        </w:rPr>
        <w:t>.</w:t>
      </w:r>
    </w:p>
    <w:p w:rsidR="00AF49CF" w:rsidRPr="00A011C6" w:rsidRDefault="00AF49CF" w:rsidP="00D75B30">
      <w:pPr>
        <w:pStyle w:val="TitleTitre-AltT"/>
        <w:tabs>
          <w:tab w:val="clear" w:pos="360"/>
          <w:tab w:val="left" w:pos="1170"/>
        </w:tabs>
        <w:ind w:left="1710" w:hanging="1620"/>
        <w:rPr>
          <w:lang w:val="fr-CA"/>
        </w:rPr>
      </w:pPr>
      <w:r>
        <w:rPr>
          <w:lang w:val="fr-CA"/>
        </w:rPr>
        <w:tab/>
      </w:r>
      <w:r w:rsidRPr="00A011C6">
        <w:rPr>
          <w:lang w:val="fr-CA"/>
        </w:rPr>
        <w:t>c)</w:t>
      </w:r>
      <w:r w:rsidRPr="00A011C6">
        <w:rPr>
          <w:lang w:val="fr-CA"/>
        </w:rPr>
        <w:tab/>
      </w:r>
      <w:r w:rsidRPr="00B35342">
        <w:rPr>
          <w:i/>
          <w:lang w:val="fr-CA"/>
        </w:rPr>
        <w:t>La proportionnalité</w:t>
      </w:r>
    </w:p>
    <w:p w:rsidR="00AF49CF" w:rsidRPr="00A011C6" w:rsidRDefault="00AF49CF" w:rsidP="00AF49CF">
      <w:pPr>
        <w:pStyle w:val="ParaNoNdepar-AltN"/>
        <w:rPr>
          <w:lang w:val="fr-CA"/>
        </w:rPr>
      </w:pPr>
      <w:r>
        <w:rPr>
          <w:lang w:val="fr-CA"/>
        </w:rPr>
        <w:t>Le moyen de défense fondé sur</w:t>
      </w:r>
      <w:r w:rsidRPr="00A011C6">
        <w:rPr>
          <w:lang w:val="fr-CA"/>
        </w:rPr>
        <w:t xml:space="preserve"> la contrainte exige </w:t>
      </w:r>
      <w:r>
        <w:rPr>
          <w:lang w:val="fr-CA"/>
        </w:rPr>
        <w:t>un rapport de</w:t>
      </w:r>
      <w:r w:rsidRPr="00A011C6">
        <w:rPr>
          <w:lang w:val="fr-CA"/>
        </w:rPr>
        <w:t xml:space="preserve"> proportionnalité entre les menaces proférées et l</w:t>
      </w:r>
      <w:r>
        <w:rPr>
          <w:lang w:val="fr-CA"/>
        </w:rPr>
        <w:t>’acte criminel qui serait</w:t>
      </w:r>
      <w:r w:rsidRPr="00A011C6">
        <w:rPr>
          <w:lang w:val="fr-CA"/>
        </w:rPr>
        <w:t xml:space="preserve"> </w:t>
      </w:r>
      <w:r>
        <w:rPr>
          <w:lang w:val="fr-CA"/>
        </w:rPr>
        <w:t>commis</w:t>
      </w:r>
      <w:r w:rsidRPr="00A011C6">
        <w:rPr>
          <w:lang w:val="fr-CA"/>
        </w:rPr>
        <w:t>.  En d</w:t>
      </w:r>
      <w:r>
        <w:rPr>
          <w:lang w:val="fr-CA"/>
        </w:rPr>
        <w:t>’autres termes</w:t>
      </w:r>
      <w:r w:rsidRPr="00A011C6">
        <w:rPr>
          <w:lang w:val="fr-CA"/>
        </w:rPr>
        <w:t>, le préjudice causé ne doit pas être plus grave que le préjudice évité.  La proportionnalité s</w:t>
      </w:r>
      <w:r>
        <w:rPr>
          <w:lang w:val="fr-CA"/>
        </w:rPr>
        <w:t>’</w:t>
      </w:r>
      <w:r w:rsidRPr="00A011C6">
        <w:rPr>
          <w:lang w:val="fr-CA"/>
        </w:rPr>
        <w:t xml:space="preserve">apprécie en fonction de la norme objective modifiée de la personne raisonnable se trouvant dans </w:t>
      </w:r>
      <w:r>
        <w:rPr>
          <w:lang w:val="fr-CA"/>
        </w:rPr>
        <w:t xml:space="preserve">une situation semblable, et </w:t>
      </w:r>
      <w:r w:rsidRPr="00A011C6">
        <w:rPr>
          <w:lang w:val="fr-CA"/>
        </w:rPr>
        <w:t>comporte l</w:t>
      </w:r>
      <w:r>
        <w:rPr>
          <w:lang w:val="fr-CA"/>
        </w:rPr>
        <w:t>’</w:t>
      </w:r>
      <w:r w:rsidRPr="00A011C6">
        <w:rPr>
          <w:lang w:val="fr-CA"/>
        </w:rPr>
        <w:t>exigence que l</w:t>
      </w:r>
      <w:r>
        <w:rPr>
          <w:lang w:val="fr-CA"/>
        </w:rPr>
        <w:t>’</w:t>
      </w:r>
      <w:r w:rsidRPr="00A011C6">
        <w:rPr>
          <w:lang w:val="fr-CA"/>
        </w:rPr>
        <w:t xml:space="preserve">accusé </w:t>
      </w:r>
      <w:r>
        <w:rPr>
          <w:lang w:val="fr-CA"/>
        </w:rPr>
        <w:t>ada</w:t>
      </w:r>
      <w:r w:rsidRPr="00A011C6">
        <w:rPr>
          <w:lang w:val="fr-CA"/>
        </w:rPr>
        <w:t>pte sa conduite en fonction de la nature des menaces proférées</w:t>
      </w:r>
      <w:r>
        <w:rPr>
          <w:lang w:val="fr-CA"/>
        </w:rPr>
        <w:t> :</w:t>
      </w:r>
      <w:r w:rsidRPr="00A011C6">
        <w:rPr>
          <w:lang w:val="fr-CA"/>
        </w:rPr>
        <w:t xml:space="preserve"> « On doit s</w:t>
      </w:r>
      <w:r>
        <w:rPr>
          <w:lang w:val="fr-CA"/>
        </w:rPr>
        <w:t>’</w:t>
      </w:r>
      <w:r w:rsidRPr="00A011C6">
        <w:rPr>
          <w:lang w:val="fr-CA"/>
        </w:rPr>
        <w:t>attendre à ce que l</w:t>
      </w:r>
      <w:r>
        <w:rPr>
          <w:lang w:val="fr-CA"/>
        </w:rPr>
        <w:t>’</w:t>
      </w:r>
      <w:r w:rsidRPr="00A011C6">
        <w:rPr>
          <w:lang w:val="fr-CA"/>
        </w:rPr>
        <w:t>accusé démontre un certain courage et oppose une résistance normale aux menaces proférées » (</w:t>
      </w:r>
      <w:r w:rsidRPr="00A011C6">
        <w:rPr>
          <w:i/>
          <w:lang w:val="fr-CA"/>
        </w:rPr>
        <w:t>Ruzic</w:t>
      </w:r>
      <w:r w:rsidRPr="00A011C6">
        <w:rPr>
          <w:lang w:val="fr-CA"/>
        </w:rPr>
        <w:t xml:space="preserve">, </w:t>
      </w:r>
      <w:r>
        <w:rPr>
          <w:lang w:val="fr-CA"/>
        </w:rPr>
        <w:t>par. </w:t>
      </w:r>
      <w:r w:rsidRPr="00A011C6">
        <w:rPr>
          <w:lang w:val="fr-CA"/>
        </w:rPr>
        <w:t xml:space="preserve">62). </w:t>
      </w:r>
    </w:p>
    <w:p w:rsidR="00AF49CF" w:rsidRPr="00A011C6" w:rsidRDefault="00AF49CF" w:rsidP="00AF49CF">
      <w:pPr>
        <w:pStyle w:val="ParaNoNdepar-AltN"/>
        <w:rPr>
          <w:lang w:val="fr-CA"/>
        </w:rPr>
      </w:pPr>
      <w:r>
        <w:rPr>
          <w:lang w:val="fr-CA"/>
        </w:rPr>
        <w:t>La proportionnalité constitue</w:t>
      </w:r>
      <w:r w:rsidRPr="00A011C6">
        <w:rPr>
          <w:lang w:val="fr-CA"/>
        </w:rPr>
        <w:t xml:space="preserve"> une composante fondamentale du moyen de défense </w:t>
      </w:r>
      <w:r>
        <w:rPr>
          <w:lang w:val="fr-CA"/>
        </w:rPr>
        <w:t xml:space="preserve">fondé sur </w:t>
      </w:r>
      <w:r w:rsidRPr="00A011C6">
        <w:rPr>
          <w:lang w:val="fr-CA"/>
        </w:rPr>
        <w:t>la contrainte parce que, tout co</w:t>
      </w:r>
      <w:r>
        <w:rPr>
          <w:lang w:val="fr-CA"/>
        </w:rPr>
        <w:t>mme les deux éléments précédents</w:t>
      </w:r>
      <w:r w:rsidRPr="00A011C6">
        <w:rPr>
          <w:lang w:val="fr-CA"/>
        </w:rPr>
        <w:t xml:space="preserve">, elle </w:t>
      </w:r>
      <w:r>
        <w:rPr>
          <w:lang w:val="fr-CA"/>
        </w:rPr>
        <w:t>découle</w:t>
      </w:r>
      <w:r w:rsidRPr="00A011C6">
        <w:rPr>
          <w:lang w:val="fr-CA"/>
        </w:rPr>
        <w:t xml:space="preserve"> directement du principe du caractère involontaire au sens moral</w:t>
      </w:r>
      <w:r>
        <w:rPr>
          <w:lang w:val="fr-CA"/>
        </w:rPr>
        <w:t>.  En effet,</w:t>
      </w:r>
      <w:r w:rsidRPr="00A011C6">
        <w:rPr>
          <w:lang w:val="fr-CA"/>
        </w:rPr>
        <w:t xml:space="preserve"> seule une action fondée sur des menaces proportionnellement graves </w:t>
      </w:r>
      <w:r>
        <w:rPr>
          <w:lang w:val="fr-CA"/>
        </w:rPr>
        <w:t>auxquelles l</w:t>
      </w:r>
      <w:r w:rsidRPr="00B35342">
        <w:rPr>
          <w:rFonts w:cs="Times New Roman"/>
          <w:lang w:val="fr-CA"/>
        </w:rPr>
        <w:t>’</w:t>
      </w:r>
      <w:r>
        <w:rPr>
          <w:lang w:val="fr-CA"/>
        </w:rPr>
        <w:t>accusé s</w:t>
      </w:r>
      <w:r w:rsidRPr="00B35342">
        <w:rPr>
          <w:rFonts w:cs="Times New Roman"/>
          <w:lang w:val="fr-CA"/>
        </w:rPr>
        <w:t>’</w:t>
      </w:r>
      <w:r>
        <w:rPr>
          <w:lang w:val="fr-CA"/>
        </w:rPr>
        <w:t>oppose en démontrant un courage normal</w:t>
      </w:r>
      <w:r w:rsidRPr="00A011C6">
        <w:rPr>
          <w:lang w:val="fr-CA"/>
        </w:rPr>
        <w:t xml:space="preserve"> peut être considérée comme involontaire au sens mor</w:t>
      </w:r>
      <w:r>
        <w:rPr>
          <w:lang w:val="fr-CA"/>
        </w:rPr>
        <w:t xml:space="preserve">al.  </w:t>
      </w:r>
      <w:r w:rsidRPr="00A011C6">
        <w:rPr>
          <w:lang w:val="fr-CA"/>
        </w:rPr>
        <w:t xml:space="preserve">De plus, comme </w:t>
      </w:r>
      <w:r>
        <w:rPr>
          <w:lang w:val="fr-CA"/>
        </w:rPr>
        <w:t>l</w:t>
      </w:r>
      <w:r w:rsidRPr="00B35342">
        <w:rPr>
          <w:rFonts w:cs="Times New Roman"/>
          <w:lang w:val="fr-CA"/>
        </w:rPr>
        <w:t>’</w:t>
      </w:r>
      <w:r>
        <w:rPr>
          <w:lang w:val="fr-CA"/>
        </w:rPr>
        <w:t>arrêt</w:t>
      </w:r>
      <w:r w:rsidRPr="00A011C6">
        <w:rPr>
          <w:lang w:val="fr-CA"/>
        </w:rPr>
        <w:t xml:space="preserve"> </w:t>
      </w:r>
      <w:r w:rsidRPr="00A011C6">
        <w:rPr>
          <w:i/>
          <w:lang w:val="fr-CA"/>
        </w:rPr>
        <w:t>Ruzic</w:t>
      </w:r>
      <w:r>
        <w:rPr>
          <w:i/>
          <w:lang w:val="fr-CA"/>
        </w:rPr>
        <w:t xml:space="preserve"> </w:t>
      </w:r>
      <w:r w:rsidRPr="00446993">
        <w:rPr>
          <w:lang w:val="fr-CA"/>
        </w:rPr>
        <w:t>a décidé</w:t>
      </w:r>
      <w:r>
        <w:rPr>
          <w:lang w:val="fr-CA"/>
        </w:rPr>
        <w:t xml:space="preserve"> que </w:t>
      </w:r>
      <w:r w:rsidRPr="00A011C6">
        <w:rPr>
          <w:lang w:val="fr-CA"/>
        </w:rPr>
        <w:t>le principe du carac</w:t>
      </w:r>
      <w:r>
        <w:rPr>
          <w:lang w:val="fr-CA"/>
        </w:rPr>
        <w:t>tère involontaire au sens moral était</w:t>
      </w:r>
      <w:r w:rsidRPr="00A011C6">
        <w:rPr>
          <w:lang w:val="fr-CA"/>
        </w:rPr>
        <w:t xml:space="preserve"> un principe de justice fondamentale,</w:t>
      </w:r>
      <w:r>
        <w:rPr>
          <w:lang w:val="fr-CA"/>
        </w:rPr>
        <w:t xml:space="preserve"> son inclusion par interprétation dans l’art. </w:t>
      </w:r>
      <w:r w:rsidRPr="00A011C6">
        <w:rPr>
          <w:lang w:val="fr-CA"/>
        </w:rPr>
        <w:t>17</w:t>
      </w:r>
      <w:r>
        <w:rPr>
          <w:lang w:val="fr-CA"/>
        </w:rPr>
        <w:t xml:space="preserve"> s</w:t>
      </w:r>
      <w:r w:rsidRPr="00BB0263">
        <w:rPr>
          <w:rFonts w:cs="Times New Roman"/>
          <w:lang w:val="fr-CA"/>
        </w:rPr>
        <w:t>’</w:t>
      </w:r>
      <w:r>
        <w:rPr>
          <w:lang w:val="fr-CA"/>
        </w:rPr>
        <w:t>impose</w:t>
      </w:r>
      <w:r w:rsidRPr="00A011C6">
        <w:rPr>
          <w:lang w:val="fr-CA"/>
        </w:rPr>
        <w:t xml:space="preserve"> afin de respecter la règle d</w:t>
      </w:r>
      <w:r>
        <w:rPr>
          <w:lang w:val="fr-CA"/>
        </w:rPr>
        <w:t>’</w:t>
      </w:r>
      <w:r w:rsidRPr="00A011C6">
        <w:rPr>
          <w:lang w:val="fr-CA"/>
        </w:rPr>
        <w:t xml:space="preserve">interprétation </w:t>
      </w:r>
      <w:r>
        <w:rPr>
          <w:lang w:val="fr-CA"/>
        </w:rPr>
        <w:t>législative selon laquelle</w:t>
      </w:r>
      <w:r w:rsidRPr="00A011C6">
        <w:rPr>
          <w:lang w:val="fr-CA"/>
        </w:rPr>
        <w:t xml:space="preserve"> que les tribunaux doivent privilégier l</w:t>
      </w:r>
      <w:r>
        <w:rPr>
          <w:lang w:val="fr-CA"/>
        </w:rPr>
        <w:t>’</w:t>
      </w:r>
      <w:r w:rsidRPr="00A011C6">
        <w:rPr>
          <w:lang w:val="fr-CA"/>
        </w:rPr>
        <w:t>interprétation constitutionnelle d</w:t>
      </w:r>
      <w:r>
        <w:rPr>
          <w:lang w:val="fr-CA"/>
        </w:rPr>
        <w:t>’</w:t>
      </w:r>
      <w:r w:rsidRPr="00A011C6">
        <w:rPr>
          <w:lang w:val="fr-CA"/>
        </w:rPr>
        <w:t xml:space="preserve">une loi. </w:t>
      </w:r>
    </w:p>
    <w:p w:rsidR="00AF49CF" w:rsidRPr="00A011C6" w:rsidRDefault="00AF49CF" w:rsidP="00D75B30">
      <w:pPr>
        <w:pStyle w:val="TitleTitre-AltT"/>
        <w:tabs>
          <w:tab w:val="clear" w:pos="360"/>
          <w:tab w:val="left" w:pos="630"/>
        </w:tabs>
        <w:ind w:left="1170" w:hanging="1170"/>
        <w:rPr>
          <w:lang w:val="fr-CA"/>
        </w:rPr>
      </w:pPr>
      <w:r w:rsidRPr="00A011C6">
        <w:rPr>
          <w:lang w:val="fr-CA"/>
        </w:rPr>
        <w:tab/>
        <w:t>(3)</w:t>
      </w:r>
      <w:r w:rsidRPr="00A011C6">
        <w:rPr>
          <w:lang w:val="fr-CA"/>
        </w:rPr>
        <w:tab/>
      </w:r>
      <w:r w:rsidRPr="00A011C6">
        <w:rPr>
          <w:u w:val="single"/>
          <w:lang w:val="fr-CA"/>
        </w:rPr>
        <w:t>Le moyen de défense de common law fondé sur la contrainte après l</w:t>
      </w:r>
      <w:r>
        <w:rPr>
          <w:u w:val="single"/>
          <w:lang w:val="fr-CA"/>
        </w:rPr>
        <w:t>’</w:t>
      </w:r>
      <w:r w:rsidRPr="00A011C6">
        <w:rPr>
          <w:u w:val="single"/>
          <w:lang w:val="fr-CA"/>
        </w:rPr>
        <w:t xml:space="preserve">arrêt </w:t>
      </w:r>
      <w:r w:rsidRPr="00A011C6">
        <w:rPr>
          <w:i/>
          <w:u w:val="single"/>
          <w:lang w:val="fr-CA"/>
        </w:rPr>
        <w:t>Ruzic</w:t>
      </w:r>
    </w:p>
    <w:p w:rsidR="00AF49CF" w:rsidRPr="00A011C6" w:rsidRDefault="00AF49CF" w:rsidP="00AF49CF">
      <w:pPr>
        <w:pStyle w:val="ParaNoNdepar-AltN"/>
        <w:rPr>
          <w:lang w:val="fr-CA"/>
        </w:rPr>
      </w:pPr>
      <w:r>
        <w:rPr>
          <w:lang w:val="fr-CA"/>
        </w:rPr>
        <w:t>Suivant</w:t>
      </w:r>
      <w:r w:rsidRPr="00A011C6">
        <w:rPr>
          <w:lang w:val="fr-CA"/>
        </w:rPr>
        <w:t xml:space="preserve"> l</w:t>
      </w:r>
      <w:r>
        <w:rPr>
          <w:lang w:val="fr-CA"/>
        </w:rPr>
        <w:t>’</w:t>
      </w:r>
      <w:r w:rsidRPr="00A011C6">
        <w:rPr>
          <w:lang w:val="fr-CA"/>
        </w:rPr>
        <w:t>analyse faite par la Cour dans</w:t>
      </w:r>
      <w:r>
        <w:rPr>
          <w:lang w:val="fr-CA"/>
        </w:rPr>
        <w:t xml:space="preserve"> l</w:t>
      </w:r>
      <w:r w:rsidRPr="00BB0263">
        <w:rPr>
          <w:rFonts w:cs="Times New Roman"/>
          <w:lang w:val="fr-CA"/>
        </w:rPr>
        <w:t>’</w:t>
      </w:r>
      <w:r>
        <w:rPr>
          <w:lang w:val="fr-CA"/>
        </w:rPr>
        <w:t>arrêt</w:t>
      </w:r>
      <w:r w:rsidRPr="00A011C6">
        <w:rPr>
          <w:lang w:val="fr-CA"/>
        </w:rPr>
        <w:t xml:space="preserve"> </w:t>
      </w:r>
      <w:r w:rsidRPr="00A011C6">
        <w:rPr>
          <w:i/>
          <w:lang w:val="fr-CA"/>
        </w:rPr>
        <w:t>Ruzic</w:t>
      </w:r>
      <w:r w:rsidRPr="00A011C6">
        <w:rPr>
          <w:lang w:val="fr-CA"/>
        </w:rPr>
        <w:t>, nous pouvons conc</w:t>
      </w:r>
      <w:r>
        <w:rPr>
          <w:lang w:val="fr-CA"/>
        </w:rPr>
        <w:t xml:space="preserve">lure que les règles de </w:t>
      </w:r>
      <w:r w:rsidRPr="00A011C6">
        <w:rPr>
          <w:lang w:val="fr-CA"/>
        </w:rPr>
        <w:t>common law</w:t>
      </w:r>
      <w:r>
        <w:rPr>
          <w:lang w:val="fr-CA"/>
        </w:rPr>
        <w:t xml:space="preserve"> en matière de contrainte</w:t>
      </w:r>
      <w:r w:rsidRPr="00A011C6">
        <w:rPr>
          <w:lang w:val="fr-CA"/>
        </w:rPr>
        <w:t xml:space="preserve"> </w:t>
      </w:r>
      <w:r>
        <w:rPr>
          <w:lang w:val="fr-CA"/>
        </w:rPr>
        <w:t>comprennent</w:t>
      </w:r>
      <w:r w:rsidRPr="00A011C6">
        <w:rPr>
          <w:lang w:val="fr-CA"/>
        </w:rPr>
        <w:t xml:space="preserve"> les éléments suivants</w:t>
      </w:r>
      <w:r>
        <w:rPr>
          <w:lang w:val="fr-CA"/>
        </w:rPr>
        <w:t> :</w:t>
      </w:r>
    </w:p>
    <w:p w:rsidR="00AF49CF" w:rsidRPr="00A011C6" w:rsidRDefault="00AF49CF" w:rsidP="002C4E96">
      <w:pPr>
        <w:pStyle w:val="Citation-AltC"/>
        <w:numPr>
          <w:ilvl w:val="0"/>
          <w:numId w:val="10"/>
        </w:numPr>
        <w:spacing w:after="240" w:line="480" w:lineRule="auto"/>
        <w:ind w:left="720" w:hanging="720"/>
        <w:contextualSpacing w:val="0"/>
        <w:rPr>
          <w:lang w:val="fr-CA"/>
        </w:rPr>
      </w:pPr>
      <w:r>
        <w:rPr>
          <w:lang w:val="fr-CA"/>
        </w:rPr>
        <w:t>d</w:t>
      </w:r>
      <w:r w:rsidRPr="00A011C6">
        <w:rPr>
          <w:lang w:val="fr-CA"/>
        </w:rPr>
        <w:t>es menaces explicites ou implicites de mort ou de lésions corporelles proférées contre l</w:t>
      </w:r>
      <w:r>
        <w:rPr>
          <w:lang w:val="fr-CA"/>
        </w:rPr>
        <w:t>’</w:t>
      </w:r>
      <w:r w:rsidRPr="00A011C6">
        <w:rPr>
          <w:lang w:val="fr-CA"/>
        </w:rPr>
        <w:t xml:space="preserve">accusé ou un tiers. </w:t>
      </w:r>
      <w:r>
        <w:rPr>
          <w:lang w:val="fr-CA"/>
        </w:rPr>
        <w:t xml:space="preserve"> Les menaces peuvent</w:t>
      </w:r>
      <w:r w:rsidRPr="00A011C6">
        <w:rPr>
          <w:lang w:val="fr-CA"/>
        </w:rPr>
        <w:t xml:space="preserve"> porter sur un préjudice futur. </w:t>
      </w:r>
      <w:r>
        <w:rPr>
          <w:lang w:val="fr-CA"/>
        </w:rPr>
        <w:t xml:space="preserve"> </w:t>
      </w:r>
      <w:r w:rsidRPr="00A011C6">
        <w:rPr>
          <w:lang w:val="fr-CA"/>
        </w:rPr>
        <w:t>Bien que, traditionnellement, le degré de préjudice corporel a</w:t>
      </w:r>
      <w:r>
        <w:rPr>
          <w:lang w:val="fr-CA"/>
        </w:rPr>
        <w:t>it</w:t>
      </w:r>
      <w:r w:rsidRPr="00A011C6">
        <w:rPr>
          <w:lang w:val="fr-CA"/>
        </w:rPr>
        <w:t xml:space="preserve"> été </w:t>
      </w:r>
      <w:r>
        <w:rPr>
          <w:lang w:val="fr-CA"/>
        </w:rPr>
        <w:t>décrit comme devant être</w:t>
      </w:r>
      <w:r w:rsidRPr="00A011C6">
        <w:rPr>
          <w:lang w:val="fr-CA"/>
        </w:rPr>
        <w:t xml:space="preserve"> « grave », il vaut mieux examiner </w:t>
      </w:r>
      <w:r>
        <w:rPr>
          <w:lang w:val="fr-CA"/>
        </w:rPr>
        <w:t>cette</w:t>
      </w:r>
      <w:r w:rsidRPr="00A011C6">
        <w:rPr>
          <w:lang w:val="fr-CA"/>
        </w:rPr>
        <w:t xml:space="preserve"> question de la gravité à l</w:t>
      </w:r>
      <w:r>
        <w:rPr>
          <w:lang w:val="fr-CA"/>
        </w:rPr>
        <w:t>’</w:t>
      </w:r>
      <w:r w:rsidRPr="00A011C6">
        <w:rPr>
          <w:lang w:val="fr-CA"/>
        </w:rPr>
        <w:t xml:space="preserve">étape de la proportionnalité, qui </w:t>
      </w:r>
      <w:r>
        <w:rPr>
          <w:lang w:val="fr-CA"/>
        </w:rPr>
        <w:t>représente un critère capable d</w:t>
      </w:r>
      <w:r w:rsidRPr="00BB0263">
        <w:rPr>
          <w:lang w:val="fr-CA"/>
        </w:rPr>
        <w:t>’</w:t>
      </w:r>
      <w:r>
        <w:rPr>
          <w:lang w:val="fr-CA"/>
        </w:rPr>
        <w:t>établir le degré approprié</w:t>
      </w:r>
      <w:r w:rsidRPr="00A011C6">
        <w:rPr>
          <w:lang w:val="fr-CA"/>
        </w:rPr>
        <w:t xml:space="preserve"> de préjudice corporel</w:t>
      </w:r>
      <w:r>
        <w:rPr>
          <w:lang w:val="fr-CA"/>
        </w:rPr>
        <w:t>;</w:t>
      </w:r>
    </w:p>
    <w:p w:rsidR="00AF49CF" w:rsidRPr="00A011C6" w:rsidRDefault="00AF49CF" w:rsidP="002C4E96">
      <w:pPr>
        <w:pStyle w:val="Citation-AltC"/>
        <w:numPr>
          <w:ilvl w:val="0"/>
          <w:numId w:val="10"/>
        </w:numPr>
        <w:spacing w:after="240" w:line="480" w:lineRule="auto"/>
        <w:ind w:left="720" w:hanging="720"/>
        <w:contextualSpacing w:val="0"/>
        <w:rPr>
          <w:lang w:val="fr-CA"/>
        </w:rPr>
      </w:pPr>
      <w:r>
        <w:rPr>
          <w:lang w:val="fr-CA"/>
        </w:rPr>
        <w:t>l’accusé croyait, pour des motifs raisonnables,</w:t>
      </w:r>
      <w:r w:rsidRPr="00A011C6">
        <w:rPr>
          <w:lang w:val="fr-CA"/>
        </w:rPr>
        <w:t xml:space="preserve"> que les menaces seraient mises à exécution</w:t>
      </w:r>
      <w:r>
        <w:rPr>
          <w:lang w:val="fr-CA"/>
        </w:rPr>
        <w:t>;</w:t>
      </w:r>
      <w:r w:rsidRPr="00A011C6">
        <w:rPr>
          <w:lang w:val="fr-CA"/>
        </w:rPr>
        <w:t xml:space="preserve"> </w:t>
      </w:r>
    </w:p>
    <w:p w:rsidR="00AF49CF" w:rsidRPr="00A011C6" w:rsidRDefault="00AF49CF" w:rsidP="002C4E96">
      <w:pPr>
        <w:pStyle w:val="Citation-AltC"/>
        <w:numPr>
          <w:ilvl w:val="0"/>
          <w:numId w:val="10"/>
        </w:numPr>
        <w:spacing w:after="240" w:line="480" w:lineRule="auto"/>
        <w:ind w:left="720" w:hanging="720"/>
        <w:contextualSpacing w:val="0"/>
        <w:rPr>
          <w:lang w:val="fr-CA"/>
        </w:rPr>
      </w:pPr>
      <w:r>
        <w:rPr>
          <w:lang w:val="fr-CA"/>
        </w:rPr>
        <w:t>il n</w:t>
      </w:r>
      <w:r w:rsidRPr="00BB0263">
        <w:rPr>
          <w:lang w:val="fr-CA"/>
        </w:rPr>
        <w:t>’</w:t>
      </w:r>
      <w:r>
        <w:rPr>
          <w:lang w:val="fr-CA"/>
        </w:rPr>
        <w:t>existe aucun moyen</w:t>
      </w:r>
      <w:r w:rsidRPr="00A011C6">
        <w:rPr>
          <w:lang w:val="fr-CA"/>
        </w:rPr>
        <w:t xml:space="preserve"> de </w:t>
      </w:r>
      <w:r>
        <w:rPr>
          <w:lang w:val="fr-CA"/>
        </w:rPr>
        <w:t>se soustraire</w:t>
      </w:r>
      <w:r w:rsidRPr="00A011C6">
        <w:rPr>
          <w:lang w:val="fr-CA"/>
        </w:rPr>
        <w:t xml:space="preserve"> sans danger</w:t>
      </w:r>
      <w:r>
        <w:rPr>
          <w:lang w:val="fr-CA"/>
        </w:rPr>
        <w:t xml:space="preserve"> à la menace;</w:t>
      </w:r>
      <w:r w:rsidRPr="00A011C6">
        <w:rPr>
          <w:lang w:val="fr-CA"/>
        </w:rPr>
        <w:t xml:space="preserve"> </w:t>
      </w:r>
      <w:r>
        <w:rPr>
          <w:lang w:val="fr-CA"/>
        </w:rPr>
        <w:t>cet élément est évalué en fonction d</w:t>
      </w:r>
      <w:r w:rsidRPr="00BB0263">
        <w:rPr>
          <w:lang w:val="fr-CA"/>
        </w:rPr>
        <w:t>’</w:t>
      </w:r>
      <w:r w:rsidRPr="00A011C6">
        <w:rPr>
          <w:lang w:val="fr-CA"/>
        </w:rPr>
        <w:t>une norme objective modifiée</w:t>
      </w:r>
      <w:r>
        <w:rPr>
          <w:lang w:val="fr-CA"/>
        </w:rPr>
        <w:t>;</w:t>
      </w:r>
      <w:r w:rsidRPr="00A011C6">
        <w:rPr>
          <w:lang w:val="fr-CA"/>
        </w:rPr>
        <w:t xml:space="preserve"> </w:t>
      </w:r>
    </w:p>
    <w:p w:rsidR="00AF49CF" w:rsidRPr="00A011C6" w:rsidRDefault="00AF49CF" w:rsidP="00D45D20">
      <w:pPr>
        <w:pStyle w:val="Citation-AltC"/>
        <w:numPr>
          <w:ilvl w:val="0"/>
          <w:numId w:val="10"/>
        </w:numPr>
        <w:spacing w:after="240" w:line="480" w:lineRule="auto"/>
        <w:ind w:left="720" w:hanging="720"/>
        <w:contextualSpacing w:val="0"/>
        <w:rPr>
          <w:lang w:val="fr-CA"/>
        </w:rPr>
      </w:pPr>
      <w:r>
        <w:rPr>
          <w:lang w:val="fr-CA"/>
        </w:rPr>
        <w:t>il doit exister u</w:t>
      </w:r>
      <w:r w:rsidRPr="00A011C6">
        <w:rPr>
          <w:lang w:val="fr-CA"/>
        </w:rPr>
        <w:t>n lien temporel étroit entre les menaces proférées et le préjudice qu</w:t>
      </w:r>
      <w:r>
        <w:rPr>
          <w:lang w:val="fr-CA"/>
        </w:rPr>
        <w:t>’on</w:t>
      </w:r>
      <w:r w:rsidRPr="00A011C6">
        <w:rPr>
          <w:lang w:val="fr-CA"/>
        </w:rPr>
        <w:t xml:space="preserve"> menace de causer</w:t>
      </w:r>
      <w:r>
        <w:rPr>
          <w:lang w:val="fr-CA"/>
        </w:rPr>
        <w:t>;</w:t>
      </w:r>
    </w:p>
    <w:p w:rsidR="00AF49CF" w:rsidRPr="00A011C6" w:rsidRDefault="00AF49CF" w:rsidP="002C4E96">
      <w:pPr>
        <w:pStyle w:val="Citation-AltC"/>
        <w:numPr>
          <w:ilvl w:val="0"/>
          <w:numId w:val="10"/>
        </w:numPr>
        <w:spacing w:after="240" w:line="480" w:lineRule="auto"/>
        <w:ind w:left="720" w:hanging="720"/>
        <w:contextualSpacing w:val="0"/>
        <w:rPr>
          <w:lang w:val="fr-CA"/>
        </w:rPr>
      </w:pPr>
      <w:r>
        <w:rPr>
          <w:lang w:val="fr-CA"/>
        </w:rPr>
        <w:t>il doit exister un rapport de proportionnalité entre le préjudice dont l</w:t>
      </w:r>
      <w:r w:rsidRPr="00E538C4">
        <w:rPr>
          <w:lang w:val="fr-CA"/>
        </w:rPr>
        <w:t>’</w:t>
      </w:r>
      <w:r>
        <w:rPr>
          <w:lang w:val="fr-CA"/>
        </w:rPr>
        <w:t>accusé est menacé et celui qu</w:t>
      </w:r>
      <w:r w:rsidRPr="00E538C4">
        <w:rPr>
          <w:lang w:val="fr-CA"/>
        </w:rPr>
        <w:t>’</w:t>
      </w:r>
      <w:r>
        <w:rPr>
          <w:lang w:val="fr-CA"/>
        </w:rPr>
        <w:t>il inflige</w:t>
      </w:r>
      <w:r w:rsidRPr="00A011C6">
        <w:rPr>
          <w:lang w:val="fr-CA"/>
        </w:rPr>
        <w:t xml:space="preserve">. </w:t>
      </w:r>
      <w:r>
        <w:rPr>
          <w:lang w:val="fr-CA"/>
        </w:rPr>
        <w:t xml:space="preserve"> Cet élément doit également être évalué en fonction d</w:t>
      </w:r>
      <w:r w:rsidRPr="00BB0263">
        <w:rPr>
          <w:lang w:val="fr-CA"/>
        </w:rPr>
        <w:t>’</w:t>
      </w:r>
      <w:r>
        <w:rPr>
          <w:lang w:val="fr-CA"/>
        </w:rPr>
        <w:t xml:space="preserve">une norme objective modifiée; </w:t>
      </w:r>
    </w:p>
    <w:p w:rsidR="00AF49CF" w:rsidRPr="00A011C6" w:rsidRDefault="00AF49CF" w:rsidP="002C4E96">
      <w:pPr>
        <w:pStyle w:val="Citation-AltC"/>
        <w:numPr>
          <w:ilvl w:val="0"/>
          <w:numId w:val="10"/>
        </w:numPr>
        <w:spacing w:after="240" w:line="480" w:lineRule="auto"/>
        <w:ind w:left="720" w:hanging="720"/>
        <w:contextualSpacing w:val="0"/>
        <w:rPr>
          <w:lang w:val="fr-CA"/>
        </w:rPr>
      </w:pPr>
      <w:r>
        <w:rPr>
          <w:lang w:val="fr-CA"/>
        </w:rPr>
        <w:t>l’</w:t>
      </w:r>
      <w:r w:rsidRPr="00A011C6">
        <w:rPr>
          <w:lang w:val="fr-CA"/>
        </w:rPr>
        <w:t>accusé</w:t>
      </w:r>
      <w:r>
        <w:rPr>
          <w:lang w:val="fr-CA"/>
        </w:rPr>
        <w:t xml:space="preserve"> n</w:t>
      </w:r>
      <w:r w:rsidRPr="00E20BBD">
        <w:rPr>
          <w:lang w:val="fr-CA"/>
        </w:rPr>
        <w:t>’</w:t>
      </w:r>
      <w:r>
        <w:rPr>
          <w:lang w:val="fr-CA"/>
        </w:rPr>
        <w:t>a participé à aucun complot ni à</w:t>
      </w:r>
      <w:r w:rsidRPr="00A011C6">
        <w:rPr>
          <w:lang w:val="fr-CA"/>
        </w:rPr>
        <w:t xml:space="preserve"> aucune association</w:t>
      </w:r>
      <w:r>
        <w:rPr>
          <w:lang w:val="fr-CA"/>
        </w:rPr>
        <w:t xml:space="preserve"> le soumettant </w:t>
      </w:r>
      <w:r w:rsidRPr="00A011C6">
        <w:rPr>
          <w:lang w:val="fr-CA"/>
        </w:rPr>
        <w:t>à la contrainte</w:t>
      </w:r>
      <w:r>
        <w:rPr>
          <w:lang w:val="fr-CA"/>
        </w:rPr>
        <w:t xml:space="preserve">, et savait vraiment </w:t>
      </w:r>
      <w:r w:rsidRPr="00A011C6">
        <w:rPr>
          <w:lang w:val="fr-CA"/>
        </w:rPr>
        <w:t xml:space="preserve">que les menaces et la </w:t>
      </w:r>
      <w:r>
        <w:rPr>
          <w:lang w:val="fr-CA"/>
        </w:rPr>
        <w:t>contrainte l</w:t>
      </w:r>
      <w:r w:rsidRPr="00BB0263">
        <w:rPr>
          <w:lang w:val="fr-CA"/>
        </w:rPr>
        <w:t>’</w:t>
      </w:r>
      <w:r>
        <w:rPr>
          <w:lang w:val="fr-CA"/>
        </w:rPr>
        <w:t xml:space="preserve">incitant à commettre </w:t>
      </w:r>
      <w:r w:rsidRPr="00A011C6">
        <w:rPr>
          <w:lang w:val="fr-CA"/>
        </w:rPr>
        <w:t>une infraction criminelle</w:t>
      </w:r>
      <w:r>
        <w:rPr>
          <w:lang w:val="fr-CA"/>
        </w:rPr>
        <w:t xml:space="preserve"> constituaient </w:t>
      </w:r>
      <w:r w:rsidRPr="00A011C6">
        <w:rPr>
          <w:lang w:val="fr-CA"/>
        </w:rPr>
        <w:t>une conséquence possi</w:t>
      </w:r>
      <w:r>
        <w:rPr>
          <w:lang w:val="fr-CA"/>
        </w:rPr>
        <w:t>ble de cette activité</w:t>
      </w:r>
      <w:r w:rsidRPr="00A011C6">
        <w:rPr>
          <w:lang w:val="fr-CA"/>
        </w:rPr>
        <w:t xml:space="preserve">, </w:t>
      </w:r>
      <w:r>
        <w:rPr>
          <w:lang w:val="fr-CA"/>
        </w:rPr>
        <w:t xml:space="preserve">de ce complot ou de cette </w:t>
      </w:r>
      <w:r w:rsidRPr="00A011C6">
        <w:rPr>
          <w:lang w:val="fr-CA"/>
        </w:rPr>
        <w:t>association</w:t>
      </w:r>
      <w:r>
        <w:rPr>
          <w:lang w:val="fr-CA"/>
        </w:rPr>
        <w:t xml:space="preserve"> criminels</w:t>
      </w:r>
      <w:r w:rsidRPr="00A011C6">
        <w:rPr>
          <w:lang w:val="fr-CA"/>
        </w:rPr>
        <w:t xml:space="preserve">. </w:t>
      </w:r>
    </w:p>
    <w:p w:rsidR="00AF49CF" w:rsidRPr="00A011C6" w:rsidRDefault="00AF49CF" w:rsidP="00AF49CF">
      <w:pPr>
        <w:pStyle w:val="ParaNoNdepar-AltN"/>
        <w:rPr>
          <w:lang w:val="fr-CA"/>
        </w:rPr>
      </w:pPr>
      <w:r>
        <w:rPr>
          <w:lang w:val="fr-CA"/>
        </w:rPr>
        <w:t>Examinons maintenant</w:t>
      </w:r>
      <w:r w:rsidRPr="00A011C6">
        <w:rPr>
          <w:lang w:val="fr-CA"/>
        </w:rPr>
        <w:t xml:space="preserve"> </w:t>
      </w:r>
      <w:r>
        <w:rPr>
          <w:lang w:val="fr-CA"/>
        </w:rPr>
        <w:t xml:space="preserve">chacun de </w:t>
      </w:r>
      <w:r w:rsidRPr="00A011C6">
        <w:rPr>
          <w:lang w:val="fr-CA"/>
        </w:rPr>
        <w:t>ces éléments</w:t>
      </w:r>
      <w:r>
        <w:rPr>
          <w:lang w:val="fr-CA"/>
        </w:rPr>
        <w:t>.</w:t>
      </w:r>
    </w:p>
    <w:p w:rsidR="00AF49CF" w:rsidRPr="00A011C6" w:rsidRDefault="00AF49CF" w:rsidP="005A3981">
      <w:pPr>
        <w:pStyle w:val="TitleTitre-AltT"/>
        <w:tabs>
          <w:tab w:val="clear" w:pos="360"/>
          <w:tab w:val="left" w:pos="1170"/>
        </w:tabs>
        <w:ind w:left="1710" w:hanging="1620"/>
        <w:rPr>
          <w:lang w:val="fr-CA"/>
        </w:rPr>
      </w:pPr>
      <w:r>
        <w:rPr>
          <w:lang w:val="fr-CA"/>
        </w:rPr>
        <w:tab/>
      </w:r>
      <w:r w:rsidRPr="00A011C6">
        <w:rPr>
          <w:lang w:val="fr-CA"/>
        </w:rPr>
        <w:t>a)</w:t>
      </w:r>
      <w:r w:rsidRPr="00A011C6">
        <w:rPr>
          <w:lang w:val="fr-CA"/>
        </w:rPr>
        <w:tab/>
      </w:r>
      <w:r w:rsidRPr="00BB0263">
        <w:rPr>
          <w:i/>
          <w:lang w:val="fr-CA"/>
        </w:rPr>
        <w:t>Menaces de mort ou de lésions corporelles</w:t>
      </w:r>
    </w:p>
    <w:p w:rsidR="00AF49CF" w:rsidRPr="00A011C6" w:rsidRDefault="00AF49CF" w:rsidP="00AF49CF">
      <w:pPr>
        <w:pStyle w:val="ParaNoNdepar-AltN"/>
        <w:rPr>
          <w:lang w:val="fr-CA"/>
        </w:rPr>
      </w:pPr>
      <w:r w:rsidRPr="00A011C6">
        <w:rPr>
          <w:lang w:val="fr-CA"/>
        </w:rPr>
        <w:t>Pour qu</w:t>
      </w:r>
      <w:r>
        <w:rPr>
          <w:lang w:val="fr-CA"/>
        </w:rPr>
        <w:t>’</w:t>
      </w:r>
      <w:r w:rsidRPr="00A011C6">
        <w:rPr>
          <w:lang w:val="fr-CA"/>
        </w:rPr>
        <w:t xml:space="preserve">un accusé puisse invoquer le moyen de défense de common law fondé sur la contrainte, il doit </w:t>
      </w:r>
      <w:r>
        <w:rPr>
          <w:lang w:val="fr-CA"/>
        </w:rPr>
        <w:t>y avoir eu</w:t>
      </w:r>
      <w:r w:rsidRPr="00A011C6">
        <w:rPr>
          <w:lang w:val="fr-CA"/>
        </w:rPr>
        <w:t xml:space="preserve"> menaces de mort ou de lésions corporelles.  Ces menaces n</w:t>
      </w:r>
      <w:r>
        <w:rPr>
          <w:lang w:val="fr-CA"/>
        </w:rPr>
        <w:t xml:space="preserve">e doivent pas nécessairement </w:t>
      </w:r>
      <w:r w:rsidRPr="00A011C6">
        <w:rPr>
          <w:lang w:val="fr-CA"/>
        </w:rPr>
        <w:t>être proférées contre l</w:t>
      </w:r>
      <w:r>
        <w:rPr>
          <w:lang w:val="fr-CA"/>
        </w:rPr>
        <w:t>’</w:t>
      </w:r>
      <w:r w:rsidRPr="00A011C6">
        <w:rPr>
          <w:lang w:val="fr-CA"/>
        </w:rPr>
        <w:t xml:space="preserve">accusé </w:t>
      </w:r>
      <w:r>
        <w:rPr>
          <w:lang w:val="fr-CA"/>
        </w:rPr>
        <w:t>(</w:t>
      </w:r>
      <w:r w:rsidRPr="00A011C6">
        <w:rPr>
          <w:i/>
          <w:lang w:val="fr-CA"/>
        </w:rPr>
        <w:t>Ruzic</w:t>
      </w:r>
      <w:r>
        <w:rPr>
          <w:lang w:val="fr-CA"/>
        </w:rPr>
        <w:t>, par. </w:t>
      </w:r>
      <w:r w:rsidRPr="00A011C6">
        <w:rPr>
          <w:lang w:val="fr-CA"/>
        </w:rPr>
        <w:t>54</w:t>
      </w:r>
      <w:r>
        <w:rPr>
          <w:lang w:val="fr-CA"/>
        </w:rPr>
        <w:t>)</w:t>
      </w:r>
      <w:r w:rsidRPr="00A011C6">
        <w:rPr>
          <w:lang w:val="fr-CA"/>
        </w:rPr>
        <w:t xml:space="preserve">.  </w:t>
      </w:r>
      <w:r>
        <w:rPr>
          <w:lang w:val="fr-CA"/>
        </w:rPr>
        <w:t>Elles peuvent</w:t>
      </w:r>
      <w:r w:rsidRPr="00A011C6">
        <w:rPr>
          <w:lang w:val="fr-CA"/>
        </w:rPr>
        <w:t xml:space="preserve"> être explicites ou implicites</w:t>
      </w:r>
      <w:r w:rsidR="005A3981">
        <w:rPr>
          <w:lang w:val="fr-CA"/>
        </w:rPr>
        <w:t> (</w:t>
      </w:r>
      <w:r w:rsidRPr="00A011C6">
        <w:rPr>
          <w:i/>
          <w:szCs w:val="24"/>
          <w:lang w:val="fr-CA"/>
        </w:rPr>
        <w:t>R. c. Mena</w:t>
      </w:r>
      <w:r w:rsidRPr="00A011C6">
        <w:rPr>
          <w:szCs w:val="24"/>
          <w:lang w:val="fr-CA"/>
        </w:rPr>
        <w:t xml:space="preserve"> (1987), 34 C.C.C. (3d) 304</w:t>
      </w:r>
      <w:r w:rsidR="001D671A">
        <w:rPr>
          <w:szCs w:val="24"/>
          <w:lang w:val="fr-CA"/>
        </w:rPr>
        <w:t xml:space="preserve"> </w:t>
      </w:r>
      <w:r w:rsidR="001D671A" w:rsidRPr="00A011C6">
        <w:rPr>
          <w:szCs w:val="24"/>
          <w:lang w:val="fr-CA"/>
        </w:rPr>
        <w:t>(C.A. Ont.)</w:t>
      </w:r>
      <w:r>
        <w:rPr>
          <w:szCs w:val="24"/>
          <w:lang w:val="fr-CA"/>
        </w:rPr>
        <w:t>, p. </w:t>
      </w:r>
      <w:r w:rsidRPr="00A011C6">
        <w:rPr>
          <w:szCs w:val="24"/>
          <w:lang w:val="fr-CA"/>
        </w:rPr>
        <w:t xml:space="preserve">320; voir également </w:t>
      </w:r>
      <w:r w:rsidRPr="00A011C6">
        <w:rPr>
          <w:i/>
          <w:lang w:val="fr-CA"/>
        </w:rPr>
        <w:t>R. c. McRae</w:t>
      </w:r>
      <w:r w:rsidR="005A3981">
        <w:rPr>
          <w:lang w:val="fr-CA"/>
        </w:rPr>
        <w:t xml:space="preserve"> (</w:t>
      </w:r>
      <w:r w:rsidRPr="00A011C6">
        <w:rPr>
          <w:lang w:val="fr-CA"/>
        </w:rPr>
        <w:t>2005</w:t>
      </w:r>
      <w:r w:rsidR="005A3981">
        <w:rPr>
          <w:lang w:val="fr-CA"/>
        </w:rPr>
        <w:t>)</w:t>
      </w:r>
      <w:r w:rsidR="0054260E">
        <w:rPr>
          <w:lang w:val="fr-CA"/>
        </w:rPr>
        <w:t>, 77</w:t>
      </w:r>
      <w:r w:rsidRPr="00A011C6">
        <w:rPr>
          <w:lang w:val="fr-CA"/>
        </w:rPr>
        <w:t xml:space="preserve"> O.</w:t>
      </w:r>
      <w:r w:rsidR="0054260E">
        <w:rPr>
          <w:lang w:val="fr-CA"/>
        </w:rPr>
        <w:t>R. (3d) 1</w:t>
      </w:r>
      <w:r w:rsidRPr="00A011C6">
        <w:rPr>
          <w:lang w:val="fr-CA"/>
        </w:rPr>
        <w:t xml:space="preserve"> (C.A.)</w:t>
      </w:r>
      <w:r w:rsidR="005A3981">
        <w:rPr>
          <w:lang w:val="fr-CA"/>
        </w:rPr>
        <w:t>)</w:t>
      </w:r>
      <w:r w:rsidRPr="00A011C6">
        <w:rPr>
          <w:szCs w:val="24"/>
          <w:lang w:val="fr-CA"/>
        </w:rPr>
        <w:t>.</w:t>
      </w:r>
    </w:p>
    <w:p w:rsidR="00AF49CF" w:rsidRPr="00A011C6" w:rsidRDefault="00AF49CF" w:rsidP="00AF49CF">
      <w:pPr>
        <w:pStyle w:val="ParaNoNdepar-AltN"/>
        <w:rPr>
          <w:lang w:val="fr-CA"/>
        </w:rPr>
      </w:pPr>
      <w:r w:rsidRPr="00A011C6">
        <w:rPr>
          <w:lang w:val="fr-CA"/>
        </w:rPr>
        <w:t>L</w:t>
      </w:r>
      <w:r>
        <w:rPr>
          <w:lang w:val="fr-CA"/>
        </w:rPr>
        <w:t>’</w:t>
      </w:r>
      <w:r w:rsidRPr="00A011C6">
        <w:rPr>
          <w:lang w:val="fr-CA"/>
        </w:rPr>
        <w:t>exigence stricte d</w:t>
      </w:r>
      <w:r>
        <w:rPr>
          <w:lang w:val="fr-CA"/>
        </w:rPr>
        <w:t>’</w:t>
      </w:r>
      <w:r w:rsidRPr="00A011C6">
        <w:rPr>
          <w:lang w:val="fr-CA"/>
        </w:rPr>
        <w:t>immédiateté ou d</w:t>
      </w:r>
      <w:r>
        <w:rPr>
          <w:lang w:val="fr-CA"/>
        </w:rPr>
        <w:t>’</w:t>
      </w:r>
      <w:r w:rsidRPr="00A011C6">
        <w:rPr>
          <w:lang w:val="fr-CA"/>
        </w:rPr>
        <w:t>imminence que l</w:t>
      </w:r>
      <w:r>
        <w:rPr>
          <w:lang w:val="fr-CA"/>
        </w:rPr>
        <w:t>’</w:t>
      </w:r>
      <w:r w:rsidRPr="00A011C6">
        <w:rPr>
          <w:lang w:val="fr-CA"/>
        </w:rPr>
        <w:t>on retrouve dans le moyen de défense fondé sur la nécessité n</w:t>
      </w:r>
      <w:r>
        <w:rPr>
          <w:lang w:val="fr-CA"/>
        </w:rPr>
        <w:t>’</w:t>
      </w:r>
      <w:r w:rsidRPr="00A011C6">
        <w:rPr>
          <w:lang w:val="fr-CA"/>
        </w:rPr>
        <w:t xml:space="preserve">a pas été introduite dans le moyen de </w:t>
      </w:r>
      <w:r>
        <w:rPr>
          <w:lang w:val="fr-CA"/>
        </w:rPr>
        <w:t xml:space="preserve">défense de common law </w:t>
      </w:r>
      <w:r w:rsidRPr="00A011C6">
        <w:rPr>
          <w:lang w:val="fr-CA"/>
        </w:rPr>
        <w:t xml:space="preserve">fondé sur la contrainte.  </w:t>
      </w:r>
      <w:r>
        <w:rPr>
          <w:lang w:val="fr-CA"/>
        </w:rPr>
        <w:t>De fait, c</w:t>
      </w:r>
      <w:r w:rsidRPr="00A011C6">
        <w:rPr>
          <w:lang w:val="fr-CA"/>
        </w:rPr>
        <w:t>ette exigence d</w:t>
      </w:r>
      <w:r>
        <w:rPr>
          <w:lang w:val="fr-CA"/>
        </w:rPr>
        <w:t>’</w:t>
      </w:r>
      <w:r w:rsidRPr="00A011C6">
        <w:rPr>
          <w:lang w:val="fr-CA"/>
        </w:rPr>
        <w:t>immédiateté est plutôt « </w:t>
      </w:r>
      <w:r>
        <w:rPr>
          <w:lang w:val="fr-CA"/>
        </w:rPr>
        <w:t>interprété</w:t>
      </w:r>
      <w:r w:rsidR="00E21DD7">
        <w:rPr>
          <w:lang w:val="fr-CA"/>
        </w:rPr>
        <w:t>[</w:t>
      </w:r>
      <w:r>
        <w:rPr>
          <w:lang w:val="fr-CA"/>
        </w:rPr>
        <w:t>e</w:t>
      </w:r>
      <w:r w:rsidR="00E21DD7">
        <w:rPr>
          <w:lang w:val="fr-CA"/>
        </w:rPr>
        <w:t>]</w:t>
      </w:r>
      <w:r w:rsidRPr="00A011C6">
        <w:rPr>
          <w:lang w:val="fr-CA"/>
        </w:rPr>
        <w:t xml:space="preserve"> comme exigeant la présence d</w:t>
      </w:r>
      <w:r>
        <w:rPr>
          <w:lang w:val="fr-CA"/>
        </w:rPr>
        <w:t>’</w:t>
      </w:r>
      <w:r w:rsidRPr="00A011C6">
        <w:rPr>
          <w:lang w:val="fr-CA"/>
        </w:rPr>
        <w:t>un lien temporel si étroit entre les menaces et leur mise à exécution que l</w:t>
      </w:r>
      <w:r>
        <w:rPr>
          <w:lang w:val="fr-CA"/>
        </w:rPr>
        <w:t>’</w:t>
      </w:r>
      <w:r w:rsidRPr="00A011C6">
        <w:rPr>
          <w:lang w:val="fr-CA"/>
        </w:rPr>
        <w:t>accusé devient incapable d</w:t>
      </w:r>
      <w:r>
        <w:rPr>
          <w:lang w:val="fr-CA"/>
        </w:rPr>
        <w:t>’</w:t>
      </w:r>
      <w:r w:rsidRPr="00A011C6">
        <w:rPr>
          <w:lang w:val="fr-CA"/>
        </w:rPr>
        <w:t>agir librement »</w:t>
      </w:r>
      <w:r w:rsidR="00E21DD7">
        <w:rPr>
          <w:lang w:val="fr-CA"/>
        </w:rPr>
        <w:t> (</w:t>
      </w:r>
      <w:r w:rsidRPr="00A011C6">
        <w:rPr>
          <w:i/>
          <w:lang w:val="fr-CA"/>
        </w:rPr>
        <w:t>Ruzic</w:t>
      </w:r>
      <w:r>
        <w:rPr>
          <w:lang w:val="fr-CA"/>
        </w:rPr>
        <w:t>, par. </w:t>
      </w:r>
      <w:r w:rsidRPr="00A011C6">
        <w:rPr>
          <w:lang w:val="fr-CA"/>
        </w:rPr>
        <w:t>65</w:t>
      </w:r>
      <w:r>
        <w:rPr>
          <w:lang w:val="fr-CA"/>
        </w:rPr>
        <w:noBreakHyphen/>
      </w:r>
      <w:r w:rsidRPr="00A011C6">
        <w:rPr>
          <w:lang w:val="fr-CA"/>
        </w:rPr>
        <w:t>66</w:t>
      </w:r>
      <w:r w:rsidR="00E21DD7">
        <w:rPr>
          <w:lang w:val="fr-CA"/>
        </w:rPr>
        <w:t>)</w:t>
      </w:r>
      <w:r w:rsidRPr="00A011C6">
        <w:rPr>
          <w:lang w:val="fr-CA"/>
        </w:rPr>
        <w:t xml:space="preserve">.  Ce point de vue </w:t>
      </w:r>
      <w:r>
        <w:rPr>
          <w:lang w:val="fr-CA"/>
        </w:rPr>
        <w:t>se retrouve aussi</w:t>
      </w:r>
      <w:r w:rsidRPr="00A011C6">
        <w:rPr>
          <w:lang w:val="fr-CA"/>
        </w:rPr>
        <w:t xml:space="preserve"> dans </w:t>
      </w:r>
      <w:r>
        <w:rPr>
          <w:lang w:val="fr-CA"/>
        </w:rPr>
        <w:t>l</w:t>
      </w:r>
      <w:r w:rsidRPr="004A69D9">
        <w:rPr>
          <w:rFonts w:cs="Times New Roman"/>
          <w:lang w:val="fr-CA"/>
        </w:rPr>
        <w:t>’</w:t>
      </w:r>
      <w:r>
        <w:rPr>
          <w:lang w:val="fr-CA"/>
        </w:rPr>
        <w:t xml:space="preserve">arrêt </w:t>
      </w:r>
      <w:r w:rsidRPr="00A011C6">
        <w:rPr>
          <w:i/>
          <w:lang w:val="fr-CA"/>
        </w:rPr>
        <w:t>Langlois</w:t>
      </w:r>
      <w:r w:rsidRPr="00A011C6">
        <w:rPr>
          <w:lang w:val="fr-CA"/>
        </w:rPr>
        <w:t xml:space="preserve">, </w:t>
      </w:r>
      <w:r>
        <w:rPr>
          <w:lang w:val="fr-CA"/>
        </w:rPr>
        <w:t xml:space="preserve">où le juge </w:t>
      </w:r>
      <w:r w:rsidRPr="00A011C6">
        <w:rPr>
          <w:lang w:val="fr-CA"/>
        </w:rPr>
        <w:t>Fish (maintenant juge à la Cour suprême) a conclu que la question en litige n</w:t>
      </w:r>
      <w:r w:rsidRPr="004A69D9">
        <w:rPr>
          <w:rFonts w:cs="Times New Roman"/>
          <w:lang w:val="fr-CA"/>
        </w:rPr>
        <w:t>’</w:t>
      </w:r>
      <w:r>
        <w:rPr>
          <w:lang w:val="fr-CA"/>
        </w:rPr>
        <w:t>était ni</w:t>
      </w:r>
      <w:r w:rsidRPr="00A011C6">
        <w:rPr>
          <w:lang w:val="fr-CA"/>
        </w:rPr>
        <w:t xml:space="preserve"> l</w:t>
      </w:r>
      <w:r>
        <w:rPr>
          <w:lang w:val="fr-CA"/>
        </w:rPr>
        <w:t>’immédiateté ni</w:t>
      </w:r>
      <w:r w:rsidRPr="00A011C6">
        <w:rPr>
          <w:lang w:val="fr-CA"/>
        </w:rPr>
        <w:t xml:space="preserve"> l</w:t>
      </w:r>
      <w:r>
        <w:rPr>
          <w:lang w:val="fr-CA"/>
        </w:rPr>
        <w:t>’</w:t>
      </w:r>
      <w:r w:rsidRPr="00A011C6">
        <w:rPr>
          <w:lang w:val="fr-CA"/>
        </w:rPr>
        <w:t xml:space="preserve">imminence des menaces, </w:t>
      </w:r>
      <w:r>
        <w:rPr>
          <w:lang w:val="fr-CA"/>
        </w:rPr>
        <w:t>mais plutôt celle de</w:t>
      </w:r>
      <w:r w:rsidRPr="00A011C6">
        <w:rPr>
          <w:lang w:val="fr-CA"/>
        </w:rPr>
        <w:t xml:space="preserve"> savoir si </w:t>
      </w:r>
      <w:r w:rsidR="00E21DD7">
        <w:rPr>
          <w:lang w:val="fr-CA"/>
        </w:rPr>
        <w:t>[</w:t>
      </w:r>
      <w:r w:rsidR="00E21DD7" w:rsidRPr="00E21DD7">
        <w:rPr>
          <w:smallCaps/>
          <w:lang w:val="fr-CA"/>
        </w:rPr>
        <w:t>traduction</w:t>
      </w:r>
      <w:r w:rsidR="00E21DD7">
        <w:rPr>
          <w:lang w:val="fr-CA"/>
        </w:rPr>
        <w:t xml:space="preserve">] </w:t>
      </w:r>
      <w:r w:rsidRPr="00A011C6">
        <w:rPr>
          <w:lang w:val="fr-CA"/>
        </w:rPr>
        <w:t>« l</w:t>
      </w:r>
      <w:r>
        <w:rPr>
          <w:lang w:val="fr-CA"/>
        </w:rPr>
        <w:t>’</w:t>
      </w:r>
      <w:r w:rsidRPr="00A011C6">
        <w:rPr>
          <w:lang w:val="fr-CA"/>
        </w:rPr>
        <w:t>accusé a omis de saisir une occasion de s</w:t>
      </w:r>
      <w:r>
        <w:rPr>
          <w:lang w:val="fr-CA"/>
        </w:rPr>
        <w:t>’</w:t>
      </w:r>
      <w:r w:rsidRPr="00A011C6">
        <w:rPr>
          <w:lang w:val="fr-CA"/>
        </w:rPr>
        <w:t>en sortir ou d</w:t>
      </w:r>
      <w:r>
        <w:rPr>
          <w:lang w:val="fr-CA"/>
        </w:rPr>
        <w:t>’</w:t>
      </w:r>
      <w:r w:rsidRPr="00A011C6">
        <w:rPr>
          <w:lang w:val="fr-CA"/>
        </w:rPr>
        <w:t>échapper aux menaces »</w:t>
      </w:r>
      <w:r>
        <w:rPr>
          <w:lang w:val="fr-CA"/>
        </w:rPr>
        <w:t> </w:t>
      </w:r>
      <w:r w:rsidR="00E21DD7">
        <w:rPr>
          <w:lang w:val="fr-CA"/>
        </w:rPr>
        <w:t>(</w:t>
      </w:r>
      <w:r w:rsidRPr="00A011C6">
        <w:rPr>
          <w:i/>
          <w:szCs w:val="24"/>
          <w:lang w:val="fr-CA"/>
        </w:rPr>
        <w:t>R. c. Langlois</w:t>
      </w:r>
      <w:r w:rsidRPr="00A011C6">
        <w:rPr>
          <w:szCs w:val="24"/>
          <w:lang w:val="fr-CA"/>
        </w:rPr>
        <w:t xml:space="preserve"> (1993), 80 C.C.C. (3d) 28</w:t>
      </w:r>
      <w:r>
        <w:rPr>
          <w:szCs w:val="24"/>
          <w:lang w:val="fr-CA"/>
        </w:rPr>
        <w:t xml:space="preserve"> (C.A. Qué.)</w:t>
      </w:r>
      <w:r w:rsidRPr="00A011C6">
        <w:rPr>
          <w:szCs w:val="24"/>
          <w:lang w:val="fr-CA"/>
        </w:rPr>
        <w:t xml:space="preserve">, </w:t>
      </w:r>
      <w:r>
        <w:rPr>
          <w:szCs w:val="24"/>
          <w:lang w:val="fr-CA"/>
        </w:rPr>
        <w:t>p. 50</w:t>
      </w:r>
      <w:r w:rsidR="00E21DD7">
        <w:rPr>
          <w:szCs w:val="24"/>
          <w:lang w:val="fr-CA"/>
        </w:rPr>
        <w:t>)</w:t>
      </w:r>
      <w:r w:rsidRPr="00A011C6">
        <w:rPr>
          <w:lang w:val="fr-CA"/>
        </w:rPr>
        <w:t>.  L</w:t>
      </w:r>
      <w:r>
        <w:rPr>
          <w:lang w:val="fr-CA"/>
        </w:rPr>
        <w:t>’</w:t>
      </w:r>
      <w:r w:rsidRPr="00A011C6">
        <w:rPr>
          <w:lang w:val="fr-CA"/>
        </w:rPr>
        <w:t>absence d</w:t>
      </w:r>
      <w:r>
        <w:rPr>
          <w:lang w:val="fr-CA"/>
        </w:rPr>
        <w:t>’</w:t>
      </w:r>
      <w:r w:rsidRPr="00A011C6">
        <w:rPr>
          <w:lang w:val="fr-CA"/>
        </w:rPr>
        <w:t>exigence stricte d</w:t>
      </w:r>
      <w:r>
        <w:rPr>
          <w:lang w:val="fr-CA"/>
        </w:rPr>
        <w:t>’</w:t>
      </w:r>
      <w:r w:rsidRPr="00A011C6">
        <w:rPr>
          <w:lang w:val="fr-CA"/>
        </w:rPr>
        <w:t>immédiateté non seulement renforce l</w:t>
      </w:r>
      <w:r>
        <w:rPr>
          <w:lang w:val="fr-CA"/>
        </w:rPr>
        <w:t>’</w:t>
      </w:r>
      <w:r w:rsidRPr="00A011C6">
        <w:rPr>
          <w:lang w:val="fr-CA"/>
        </w:rPr>
        <w:t>affirmation</w:t>
      </w:r>
      <w:r>
        <w:rPr>
          <w:lang w:val="fr-CA"/>
        </w:rPr>
        <w:t xml:space="preserve"> voulant que des menaces puissent</w:t>
      </w:r>
      <w:r w:rsidRPr="00A011C6">
        <w:rPr>
          <w:lang w:val="fr-CA"/>
        </w:rPr>
        <w:t xml:space="preserve"> être faites à des tiers, mais </w:t>
      </w:r>
      <w:r>
        <w:rPr>
          <w:lang w:val="fr-CA"/>
        </w:rPr>
        <w:t>aussi</w:t>
      </w:r>
      <w:r w:rsidRPr="00A011C6">
        <w:rPr>
          <w:lang w:val="fr-CA"/>
        </w:rPr>
        <w:t xml:space="preserve"> la conclusion tirée dans </w:t>
      </w:r>
      <w:r w:rsidRPr="00A011C6">
        <w:rPr>
          <w:i/>
          <w:lang w:val="fr-CA"/>
        </w:rPr>
        <w:t>Ruzic</w:t>
      </w:r>
      <w:r>
        <w:rPr>
          <w:lang w:val="fr-CA"/>
        </w:rPr>
        <w:t>, par. </w:t>
      </w:r>
      <w:r w:rsidRPr="00A011C6">
        <w:rPr>
          <w:lang w:val="fr-CA"/>
        </w:rPr>
        <w:t xml:space="preserve">86, que les menaces proférées peuvent avoir trait à un préjudice futur. </w:t>
      </w:r>
    </w:p>
    <w:p w:rsidR="00AF49CF" w:rsidRPr="00A011C6" w:rsidRDefault="00AF49CF" w:rsidP="00AF49CF">
      <w:pPr>
        <w:pStyle w:val="ParaNoNdepar-AltN"/>
        <w:rPr>
          <w:lang w:val="fr-CA"/>
        </w:rPr>
      </w:pPr>
      <w:r w:rsidRPr="00A011C6">
        <w:rPr>
          <w:lang w:val="fr-CA"/>
        </w:rPr>
        <w:t>Le préjudice que l</w:t>
      </w:r>
      <w:r>
        <w:rPr>
          <w:lang w:val="fr-CA"/>
        </w:rPr>
        <w:t>’</w:t>
      </w:r>
      <w:r w:rsidRPr="00A011C6">
        <w:rPr>
          <w:lang w:val="fr-CA"/>
        </w:rPr>
        <w:t>on menace de causer doit être la mort ou des lésions corporelles.  Traditionnellement,</w:t>
      </w:r>
      <w:r>
        <w:rPr>
          <w:lang w:val="fr-CA"/>
        </w:rPr>
        <w:t xml:space="preserve"> les tribunaux ont affirmé que les lésions corporelles devaient</w:t>
      </w:r>
      <w:r w:rsidRPr="00A011C6">
        <w:rPr>
          <w:lang w:val="fr-CA"/>
        </w:rPr>
        <w:t xml:space="preserve"> être « graves » (voir</w:t>
      </w:r>
      <w:r w:rsidR="00E21DD7">
        <w:rPr>
          <w:lang w:val="fr-CA"/>
        </w:rPr>
        <w:t>,</w:t>
      </w:r>
      <w:r w:rsidRPr="00A011C6">
        <w:rPr>
          <w:lang w:val="fr-CA"/>
        </w:rPr>
        <w:t xml:space="preserve"> p</w:t>
      </w:r>
      <w:r w:rsidR="00E21DD7">
        <w:rPr>
          <w:lang w:val="fr-CA"/>
        </w:rPr>
        <w:t xml:space="preserve">. ex., </w:t>
      </w:r>
      <w:r w:rsidRPr="00A011C6">
        <w:rPr>
          <w:i/>
          <w:lang w:val="fr-CA"/>
        </w:rPr>
        <w:t>Hibbert</w:t>
      </w:r>
      <w:r w:rsidRPr="00A011C6">
        <w:rPr>
          <w:szCs w:val="24"/>
          <w:lang w:val="fr-CA"/>
        </w:rPr>
        <w:t xml:space="preserve">, </w:t>
      </w:r>
      <w:r>
        <w:rPr>
          <w:szCs w:val="24"/>
          <w:lang w:val="fr-CA"/>
        </w:rPr>
        <w:t>par. </w:t>
      </w:r>
      <w:r w:rsidRPr="00A011C6">
        <w:rPr>
          <w:szCs w:val="24"/>
          <w:lang w:val="fr-CA"/>
        </w:rPr>
        <w:t>21 et 23).  Toutefois, ce critère plus exigeant n</w:t>
      </w:r>
      <w:r>
        <w:rPr>
          <w:szCs w:val="24"/>
          <w:lang w:val="fr-CA"/>
        </w:rPr>
        <w:t>’</w:t>
      </w:r>
      <w:r w:rsidRPr="00A011C6">
        <w:rPr>
          <w:szCs w:val="24"/>
          <w:lang w:val="fr-CA"/>
        </w:rPr>
        <w:t>est pas nécessaire</w:t>
      </w:r>
      <w:r>
        <w:rPr>
          <w:szCs w:val="24"/>
          <w:lang w:val="fr-CA"/>
        </w:rPr>
        <w:t xml:space="preserve">.  En effet, </w:t>
      </w:r>
      <w:r w:rsidRPr="00A011C6">
        <w:rPr>
          <w:szCs w:val="24"/>
          <w:lang w:val="fr-CA"/>
        </w:rPr>
        <w:t>l</w:t>
      </w:r>
      <w:r>
        <w:rPr>
          <w:szCs w:val="24"/>
          <w:lang w:val="fr-CA"/>
        </w:rPr>
        <w:t>’</w:t>
      </w:r>
      <w:r w:rsidRPr="00A011C6">
        <w:rPr>
          <w:szCs w:val="24"/>
          <w:lang w:val="fr-CA"/>
        </w:rPr>
        <w:t>existence de l</w:t>
      </w:r>
      <w:r>
        <w:rPr>
          <w:szCs w:val="24"/>
          <w:lang w:val="fr-CA"/>
        </w:rPr>
        <w:t>’</w:t>
      </w:r>
      <w:r w:rsidRPr="00A011C6">
        <w:rPr>
          <w:szCs w:val="24"/>
          <w:lang w:val="fr-CA"/>
        </w:rPr>
        <w:t xml:space="preserve">exigence de proportionnalité — inhérente au principe du caractère involontaire au sens moral — </w:t>
      </w:r>
      <w:r>
        <w:rPr>
          <w:szCs w:val="24"/>
          <w:lang w:val="fr-CA"/>
        </w:rPr>
        <w:t>constitue un obstacle</w:t>
      </w:r>
      <w:r w:rsidRPr="00A011C6">
        <w:rPr>
          <w:szCs w:val="24"/>
          <w:lang w:val="fr-CA"/>
        </w:rPr>
        <w:t xml:space="preserve"> </w:t>
      </w:r>
      <w:r>
        <w:rPr>
          <w:szCs w:val="24"/>
          <w:lang w:val="fr-CA"/>
        </w:rPr>
        <w:t>ultime pour les personnes</w:t>
      </w:r>
      <w:r w:rsidRPr="00A011C6">
        <w:rPr>
          <w:szCs w:val="24"/>
          <w:lang w:val="fr-CA"/>
        </w:rPr>
        <w:t xml:space="preserve"> qui </w:t>
      </w:r>
      <w:r>
        <w:rPr>
          <w:szCs w:val="24"/>
          <w:lang w:val="fr-CA"/>
        </w:rPr>
        <w:t>tentent d’invoquer c</w:t>
      </w:r>
      <w:r w:rsidRPr="00A011C6">
        <w:rPr>
          <w:szCs w:val="24"/>
          <w:lang w:val="fr-CA"/>
        </w:rPr>
        <w:t xml:space="preserve">e moyen de défense. </w:t>
      </w:r>
    </w:p>
    <w:p w:rsidR="00AF49CF" w:rsidRPr="00A011C6" w:rsidRDefault="00AF49CF" w:rsidP="00AF49CF">
      <w:pPr>
        <w:pStyle w:val="ParaNoNdepar-AltN"/>
        <w:rPr>
          <w:lang w:val="fr-CA"/>
        </w:rPr>
      </w:pPr>
      <w:r w:rsidRPr="00A011C6">
        <w:rPr>
          <w:lang w:val="fr-CA"/>
        </w:rPr>
        <w:t xml:space="preserve">À son </w:t>
      </w:r>
      <w:r>
        <w:rPr>
          <w:lang w:val="fr-CA"/>
        </w:rPr>
        <w:t>art. </w:t>
      </w:r>
      <w:r w:rsidRPr="00A011C6">
        <w:rPr>
          <w:lang w:val="fr-CA"/>
        </w:rPr>
        <w:t xml:space="preserve">2, le </w:t>
      </w:r>
      <w:r w:rsidRPr="00A011C6">
        <w:rPr>
          <w:i/>
          <w:lang w:val="fr-CA"/>
        </w:rPr>
        <w:t>Code criminel</w:t>
      </w:r>
      <w:r>
        <w:rPr>
          <w:i/>
          <w:lang w:val="fr-CA"/>
        </w:rPr>
        <w:t xml:space="preserve"> </w:t>
      </w:r>
      <w:r w:rsidRPr="00A011C6">
        <w:rPr>
          <w:bCs/>
          <w:lang w:val="fr-CA"/>
        </w:rPr>
        <w:t xml:space="preserve">définit </w:t>
      </w:r>
      <w:r>
        <w:rPr>
          <w:bCs/>
          <w:lang w:val="fr-CA"/>
        </w:rPr>
        <w:t xml:space="preserve">comme suit </w:t>
      </w:r>
      <w:r w:rsidRPr="00A011C6">
        <w:rPr>
          <w:bCs/>
          <w:lang w:val="fr-CA"/>
        </w:rPr>
        <w:t>le terme « lésions corporelles »</w:t>
      </w:r>
      <w:r w:rsidR="00260639">
        <w:rPr>
          <w:bCs/>
          <w:lang w:val="fr-CA"/>
        </w:rPr>
        <w:t xml:space="preserve"> </w:t>
      </w:r>
      <w:r>
        <w:rPr>
          <w:bCs/>
          <w:lang w:val="fr-CA"/>
        </w:rPr>
        <w:t xml:space="preserve">: </w:t>
      </w:r>
      <w:r w:rsidRPr="00A011C6">
        <w:rPr>
          <w:bCs/>
          <w:lang w:val="fr-CA"/>
        </w:rPr>
        <w:t>« </w:t>
      </w:r>
      <w:r w:rsidR="001909ED">
        <w:rPr>
          <w:bCs/>
          <w:lang w:val="fr-CA"/>
        </w:rPr>
        <w:t>B</w:t>
      </w:r>
      <w:r w:rsidRPr="00A011C6">
        <w:rPr>
          <w:bCs/>
          <w:lang w:val="fr-CA"/>
        </w:rPr>
        <w:t>lessure qui nuit à la santé et au bien</w:t>
      </w:r>
      <w:r>
        <w:rPr>
          <w:bCs/>
          <w:lang w:val="fr-CA"/>
        </w:rPr>
        <w:noBreakHyphen/>
      </w:r>
      <w:r w:rsidRPr="00A011C6">
        <w:rPr>
          <w:bCs/>
          <w:lang w:val="fr-CA"/>
        </w:rPr>
        <w:t>être d</w:t>
      </w:r>
      <w:r>
        <w:rPr>
          <w:bCs/>
          <w:lang w:val="fr-CA"/>
        </w:rPr>
        <w:t>’</w:t>
      </w:r>
      <w:r w:rsidRPr="00A011C6">
        <w:rPr>
          <w:bCs/>
          <w:lang w:val="fr-CA"/>
        </w:rPr>
        <w:t>une personne et qui n</w:t>
      </w:r>
      <w:r>
        <w:rPr>
          <w:bCs/>
          <w:lang w:val="fr-CA"/>
        </w:rPr>
        <w:t>’</w:t>
      </w:r>
      <w:r w:rsidRPr="00A011C6">
        <w:rPr>
          <w:bCs/>
          <w:lang w:val="fr-CA"/>
        </w:rPr>
        <w:t>est pas de nature passagère ou sans importance</w:t>
      </w:r>
      <w:r>
        <w:rPr>
          <w:bCs/>
          <w:lang w:val="fr-CA"/>
        </w:rPr>
        <w:t>.</w:t>
      </w:r>
      <w:r w:rsidRPr="00A011C6">
        <w:rPr>
          <w:bCs/>
          <w:lang w:val="fr-CA"/>
        </w:rPr>
        <w:t> »</w:t>
      </w:r>
      <w:r w:rsidRPr="00A011C6">
        <w:rPr>
          <w:lang w:val="fr-CA"/>
        </w:rPr>
        <w:t xml:space="preserve">  Le retrait de l</w:t>
      </w:r>
      <w:r>
        <w:rPr>
          <w:lang w:val="fr-CA"/>
        </w:rPr>
        <w:t>’</w:t>
      </w:r>
      <w:r w:rsidRPr="00A011C6">
        <w:rPr>
          <w:lang w:val="fr-CA"/>
        </w:rPr>
        <w:t xml:space="preserve">élément </w:t>
      </w:r>
      <w:r>
        <w:rPr>
          <w:lang w:val="fr-CA"/>
        </w:rPr>
        <w:t xml:space="preserve">de </w:t>
      </w:r>
      <w:r w:rsidRPr="00A011C6">
        <w:rPr>
          <w:lang w:val="fr-CA"/>
        </w:rPr>
        <w:t>« grav</w:t>
      </w:r>
      <w:r>
        <w:rPr>
          <w:lang w:val="fr-CA"/>
        </w:rPr>
        <w:t>ité</w:t>
      </w:r>
      <w:r w:rsidRPr="00A011C6">
        <w:rPr>
          <w:lang w:val="fr-CA"/>
        </w:rPr>
        <w:t> » de l</w:t>
      </w:r>
      <w:r>
        <w:rPr>
          <w:lang w:val="fr-CA"/>
        </w:rPr>
        <w:t>’exigence relative aux</w:t>
      </w:r>
      <w:r w:rsidRPr="00A011C6">
        <w:rPr>
          <w:lang w:val="fr-CA"/>
        </w:rPr>
        <w:t xml:space="preserve"> lésions corporelles et l</w:t>
      </w:r>
      <w:r>
        <w:rPr>
          <w:lang w:val="fr-CA"/>
        </w:rPr>
        <w:t>’</w:t>
      </w:r>
      <w:r w:rsidRPr="00A011C6">
        <w:rPr>
          <w:lang w:val="fr-CA"/>
        </w:rPr>
        <w:t>examen du degré exigé de préjudice à l</w:t>
      </w:r>
      <w:r>
        <w:rPr>
          <w:lang w:val="fr-CA"/>
        </w:rPr>
        <w:t>’</w:t>
      </w:r>
      <w:r w:rsidRPr="00A011C6">
        <w:rPr>
          <w:lang w:val="fr-CA"/>
        </w:rPr>
        <w:t>étape de la proportionnalité n</w:t>
      </w:r>
      <w:r>
        <w:rPr>
          <w:lang w:val="fr-CA"/>
        </w:rPr>
        <w:t>’</w:t>
      </w:r>
      <w:r w:rsidRPr="00A011C6">
        <w:rPr>
          <w:lang w:val="fr-CA"/>
        </w:rPr>
        <w:t>élargiront pas indûment</w:t>
      </w:r>
      <w:r>
        <w:rPr>
          <w:lang w:val="fr-CA"/>
        </w:rPr>
        <w:t xml:space="preserve"> la portée du</w:t>
      </w:r>
      <w:r w:rsidRPr="00A011C6">
        <w:rPr>
          <w:lang w:val="fr-CA"/>
        </w:rPr>
        <w:t xml:space="preserve"> moyen de défense de common law fondé sur la contrainte</w:t>
      </w:r>
      <w:r>
        <w:rPr>
          <w:lang w:val="fr-CA"/>
        </w:rPr>
        <w:t>.  En effet, le double aspect</w:t>
      </w:r>
      <w:r w:rsidRPr="00A011C6">
        <w:rPr>
          <w:lang w:val="fr-CA"/>
        </w:rPr>
        <w:t xml:space="preserve"> de l</w:t>
      </w:r>
      <w:r>
        <w:rPr>
          <w:lang w:val="fr-CA"/>
        </w:rPr>
        <w:t>’</w:t>
      </w:r>
      <w:r w:rsidRPr="00A011C6">
        <w:rPr>
          <w:lang w:val="fr-CA"/>
        </w:rPr>
        <w:t xml:space="preserve">exigence de proportionnalité, une </w:t>
      </w:r>
      <w:r>
        <w:rPr>
          <w:lang w:val="fr-CA"/>
        </w:rPr>
        <w:t>caractéristique</w:t>
      </w:r>
      <w:r w:rsidRPr="00A011C6">
        <w:rPr>
          <w:lang w:val="fr-CA"/>
        </w:rPr>
        <w:t xml:space="preserve"> que nous analyserons davantage un peu plus loin, </w:t>
      </w:r>
      <w:r>
        <w:rPr>
          <w:lang w:val="fr-CA"/>
        </w:rPr>
        <w:t>évitera un tel résultat</w:t>
      </w:r>
      <w:r w:rsidRPr="00A011C6">
        <w:rPr>
          <w:lang w:val="fr-CA"/>
        </w:rPr>
        <w:t>.  Premièrement, le préjudice causé doit être év</w:t>
      </w:r>
      <w:r>
        <w:rPr>
          <w:lang w:val="fr-CA"/>
        </w:rPr>
        <w:t>alué en fonction du préjudice dont on est menacé</w:t>
      </w:r>
      <w:r w:rsidRPr="00A011C6">
        <w:rPr>
          <w:lang w:val="fr-CA"/>
        </w:rPr>
        <w:t>.  Deuxièmement,</w:t>
      </w:r>
      <w:r>
        <w:rPr>
          <w:lang w:val="fr-CA"/>
        </w:rPr>
        <w:t xml:space="preserve"> la conduite de</w:t>
      </w:r>
      <w:r w:rsidRPr="00A011C6">
        <w:rPr>
          <w:lang w:val="fr-CA"/>
        </w:rPr>
        <w:t xml:space="preserve"> l</w:t>
      </w:r>
      <w:r>
        <w:rPr>
          <w:lang w:val="fr-CA"/>
        </w:rPr>
        <w:t>’</w:t>
      </w:r>
      <w:r w:rsidRPr="00A011C6">
        <w:rPr>
          <w:lang w:val="fr-CA"/>
        </w:rPr>
        <w:t>accusé doit sati</w:t>
      </w:r>
      <w:r>
        <w:rPr>
          <w:lang w:val="fr-CA"/>
        </w:rPr>
        <w:t>sfaire aux normes de la société relatives à</w:t>
      </w:r>
      <w:r w:rsidRPr="00A011C6">
        <w:rPr>
          <w:lang w:val="fr-CA"/>
        </w:rPr>
        <w:t xml:space="preserve"> la personne raisonnable qui se trouve dans une situation similaire, </w:t>
      </w:r>
      <w:r>
        <w:rPr>
          <w:lang w:val="fr-CA"/>
        </w:rPr>
        <w:t>qui incluent</w:t>
      </w:r>
      <w:r w:rsidRPr="00A011C6">
        <w:rPr>
          <w:lang w:val="fr-CA"/>
        </w:rPr>
        <w:t xml:space="preserve"> la capacité d</w:t>
      </w:r>
      <w:r>
        <w:rPr>
          <w:lang w:val="fr-CA"/>
        </w:rPr>
        <w:t>’</w:t>
      </w:r>
      <w:r w:rsidRPr="00A011C6">
        <w:rPr>
          <w:lang w:val="fr-CA"/>
        </w:rPr>
        <w:t>opposer une certaine résistance</w:t>
      </w:r>
      <w:r>
        <w:rPr>
          <w:lang w:val="fr-CA"/>
        </w:rPr>
        <w:t xml:space="preserve"> à la menace</w:t>
      </w:r>
      <w:r w:rsidRPr="00A011C6">
        <w:rPr>
          <w:lang w:val="fr-CA"/>
        </w:rPr>
        <w:t xml:space="preserve">. </w:t>
      </w:r>
    </w:p>
    <w:p w:rsidR="00AF49CF" w:rsidRPr="00A011C6" w:rsidRDefault="00AF49CF" w:rsidP="00AF49CF">
      <w:pPr>
        <w:pStyle w:val="ParaNoNdepar-AltN"/>
        <w:rPr>
          <w:lang w:val="fr-CA"/>
        </w:rPr>
      </w:pPr>
      <w:r w:rsidRPr="00A011C6">
        <w:rPr>
          <w:lang w:val="fr-CA"/>
        </w:rPr>
        <w:t>En théorie, il pourrait</w:t>
      </w:r>
      <w:r>
        <w:rPr>
          <w:lang w:val="fr-CA"/>
        </w:rPr>
        <w:t xml:space="preserve"> advenir</w:t>
      </w:r>
      <w:r w:rsidRPr="00A011C6">
        <w:rPr>
          <w:lang w:val="fr-CA"/>
        </w:rPr>
        <w:t xml:space="preserve"> </w:t>
      </w:r>
      <w:r>
        <w:rPr>
          <w:lang w:val="fr-CA"/>
        </w:rPr>
        <w:t>qu</w:t>
      </w:r>
      <w:r w:rsidRPr="00CB0A74">
        <w:rPr>
          <w:rFonts w:cs="Times New Roman"/>
          <w:lang w:val="fr-CA"/>
        </w:rPr>
        <w:t>’</w:t>
      </w:r>
      <w:r>
        <w:rPr>
          <w:lang w:val="fr-CA"/>
        </w:rPr>
        <w:t xml:space="preserve">un accusé ait </w:t>
      </w:r>
      <w:r w:rsidRPr="00A011C6">
        <w:rPr>
          <w:lang w:val="fr-CA"/>
        </w:rPr>
        <w:t xml:space="preserve">causé un préjudice moins grave que celui </w:t>
      </w:r>
      <w:r>
        <w:rPr>
          <w:lang w:val="fr-CA"/>
        </w:rPr>
        <w:t>dont il a été menacé, sans pourtant</w:t>
      </w:r>
      <w:r w:rsidRPr="00A011C6">
        <w:rPr>
          <w:lang w:val="fr-CA"/>
        </w:rPr>
        <w:t xml:space="preserve"> pouvoir invoquer le moyen de défense </w:t>
      </w:r>
      <w:r>
        <w:rPr>
          <w:lang w:val="fr-CA"/>
        </w:rPr>
        <w:t xml:space="preserve">fondé sur </w:t>
      </w:r>
      <w:r w:rsidRPr="00A011C6">
        <w:rPr>
          <w:lang w:val="fr-CA"/>
        </w:rPr>
        <w:t xml:space="preserve">la contrainte </w:t>
      </w:r>
      <w:r>
        <w:rPr>
          <w:lang w:val="fr-CA"/>
        </w:rPr>
        <w:t>parce que son comportement et sa</w:t>
      </w:r>
      <w:r w:rsidRPr="00A011C6">
        <w:rPr>
          <w:lang w:val="fr-CA"/>
        </w:rPr>
        <w:t xml:space="preserve"> réaction, dans leur ensemble, sont </w:t>
      </w:r>
      <w:r>
        <w:rPr>
          <w:lang w:val="fr-CA"/>
        </w:rPr>
        <w:t>jugés inacceptables pour une</w:t>
      </w:r>
      <w:r w:rsidRPr="00A011C6">
        <w:rPr>
          <w:lang w:val="fr-CA"/>
        </w:rPr>
        <w:t xml:space="preserve"> personne</w:t>
      </w:r>
      <w:r>
        <w:rPr>
          <w:lang w:val="fr-CA"/>
        </w:rPr>
        <w:t xml:space="preserve"> similaire placée</w:t>
      </w:r>
      <w:r w:rsidRPr="00A011C6">
        <w:rPr>
          <w:lang w:val="fr-CA"/>
        </w:rPr>
        <w:t xml:space="preserve"> dans cette circonstance particulière.</w:t>
      </w:r>
      <w:r>
        <w:rPr>
          <w:lang w:val="fr-CA"/>
        </w:rPr>
        <w:t xml:space="preserve"> </w:t>
      </w:r>
      <w:r w:rsidRPr="00A011C6">
        <w:rPr>
          <w:lang w:val="fr-CA"/>
        </w:rPr>
        <w:t xml:space="preserve"> Par exemple, l</w:t>
      </w:r>
      <w:r>
        <w:rPr>
          <w:lang w:val="fr-CA"/>
        </w:rPr>
        <w:t>e fait d</w:t>
      </w:r>
      <w:r w:rsidRPr="00CB0A74">
        <w:rPr>
          <w:rFonts w:cs="Times New Roman"/>
          <w:lang w:val="fr-CA"/>
        </w:rPr>
        <w:t>’</w:t>
      </w:r>
      <w:r>
        <w:rPr>
          <w:lang w:val="fr-CA"/>
        </w:rPr>
        <w:t>infliger un préjudice plutôt mineur</w:t>
      </w:r>
      <w:r w:rsidRPr="00A011C6">
        <w:rPr>
          <w:lang w:val="fr-CA"/>
        </w:rPr>
        <w:t xml:space="preserve"> en réaction à la menace </w:t>
      </w:r>
      <w:r>
        <w:rPr>
          <w:lang w:val="fr-CA"/>
        </w:rPr>
        <w:t>de se voir infliger un préjudice plutôt mineur</w:t>
      </w:r>
      <w:r w:rsidRPr="00A011C6">
        <w:rPr>
          <w:lang w:val="fr-CA"/>
        </w:rPr>
        <w:t xml:space="preserve"> pourrait satisfaire à l</w:t>
      </w:r>
      <w:r>
        <w:rPr>
          <w:lang w:val="fr-CA"/>
        </w:rPr>
        <w:t>’exigence du</w:t>
      </w:r>
      <w:r w:rsidRPr="00A011C6">
        <w:rPr>
          <w:lang w:val="fr-CA"/>
        </w:rPr>
        <w:t xml:space="preserve"> « préjudice égal ou moindre », ma</w:t>
      </w:r>
      <w:r>
        <w:rPr>
          <w:lang w:val="fr-CA"/>
        </w:rPr>
        <w:t>is ne constituerait certes</w:t>
      </w:r>
      <w:r w:rsidRPr="00A011C6">
        <w:rPr>
          <w:lang w:val="fr-CA"/>
        </w:rPr>
        <w:t xml:space="preserve"> pas une situation </w:t>
      </w:r>
      <w:r>
        <w:rPr>
          <w:lang w:val="fr-CA"/>
        </w:rPr>
        <w:t>où la société serait disposée</w:t>
      </w:r>
      <w:r w:rsidRPr="00A011C6">
        <w:rPr>
          <w:lang w:val="fr-CA"/>
        </w:rPr>
        <w:t xml:space="preserve"> à excuser l</w:t>
      </w:r>
      <w:r>
        <w:rPr>
          <w:lang w:val="fr-CA"/>
        </w:rPr>
        <w:t>’</w:t>
      </w:r>
      <w:r w:rsidRPr="00A011C6">
        <w:rPr>
          <w:lang w:val="fr-CA"/>
        </w:rPr>
        <w:t xml:space="preserve">acte </w:t>
      </w:r>
      <w:r>
        <w:rPr>
          <w:lang w:val="fr-CA"/>
        </w:rPr>
        <w:t xml:space="preserve">en raison de son caractère </w:t>
      </w:r>
      <w:r w:rsidRPr="00A011C6">
        <w:rPr>
          <w:lang w:val="fr-CA"/>
        </w:rPr>
        <w:t>involontaire au sens mor</w:t>
      </w:r>
      <w:r>
        <w:rPr>
          <w:lang w:val="fr-CA"/>
        </w:rPr>
        <w:t>al.</w:t>
      </w:r>
    </w:p>
    <w:p w:rsidR="00AF49CF" w:rsidRPr="00A011C6" w:rsidRDefault="00AF49CF" w:rsidP="00AF49CF">
      <w:pPr>
        <w:pStyle w:val="ParaNoNdepar-AltN"/>
        <w:rPr>
          <w:lang w:val="fr-CA"/>
        </w:rPr>
      </w:pPr>
      <w:r w:rsidRPr="00A011C6">
        <w:rPr>
          <w:lang w:val="fr-CA"/>
        </w:rPr>
        <w:t>Si les menaces ne sont pas assez graves, l</w:t>
      </w:r>
      <w:r>
        <w:rPr>
          <w:lang w:val="fr-CA"/>
        </w:rPr>
        <w:t>’</w:t>
      </w:r>
      <w:r w:rsidRPr="00A011C6">
        <w:rPr>
          <w:lang w:val="fr-CA"/>
        </w:rPr>
        <w:t>infraction commise en réaction à celles</w:t>
      </w:r>
      <w:r>
        <w:rPr>
          <w:lang w:val="fr-CA"/>
        </w:rPr>
        <w:noBreakHyphen/>
      </w:r>
      <w:r w:rsidRPr="00A011C6">
        <w:rPr>
          <w:lang w:val="fr-CA"/>
        </w:rPr>
        <w:t>ci ne peut pas être proportionnelle.  Le caractère volontaire d</w:t>
      </w:r>
      <w:r>
        <w:rPr>
          <w:lang w:val="fr-CA"/>
        </w:rPr>
        <w:t>’</w:t>
      </w:r>
      <w:r w:rsidRPr="00A011C6">
        <w:rPr>
          <w:lang w:val="fr-CA"/>
        </w:rPr>
        <w:t xml:space="preserve">un acte </w:t>
      </w:r>
      <w:r>
        <w:rPr>
          <w:lang w:val="fr-CA"/>
        </w:rPr>
        <w:t xml:space="preserve">dépend </w:t>
      </w:r>
      <w:r w:rsidRPr="00A011C6">
        <w:rPr>
          <w:lang w:val="fr-CA"/>
        </w:rPr>
        <w:t>de sa proportionnalité</w:t>
      </w:r>
      <w:r>
        <w:rPr>
          <w:lang w:val="fr-CA"/>
        </w:rPr>
        <w:t> :</w:t>
      </w:r>
      <w:r w:rsidRPr="00A011C6">
        <w:rPr>
          <w:lang w:val="fr-CA"/>
        </w:rPr>
        <w:t xml:space="preserve"> une personne ne peut pas prétendre avoir perdu la capacité d</w:t>
      </w:r>
      <w:r>
        <w:rPr>
          <w:lang w:val="fr-CA"/>
        </w:rPr>
        <w:t>’</w:t>
      </w:r>
      <w:r w:rsidRPr="00A011C6">
        <w:rPr>
          <w:lang w:val="fr-CA"/>
        </w:rPr>
        <w:t xml:space="preserve">agir librement lorsque le préjudice </w:t>
      </w:r>
      <w:r>
        <w:rPr>
          <w:lang w:val="fr-CA"/>
        </w:rPr>
        <w:t xml:space="preserve">dont </w:t>
      </w:r>
      <w:r w:rsidRPr="00A011C6">
        <w:rPr>
          <w:lang w:val="fr-CA"/>
        </w:rPr>
        <w:t xml:space="preserve">on </w:t>
      </w:r>
      <w:r>
        <w:rPr>
          <w:lang w:val="fr-CA"/>
        </w:rPr>
        <w:t xml:space="preserve">la </w:t>
      </w:r>
      <w:r w:rsidRPr="00A011C6">
        <w:rPr>
          <w:lang w:val="fr-CA"/>
        </w:rPr>
        <w:t xml:space="preserve">menace ne </w:t>
      </w:r>
      <w:r>
        <w:rPr>
          <w:lang w:val="fr-CA"/>
        </w:rPr>
        <w:t>rencontre</w:t>
      </w:r>
      <w:r w:rsidRPr="00A011C6">
        <w:rPr>
          <w:lang w:val="fr-CA"/>
        </w:rPr>
        <w:t xml:space="preserve"> pas </w:t>
      </w:r>
      <w:r>
        <w:rPr>
          <w:lang w:val="fr-CA"/>
        </w:rPr>
        <w:t>les normes</w:t>
      </w:r>
      <w:r w:rsidRPr="00A011C6">
        <w:rPr>
          <w:lang w:val="fr-CA"/>
        </w:rPr>
        <w:t xml:space="preserve"> de la société</w:t>
      </w:r>
      <w:r>
        <w:rPr>
          <w:lang w:val="fr-CA"/>
        </w:rPr>
        <w:t xml:space="preserve"> relativement à la conduite d’une personne raisonnable</w:t>
      </w:r>
      <w:r w:rsidRPr="00A011C6">
        <w:rPr>
          <w:lang w:val="fr-CA"/>
        </w:rPr>
        <w:t xml:space="preserve">.  Pour ces motifs, la question du degré de gravité des lésions corporelles qui rendra possible le recours au moyen de défense </w:t>
      </w:r>
      <w:r>
        <w:rPr>
          <w:lang w:val="fr-CA"/>
        </w:rPr>
        <w:t>se réglera</w:t>
      </w:r>
      <w:r w:rsidRPr="00A011C6">
        <w:rPr>
          <w:lang w:val="fr-CA"/>
        </w:rPr>
        <w:t xml:space="preserve"> plus adéquatement à l</w:t>
      </w:r>
      <w:r>
        <w:rPr>
          <w:lang w:val="fr-CA"/>
        </w:rPr>
        <w:t>’</w:t>
      </w:r>
      <w:r w:rsidRPr="00A011C6">
        <w:rPr>
          <w:lang w:val="fr-CA"/>
        </w:rPr>
        <w:t>étape</w:t>
      </w:r>
      <w:r>
        <w:rPr>
          <w:lang w:val="fr-CA"/>
        </w:rPr>
        <w:t xml:space="preserve"> de l</w:t>
      </w:r>
      <w:r w:rsidRPr="0039797B">
        <w:rPr>
          <w:rFonts w:cs="Times New Roman"/>
          <w:lang w:val="fr-CA"/>
        </w:rPr>
        <w:t>’</w:t>
      </w:r>
      <w:r>
        <w:rPr>
          <w:lang w:val="fr-CA"/>
        </w:rPr>
        <w:t>étude</w:t>
      </w:r>
      <w:r w:rsidRPr="00A011C6">
        <w:rPr>
          <w:lang w:val="fr-CA"/>
        </w:rPr>
        <w:t xml:space="preserve"> de la proportionnalité. </w:t>
      </w:r>
    </w:p>
    <w:p w:rsidR="00AF49CF" w:rsidRPr="00A011C6" w:rsidRDefault="00AF49CF" w:rsidP="00AF49CF">
      <w:pPr>
        <w:pStyle w:val="ParaNoNdepar-AltN"/>
        <w:rPr>
          <w:lang w:val="fr-CA"/>
        </w:rPr>
      </w:pPr>
      <w:r w:rsidRPr="00A011C6">
        <w:rPr>
          <w:lang w:val="fr-CA"/>
        </w:rPr>
        <w:t>Par conséquent, afin de satisfaire à cette première exige</w:t>
      </w:r>
      <w:r>
        <w:rPr>
          <w:lang w:val="fr-CA"/>
        </w:rPr>
        <w:t>nce justifiant le recours au</w:t>
      </w:r>
      <w:r w:rsidRPr="00A011C6">
        <w:rPr>
          <w:lang w:val="fr-CA"/>
        </w:rPr>
        <w:t xml:space="preserve"> moyen de défense de common law fondé sur la contrainte, il faut que des menaces</w:t>
      </w:r>
      <w:r>
        <w:rPr>
          <w:lang w:val="fr-CA"/>
        </w:rPr>
        <w:t xml:space="preserve">, </w:t>
      </w:r>
      <w:r w:rsidRPr="00A011C6">
        <w:rPr>
          <w:lang w:val="fr-CA"/>
        </w:rPr>
        <w:t>explicites ou implicites</w:t>
      </w:r>
      <w:r>
        <w:rPr>
          <w:lang w:val="fr-CA"/>
        </w:rPr>
        <w:t xml:space="preserve">, </w:t>
      </w:r>
      <w:r w:rsidRPr="00A011C6">
        <w:rPr>
          <w:lang w:val="fr-CA"/>
        </w:rPr>
        <w:t>de mort ou de lésions corporelles, actuelles ou futures, aient été proférées contre l</w:t>
      </w:r>
      <w:r>
        <w:rPr>
          <w:lang w:val="fr-CA"/>
        </w:rPr>
        <w:t>’</w:t>
      </w:r>
      <w:r w:rsidRPr="00A011C6">
        <w:rPr>
          <w:lang w:val="fr-CA"/>
        </w:rPr>
        <w:t xml:space="preserve">accusé ou un tiers. </w:t>
      </w:r>
    </w:p>
    <w:p w:rsidR="00AF49CF" w:rsidRPr="00407B64" w:rsidRDefault="00AF49CF" w:rsidP="00062E82">
      <w:pPr>
        <w:pStyle w:val="TitleTitre-AltT"/>
        <w:tabs>
          <w:tab w:val="clear" w:pos="360"/>
          <w:tab w:val="left" w:pos="1170"/>
        </w:tabs>
        <w:ind w:left="1710" w:hanging="1710"/>
        <w:rPr>
          <w:i/>
          <w:lang w:val="fr-CA"/>
        </w:rPr>
      </w:pPr>
      <w:r>
        <w:rPr>
          <w:lang w:val="fr-CA"/>
        </w:rPr>
        <w:tab/>
        <w:t>b)</w:t>
      </w:r>
      <w:r>
        <w:rPr>
          <w:lang w:val="fr-CA"/>
        </w:rPr>
        <w:tab/>
      </w:r>
      <w:r w:rsidRPr="00407B64">
        <w:rPr>
          <w:i/>
          <w:lang w:val="fr-CA"/>
        </w:rPr>
        <w:t>Motifs raisonnables de croire que les menaces seront mises à exécution</w:t>
      </w:r>
    </w:p>
    <w:p w:rsidR="00AF49CF" w:rsidRPr="00A011C6" w:rsidRDefault="00AF49CF" w:rsidP="00AF49CF">
      <w:pPr>
        <w:pStyle w:val="ParaNoNdepar-AltN"/>
        <w:rPr>
          <w:lang w:val="fr-CA"/>
        </w:rPr>
      </w:pPr>
      <w:r>
        <w:rPr>
          <w:lang w:val="fr-CA"/>
        </w:rPr>
        <w:t>Par ailleurs</w:t>
      </w:r>
      <w:r w:rsidRPr="00A011C6">
        <w:rPr>
          <w:lang w:val="fr-CA"/>
        </w:rPr>
        <w:t>, l</w:t>
      </w:r>
      <w:r>
        <w:rPr>
          <w:lang w:val="fr-CA"/>
        </w:rPr>
        <w:t>’</w:t>
      </w:r>
      <w:r w:rsidRPr="00A011C6">
        <w:rPr>
          <w:lang w:val="fr-CA"/>
        </w:rPr>
        <w:t>accusé doit</w:t>
      </w:r>
      <w:r>
        <w:rPr>
          <w:lang w:val="fr-CA"/>
        </w:rPr>
        <w:t xml:space="preserve"> aussi</w:t>
      </w:r>
      <w:r w:rsidRPr="00A011C6">
        <w:rPr>
          <w:lang w:val="fr-CA"/>
        </w:rPr>
        <w:t xml:space="preserve"> avoir eu des motifs raisonnables </w:t>
      </w:r>
      <w:r>
        <w:rPr>
          <w:lang w:val="fr-CA"/>
        </w:rPr>
        <w:t>de croire que les menaces seraient</w:t>
      </w:r>
      <w:r w:rsidRPr="00A011C6">
        <w:rPr>
          <w:lang w:val="fr-CA"/>
        </w:rPr>
        <w:t xml:space="preserve"> mises à exécution. </w:t>
      </w:r>
      <w:r>
        <w:rPr>
          <w:lang w:val="fr-CA"/>
        </w:rPr>
        <w:t xml:space="preserve"> Cet élément est analysé en fonction d</w:t>
      </w:r>
      <w:r w:rsidRPr="003E4751">
        <w:rPr>
          <w:rFonts w:cs="Times New Roman"/>
          <w:lang w:val="fr-CA"/>
        </w:rPr>
        <w:t>’</w:t>
      </w:r>
      <w:r w:rsidRPr="00A011C6">
        <w:rPr>
          <w:lang w:val="fr-CA"/>
        </w:rPr>
        <w:t>une norme objective modifiée, c</w:t>
      </w:r>
      <w:r>
        <w:rPr>
          <w:lang w:val="fr-CA"/>
        </w:rPr>
        <w:t>’</w:t>
      </w:r>
      <w:r w:rsidRPr="00A011C6">
        <w:rPr>
          <w:lang w:val="fr-CA"/>
        </w:rPr>
        <w:t>est</w:t>
      </w:r>
      <w:r>
        <w:rPr>
          <w:lang w:val="fr-CA"/>
        </w:rPr>
        <w:noBreakHyphen/>
      </w:r>
      <w:r w:rsidRPr="00A011C6">
        <w:rPr>
          <w:lang w:val="fr-CA"/>
        </w:rPr>
        <w:t>à</w:t>
      </w:r>
      <w:r>
        <w:rPr>
          <w:lang w:val="fr-CA"/>
        </w:rPr>
        <w:noBreakHyphen/>
      </w:r>
      <w:r w:rsidRPr="00A011C6">
        <w:rPr>
          <w:lang w:val="fr-CA"/>
        </w:rPr>
        <w:t>dire selon le critère de la personne r</w:t>
      </w:r>
      <w:r>
        <w:rPr>
          <w:lang w:val="fr-CA"/>
        </w:rPr>
        <w:t>aisonnable se trouvant</w:t>
      </w:r>
      <w:r w:rsidRPr="00A011C6">
        <w:rPr>
          <w:lang w:val="fr-CA"/>
        </w:rPr>
        <w:t xml:space="preserve"> dans une situation similaire. </w:t>
      </w:r>
    </w:p>
    <w:p w:rsidR="00AF49CF" w:rsidRPr="00A011C6" w:rsidRDefault="00AF49CF" w:rsidP="00062E82">
      <w:pPr>
        <w:pStyle w:val="TitleTitre-AltT"/>
        <w:tabs>
          <w:tab w:val="clear" w:pos="360"/>
          <w:tab w:val="left" w:pos="1170"/>
        </w:tabs>
        <w:ind w:left="1710" w:hanging="1620"/>
        <w:rPr>
          <w:lang w:val="fr-CA"/>
        </w:rPr>
      </w:pPr>
      <w:r>
        <w:rPr>
          <w:lang w:val="fr-CA"/>
        </w:rPr>
        <w:tab/>
      </w:r>
      <w:r w:rsidRPr="00A011C6">
        <w:rPr>
          <w:lang w:val="fr-CA"/>
        </w:rPr>
        <w:t>c)</w:t>
      </w:r>
      <w:r>
        <w:rPr>
          <w:lang w:val="fr-CA"/>
        </w:rPr>
        <w:tab/>
      </w:r>
      <w:r w:rsidRPr="003E4751">
        <w:rPr>
          <w:i/>
          <w:lang w:val="fr-CA"/>
        </w:rPr>
        <w:t>Aucun moyen de s’en sortir sans danger</w:t>
      </w:r>
    </w:p>
    <w:p w:rsidR="00AF49CF" w:rsidRPr="00A011C6" w:rsidRDefault="00AF49CF" w:rsidP="00AF49CF">
      <w:pPr>
        <w:pStyle w:val="ParaNoNdepar-AltN"/>
        <w:rPr>
          <w:lang w:val="fr-CA"/>
        </w:rPr>
      </w:pPr>
      <w:r w:rsidRPr="00A011C6">
        <w:rPr>
          <w:lang w:val="fr-CA"/>
        </w:rPr>
        <w:t>Cet élément du moyen de défense de common law a été expressément examiné dans</w:t>
      </w:r>
      <w:r>
        <w:rPr>
          <w:lang w:val="fr-CA"/>
        </w:rPr>
        <w:t xml:space="preserve"> l</w:t>
      </w:r>
      <w:r w:rsidRPr="003E4751">
        <w:rPr>
          <w:rFonts w:cs="Times New Roman"/>
          <w:lang w:val="fr-CA"/>
        </w:rPr>
        <w:t>’</w:t>
      </w:r>
      <w:r>
        <w:rPr>
          <w:lang w:val="fr-CA"/>
        </w:rPr>
        <w:t>affaire</w:t>
      </w:r>
      <w:r w:rsidRPr="00A011C6">
        <w:rPr>
          <w:lang w:val="fr-CA"/>
        </w:rPr>
        <w:t xml:space="preserve"> </w:t>
      </w:r>
      <w:r w:rsidRPr="00A011C6">
        <w:rPr>
          <w:i/>
          <w:lang w:val="fr-CA"/>
        </w:rPr>
        <w:t>Ruzic</w:t>
      </w:r>
      <w:r w:rsidR="00062E82" w:rsidRPr="00062E82">
        <w:rPr>
          <w:lang w:val="fr-CA"/>
        </w:rPr>
        <w:t>,</w:t>
      </w:r>
      <w:r>
        <w:rPr>
          <w:lang w:val="fr-CA"/>
        </w:rPr>
        <w:t xml:space="preserve"> par. </w:t>
      </w:r>
      <w:r w:rsidRPr="00A011C6">
        <w:rPr>
          <w:lang w:val="fr-CA"/>
        </w:rPr>
        <w:t>61</w:t>
      </w:r>
      <w:r>
        <w:rPr>
          <w:lang w:val="fr-CA"/>
        </w:rPr>
        <w:t xml:space="preserve">.  </w:t>
      </w:r>
      <w:r w:rsidRPr="00A011C6">
        <w:rPr>
          <w:lang w:val="fr-CA"/>
        </w:rPr>
        <w:t xml:space="preserve">Une fois </w:t>
      </w:r>
      <w:r>
        <w:rPr>
          <w:lang w:val="fr-CA"/>
        </w:rPr>
        <w:t>encore, le critère, évalué en fonction d</w:t>
      </w:r>
      <w:r w:rsidRPr="003E4751">
        <w:rPr>
          <w:rFonts w:cs="Times New Roman"/>
          <w:lang w:val="fr-CA"/>
        </w:rPr>
        <w:t>’</w:t>
      </w:r>
      <w:r w:rsidRPr="00A011C6">
        <w:rPr>
          <w:lang w:val="fr-CA"/>
        </w:rPr>
        <w:t>une norme objective modifiée, est celui de la personne raisonnable</w:t>
      </w:r>
      <w:r>
        <w:rPr>
          <w:lang w:val="fr-CA"/>
        </w:rPr>
        <w:t xml:space="preserve"> se trouvant</w:t>
      </w:r>
      <w:r w:rsidRPr="00A011C6">
        <w:rPr>
          <w:lang w:val="fr-CA"/>
        </w:rPr>
        <w:t xml:space="preserve"> dans une situation similaire</w:t>
      </w:r>
      <w:r>
        <w:rPr>
          <w:lang w:val="fr-CA"/>
        </w:rPr>
        <w:t> :</w:t>
      </w:r>
    </w:p>
    <w:p w:rsidR="00AF49CF" w:rsidRPr="00A011C6" w:rsidRDefault="00AF49CF" w:rsidP="00AF49CF">
      <w:pPr>
        <w:pStyle w:val="Citation-AltC"/>
        <w:ind w:hanging="1166"/>
        <w:rPr>
          <w:szCs w:val="24"/>
          <w:lang w:val="fr-CA"/>
        </w:rPr>
      </w:pPr>
      <w:r>
        <w:rPr>
          <w:lang w:val="fr-CA"/>
        </w:rPr>
        <w:tab/>
      </w:r>
      <w:r w:rsidRPr="00A011C6">
        <w:rPr>
          <w:lang w:val="fr-CA"/>
        </w:rPr>
        <w:t>Les tribunaux prendront en considération la situation particulière dans laquelle se trouvait le prévenu et la capacité de celui</w:t>
      </w:r>
      <w:r>
        <w:rPr>
          <w:lang w:val="fr-CA"/>
        </w:rPr>
        <w:noBreakHyphen/>
      </w:r>
      <w:r w:rsidRPr="00A011C6">
        <w:rPr>
          <w:lang w:val="fr-CA"/>
        </w:rPr>
        <w:t>ci de discerner une solution raisonnable autre que celle de commettre un crime, compte tenu de ses antécédents et de ses</w:t>
      </w:r>
      <w:r>
        <w:rPr>
          <w:lang w:val="fr-CA"/>
        </w:rPr>
        <w:t xml:space="preserve"> caractéristiques essentielles. </w:t>
      </w:r>
      <w:r w:rsidRPr="00A011C6">
        <w:rPr>
          <w:lang w:val="fr-CA"/>
        </w:rPr>
        <w:t xml:space="preserve"> Le processus comporte une appréciation pragmatique de la situation de l</w:t>
      </w:r>
      <w:r>
        <w:rPr>
          <w:lang w:val="fr-CA"/>
        </w:rPr>
        <w:t>’</w:t>
      </w:r>
      <w:r w:rsidRPr="00A011C6">
        <w:rPr>
          <w:lang w:val="fr-CA"/>
        </w:rPr>
        <w:t>accusé, tempérée par la nécessité d</w:t>
      </w:r>
      <w:r>
        <w:rPr>
          <w:lang w:val="fr-CA"/>
        </w:rPr>
        <w:t>’</w:t>
      </w:r>
      <w:r w:rsidRPr="00A011C6">
        <w:rPr>
          <w:lang w:val="fr-CA"/>
        </w:rPr>
        <w:t>éviter d</w:t>
      </w:r>
      <w:r>
        <w:rPr>
          <w:lang w:val="fr-CA"/>
        </w:rPr>
        <w:t>’</w:t>
      </w:r>
      <w:r w:rsidRPr="00A011C6">
        <w:rPr>
          <w:lang w:val="fr-CA"/>
        </w:rPr>
        <w:t>écarter la responsabilité criminelle sur la foi d</w:t>
      </w:r>
      <w:r>
        <w:rPr>
          <w:lang w:val="fr-CA"/>
        </w:rPr>
        <w:t>’</w:t>
      </w:r>
      <w:r w:rsidRPr="00A011C6">
        <w:rPr>
          <w:lang w:val="fr-CA"/>
        </w:rPr>
        <w:t>une excuse purement subjective et invérifiable</w:t>
      </w:r>
      <w:r w:rsidRPr="00A011C6">
        <w:rPr>
          <w:szCs w:val="24"/>
          <w:lang w:val="fr-CA"/>
        </w:rPr>
        <w:t xml:space="preserve">. </w:t>
      </w:r>
    </w:p>
    <w:p w:rsidR="00AF49CF" w:rsidRPr="00A011C6" w:rsidRDefault="00AF49CF" w:rsidP="00AF49CF">
      <w:pPr>
        <w:pStyle w:val="ContinueParaSuitedupar-AltP"/>
        <w:rPr>
          <w:lang w:val="fr-CA"/>
        </w:rPr>
      </w:pPr>
      <w:r w:rsidRPr="00A011C6">
        <w:rPr>
          <w:lang w:val="fr-CA"/>
        </w:rPr>
        <w:t>En d</w:t>
      </w:r>
      <w:r>
        <w:rPr>
          <w:lang w:val="fr-CA"/>
        </w:rPr>
        <w:t>’</w:t>
      </w:r>
      <w:r w:rsidRPr="00A011C6">
        <w:rPr>
          <w:lang w:val="fr-CA"/>
        </w:rPr>
        <w:t>autres mots, une personne raisonnable se trouvant dans une situation similaire à celle de l</w:t>
      </w:r>
      <w:r>
        <w:rPr>
          <w:lang w:val="fr-CA"/>
        </w:rPr>
        <w:t>’</w:t>
      </w:r>
      <w:r w:rsidRPr="00A011C6">
        <w:rPr>
          <w:lang w:val="fr-CA"/>
        </w:rPr>
        <w:t>accusé et possédant les mêmes caractéristiques personnelles et la même expérience conclurait qu</w:t>
      </w:r>
      <w:r>
        <w:rPr>
          <w:lang w:val="fr-CA"/>
        </w:rPr>
        <w:t>’</w:t>
      </w:r>
      <w:r w:rsidRPr="00A011C6">
        <w:rPr>
          <w:lang w:val="fr-CA"/>
        </w:rPr>
        <w:t>il n</w:t>
      </w:r>
      <w:r>
        <w:rPr>
          <w:lang w:val="fr-CA"/>
        </w:rPr>
        <w:t>’</w:t>
      </w:r>
      <w:r w:rsidRPr="00A011C6">
        <w:rPr>
          <w:lang w:val="fr-CA"/>
        </w:rPr>
        <w:t>y avait aucun moyen de s</w:t>
      </w:r>
      <w:r>
        <w:rPr>
          <w:lang w:val="fr-CA"/>
        </w:rPr>
        <w:t>’</w:t>
      </w:r>
      <w:r w:rsidRPr="00A011C6">
        <w:rPr>
          <w:lang w:val="fr-CA"/>
        </w:rPr>
        <w:t xml:space="preserve">en sortir sans danger </w:t>
      </w:r>
      <w:r>
        <w:rPr>
          <w:lang w:val="fr-CA"/>
        </w:rPr>
        <w:t>ni</w:t>
      </w:r>
      <w:r w:rsidRPr="00A011C6">
        <w:rPr>
          <w:lang w:val="fr-CA"/>
        </w:rPr>
        <w:t xml:space="preserve"> aucun autre choix légal que de commettre l</w:t>
      </w:r>
      <w:r>
        <w:rPr>
          <w:lang w:val="fr-CA"/>
        </w:rPr>
        <w:t>’</w:t>
      </w:r>
      <w:r w:rsidRPr="00A011C6">
        <w:rPr>
          <w:lang w:val="fr-CA"/>
        </w:rPr>
        <w:t xml:space="preserve">infraction.  Si une personne raisonnable se trouvant dans une situation similaire </w:t>
      </w:r>
      <w:r>
        <w:rPr>
          <w:lang w:val="fr-CA"/>
        </w:rPr>
        <w:t>aurait estimé</w:t>
      </w:r>
      <w:r w:rsidRPr="00A011C6">
        <w:rPr>
          <w:lang w:val="fr-CA"/>
        </w:rPr>
        <w:t xml:space="preserve"> qu</w:t>
      </w:r>
      <w:r>
        <w:rPr>
          <w:lang w:val="fr-CA"/>
        </w:rPr>
        <w:t>’</w:t>
      </w:r>
      <w:r w:rsidRPr="00A011C6">
        <w:rPr>
          <w:lang w:val="fr-CA"/>
        </w:rPr>
        <w:t xml:space="preserve">il </w:t>
      </w:r>
      <w:r w:rsidRPr="0062321B">
        <w:rPr>
          <w:i/>
          <w:lang w:val="fr-CA"/>
        </w:rPr>
        <w:t>existait</w:t>
      </w:r>
      <w:r>
        <w:rPr>
          <w:lang w:val="fr-CA"/>
        </w:rPr>
        <w:t xml:space="preserve"> </w:t>
      </w:r>
      <w:r w:rsidRPr="00A011C6">
        <w:rPr>
          <w:lang w:val="fr-CA"/>
        </w:rPr>
        <w:t>un moyen de s</w:t>
      </w:r>
      <w:r>
        <w:rPr>
          <w:lang w:val="fr-CA"/>
        </w:rPr>
        <w:t>’</w:t>
      </w:r>
      <w:r w:rsidRPr="00A011C6">
        <w:rPr>
          <w:lang w:val="fr-CA"/>
        </w:rPr>
        <w:t>en sortir sans danger, l</w:t>
      </w:r>
      <w:r>
        <w:rPr>
          <w:lang w:val="fr-CA"/>
        </w:rPr>
        <w:t>’</w:t>
      </w:r>
      <w:r w:rsidRPr="00A011C6">
        <w:rPr>
          <w:lang w:val="fr-CA"/>
        </w:rPr>
        <w:t>exigence n</w:t>
      </w:r>
      <w:r>
        <w:rPr>
          <w:lang w:val="fr-CA"/>
        </w:rPr>
        <w:t>’</w:t>
      </w:r>
      <w:r w:rsidRPr="00A011C6">
        <w:rPr>
          <w:lang w:val="fr-CA"/>
        </w:rPr>
        <w:t>est pas satisfaite</w:t>
      </w:r>
      <w:r>
        <w:rPr>
          <w:lang w:val="fr-CA"/>
        </w:rPr>
        <w:t>.  L</w:t>
      </w:r>
      <w:r w:rsidRPr="00A011C6">
        <w:rPr>
          <w:lang w:val="fr-CA"/>
        </w:rPr>
        <w:t>es actes de l</w:t>
      </w:r>
      <w:r>
        <w:rPr>
          <w:lang w:val="fr-CA"/>
        </w:rPr>
        <w:t>’</w:t>
      </w:r>
      <w:r w:rsidRPr="00A011C6">
        <w:rPr>
          <w:lang w:val="fr-CA"/>
        </w:rPr>
        <w:t xml:space="preserve">accusé </w:t>
      </w:r>
      <w:r>
        <w:rPr>
          <w:lang w:val="fr-CA"/>
        </w:rPr>
        <w:t xml:space="preserve">ne peuvent alors être </w:t>
      </w:r>
      <w:r w:rsidRPr="00A011C6">
        <w:rPr>
          <w:lang w:val="fr-CA"/>
        </w:rPr>
        <w:t xml:space="preserve">excusés </w:t>
      </w:r>
      <w:r>
        <w:rPr>
          <w:lang w:val="fr-CA"/>
        </w:rPr>
        <w:t>sur la base de</w:t>
      </w:r>
      <w:r w:rsidRPr="00A011C6">
        <w:rPr>
          <w:lang w:val="fr-CA"/>
        </w:rPr>
        <w:t xml:space="preserve"> moyen de défense fondé sur la contrainte parce qu</w:t>
      </w:r>
      <w:r>
        <w:rPr>
          <w:lang w:val="fr-CA"/>
        </w:rPr>
        <w:t xml:space="preserve">’ils ne peuvent être considérés comme </w:t>
      </w:r>
      <w:r w:rsidRPr="00A011C6">
        <w:rPr>
          <w:lang w:val="fr-CA"/>
        </w:rPr>
        <w:t>involontaires au sens mor</w:t>
      </w:r>
      <w:r>
        <w:rPr>
          <w:lang w:val="fr-CA"/>
        </w:rPr>
        <w:t>al. </w:t>
      </w:r>
    </w:p>
    <w:p w:rsidR="00AF49CF" w:rsidRPr="00A011C6" w:rsidRDefault="00AF49CF" w:rsidP="00062E82">
      <w:pPr>
        <w:pStyle w:val="TitleTitre-AltT"/>
        <w:tabs>
          <w:tab w:val="clear" w:pos="360"/>
          <w:tab w:val="left" w:pos="1170"/>
        </w:tabs>
        <w:ind w:left="1710" w:hanging="1710"/>
        <w:rPr>
          <w:lang w:val="fr-CA"/>
        </w:rPr>
      </w:pPr>
      <w:r>
        <w:rPr>
          <w:lang w:val="fr-CA"/>
        </w:rPr>
        <w:tab/>
      </w:r>
      <w:r w:rsidRPr="00A011C6">
        <w:rPr>
          <w:lang w:val="fr-CA"/>
        </w:rPr>
        <w:t>d)</w:t>
      </w:r>
      <w:r>
        <w:rPr>
          <w:lang w:val="fr-CA"/>
        </w:rPr>
        <w:tab/>
      </w:r>
      <w:r w:rsidRPr="003E4751">
        <w:rPr>
          <w:i/>
          <w:lang w:val="fr-CA"/>
        </w:rPr>
        <w:t>Lien temporel étroit</w:t>
      </w:r>
    </w:p>
    <w:p w:rsidR="00AF49CF" w:rsidRPr="00A011C6" w:rsidRDefault="00AF49CF" w:rsidP="00AF49CF">
      <w:pPr>
        <w:pStyle w:val="ParaNoNdepar-AltN"/>
        <w:rPr>
          <w:lang w:val="fr-CA"/>
        </w:rPr>
      </w:pPr>
      <w:r w:rsidRPr="00A011C6">
        <w:rPr>
          <w:lang w:val="fr-CA"/>
        </w:rPr>
        <w:t>L</w:t>
      </w:r>
      <w:r>
        <w:rPr>
          <w:lang w:val="fr-CA"/>
        </w:rPr>
        <w:t>’exigence d</w:t>
      </w:r>
      <w:r w:rsidRPr="00847E6E">
        <w:rPr>
          <w:rFonts w:cs="Times New Roman"/>
          <w:lang w:val="fr-CA"/>
        </w:rPr>
        <w:t>’</w:t>
      </w:r>
      <w:r>
        <w:rPr>
          <w:lang w:val="fr-CA"/>
        </w:rPr>
        <w:t xml:space="preserve">un </w:t>
      </w:r>
      <w:r w:rsidRPr="00A011C6">
        <w:rPr>
          <w:lang w:val="fr-CA"/>
        </w:rPr>
        <w:t>lien temporel étroit entre les menaces et le préjudice que l</w:t>
      </w:r>
      <w:r>
        <w:rPr>
          <w:lang w:val="fr-CA"/>
        </w:rPr>
        <w:t>’</w:t>
      </w:r>
      <w:r w:rsidRPr="00A011C6">
        <w:rPr>
          <w:lang w:val="fr-CA"/>
        </w:rPr>
        <w:t xml:space="preserve">on menace de causer, </w:t>
      </w:r>
      <w:r>
        <w:rPr>
          <w:lang w:val="fr-CA"/>
        </w:rPr>
        <w:t>dont nous avons déjà discuté, permet de</w:t>
      </w:r>
      <w:r w:rsidRPr="00A011C6">
        <w:rPr>
          <w:lang w:val="fr-CA"/>
        </w:rPr>
        <w:t xml:space="preserve"> limiter la possibilité d</w:t>
      </w:r>
      <w:r>
        <w:rPr>
          <w:lang w:val="fr-CA"/>
        </w:rPr>
        <w:t>’</w:t>
      </w:r>
      <w:r w:rsidRPr="00A011C6">
        <w:rPr>
          <w:lang w:val="fr-CA"/>
        </w:rPr>
        <w:t>invoquer le moyen de défense de common law aux situations dans lesquelles il existe un lien temporel suffisant entre les menaces et l</w:t>
      </w:r>
      <w:r>
        <w:rPr>
          <w:lang w:val="fr-CA"/>
        </w:rPr>
        <w:t>’</w:t>
      </w:r>
      <w:r w:rsidRPr="00A011C6">
        <w:rPr>
          <w:lang w:val="fr-CA"/>
        </w:rPr>
        <w:t xml:space="preserve">infraction commise. </w:t>
      </w:r>
    </w:p>
    <w:p w:rsidR="00AF49CF" w:rsidRPr="00A011C6" w:rsidRDefault="00AF49CF" w:rsidP="00AF49CF">
      <w:pPr>
        <w:pStyle w:val="ParaNoNdepar-AltN"/>
        <w:rPr>
          <w:lang w:val="fr-CA"/>
        </w:rPr>
      </w:pPr>
      <w:r w:rsidRPr="00A011C6">
        <w:rPr>
          <w:lang w:val="fr-CA"/>
        </w:rPr>
        <w:t>C</w:t>
      </w:r>
      <w:r>
        <w:rPr>
          <w:lang w:val="fr-CA"/>
        </w:rPr>
        <w:t>ependant, c</w:t>
      </w:r>
      <w:r w:rsidRPr="00A011C6">
        <w:rPr>
          <w:lang w:val="fr-CA"/>
        </w:rPr>
        <w:t>ette exigence n</w:t>
      </w:r>
      <w:r>
        <w:rPr>
          <w:lang w:val="fr-CA"/>
        </w:rPr>
        <w:t>’</w:t>
      </w:r>
      <w:r w:rsidRPr="00A011C6">
        <w:rPr>
          <w:lang w:val="fr-CA"/>
        </w:rPr>
        <w:t xml:space="preserve">empêche </w:t>
      </w:r>
      <w:r>
        <w:rPr>
          <w:lang w:val="fr-CA"/>
        </w:rPr>
        <w:t>pas</w:t>
      </w:r>
      <w:r w:rsidRPr="00A011C6">
        <w:rPr>
          <w:lang w:val="fr-CA"/>
        </w:rPr>
        <w:t xml:space="preserve"> une personne d</w:t>
      </w:r>
      <w:r>
        <w:rPr>
          <w:lang w:val="fr-CA"/>
        </w:rPr>
        <w:t>’</w:t>
      </w:r>
      <w:r w:rsidRPr="00A011C6">
        <w:rPr>
          <w:lang w:val="fr-CA"/>
        </w:rPr>
        <w:t xml:space="preserve">invoquer le moyen de défense dans les cas où les menaces </w:t>
      </w:r>
      <w:r>
        <w:rPr>
          <w:lang w:val="fr-CA"/>
        </w:rPr>
        <w:t xml:space="preserve">ont trait à </w:t>
      </w:r>
      <w:r w:rsidRPr="00A011C6">
        <w:rPr>
          <w:lang w:val="fr-CA"/>
        </w:rPr>
        <w:t>un préjudice futur.  Par exemple, l</w:t>
      </w:r>
      <w:r>
        <w:rPr>
          <w:lang w:val="fr-CA"/>
        </w:rPr>
        <w:t>’</w:t>
      </w:r>
      <w:r w:rsidRPr="00A011C6">
        <w:rPr>
          <w:lang w:val="fr-CA"/>
        </w:rPr>
        <w:t xml:space="preserve">accusée a pu </w:t>
      </w:r>
      <w:r>
        <w:rPr>
          <w:lang w:val="fr-CA"/>
        </w:rPr>
        <w:t>l</w:t>
      </w:r>
      <w:r w:rsidRPr="00C42968">
        <w:rPr>
          <w:rFonts w:cs="Times New Roman"/>
          <w:lang w:val="fr-CA"/>
        </w:rPr>
        <w:t>’</w:t>
      </w:r>
      <w:r w:rsidRPr="00A011C6">
        <w:rPr>
          <w:lang w:val="fr-CA"/>
        </w:rPr>
        <w:t>invoquer</w:t>
      </w:r>
      <w:r>
        <w:rPr>
          <w:lang w:val="fr-CA"/>
        </w:rPr>
        <w:t xml:space="preserve"> </w:t>
      </w:r>
      <w:r w:rsidRPr="00A011C6">
        <w:rPr>
          <w:lang w:val="fr-CA"/>
        </w:rPr>
        <w:t>dans</w:t>
      </w:r>
      <w:r>
        <w:rPr>
          <w:lang w:val="fr-CA"/>
        </w:rPr>
        <w:t xml:space="preserve"> l</w:t>
      </w:r>
      <w:r w:rsidRPr="003E4751">
        <w:rPr>
          <w:rFonts w:cs="Times New Roman"/>
          <w:lang w:val="fr-CA"/>
        </w:rPr>
        <w:t>’</w:t>
      </w:r>
      <w:r>
        <w:rPr>
          <w:lang w:val="fr-CA"/>
        </w:rPr>
        <w:t xml:space="preserve">arrêt </w:t>
      </w:r>
      <w:r w:rsidRPr="00A011C6">
        <w:rPr>
          <w:i/>
          <w:lang w:val="fr-CA"/>
        </w:rPr>
        <w:t>Ruzic</w:t>
      </w:r>
      <w:r>
        <w:rPr>
          <w:lang w:val="fr-CA"/>
        </w:rPr>
        <w:t xml:space="preserve">, </w:t>
      </w:r>
      <w:r w:rsidRPr="00A011C6">
        <w:rPr>
          <w:lang w:val="fr-CA"/>
        </w:rPr>
        <w:t>même si l</w:t>
      </w:r>
      <w:r>
        <w:rPr>
          <w:lang w:val="fr-CA"/>
        </w:rPr>
        <w:t>’</w:t>
      </w:r>
      <w:r w:rsidRPr="00A011C6">
        <w:rPr>
          <w:lang w:val="fr-CA"/>
        </w:rPr>
        <w:t xml:space="preserve">objet des </w:t>
      </w:r>
      <w:r>
        <w:rPr>
          <w:lang w:val="fr-CA"/>
        </w:rPr>
        <w:t>menaces était de s</w:t>
      </w:r>
      <w:r w:rsidRPr="003E4751">
        <w:rPr>
          <w:rFonts w:cs="Times New Roman"/>
          <w:lang w:val="fr-CA"/>
        </w:rPr>
        <w:t>’</w:t>
      </w:r>
      <w:r>
        <w:rPr>
          <w:lang w:val="fr-CA"/>
        </w:rPr>
        <w:t>en prendre</w:t>
      </w:r>
      <w:r w:rsidRPr="00A011C6">
        <w:rPr>
          <w:lang w:val="fr-CA"/>
        </w:rPr>
        <w:t xml:space="preserve"> à sa mère </w:t>
      </w:r>
      <w:r>
        <w:rPr>
          <w:lang w:val="fr-CA"/>
        </w:rPr>
        <w:t>dans le cas où</w:t>
      </w:r>
      <w:r w:rsidRPr="00A011C6">
        <w:rPr>
          <w:lang w:val="fr-CA"/>
        </w:rPr>
        <w:t xml:space="preserve">, </w:t>
      </w:r>
      <w:r>
        <w:rPr>
          <w:lang w:val="fr-CA"/>
        </w:rPr>
        <w:t>malgré ce qu</w:t>
      </w:r>
      <w:r w:rsidRPr="003E4751">
        <w:rPr>
          <w:rFonts w:cs="Times New Roman"/>
          <w:lang w:val="fr-CA"/>
        </w:rPr>
        <w:t>’</w:t>
      </w:r>
      <w:r>
        <w:rPr>
          <w:lang w:val="fr-CA"/>
        </w:rPr>
        <w:t xml:space="preserve">on </w:t>
      </w:r>
      <w:r w:rsidRPr="00A011C6">
        <w:rPr>
          <w:lang w:val="fr-CA"/>
        </w:rPr>
        <w:t xml:space="preserve">lui avait ordonné, elle ne passait pas de la drogue en contrebande de Belgrade à Toronto, </w:t>
      </w:r>
      <w:r>
        <w:rPr>
          <w:lang w:val="fr-CA"/>
        </w:rPr>
        <w:t xml:space="preserve">une opération dont la réalisation exigerait quelques </w:t>
      </w:r>
      <w:r w:rsidRPr="00A011C6">
        <w:rPr>
          <w:lang w:val="fr-CA"/>
        </w:rPr>
        <w:t>jours.</w:t>
      </w:r>
    </w:p>
    <w:p w:rsidR="00AF49CF" w:rsidRPr="00A011C6" w:rsidRDefault="00AF49CF" w:rsidP="00AF49CF">
      <w:pPr>
        <w:pStyle w:val="ParaNoNdepar-AltN"/>
        <w:rPr>
          <w:lang w:val="fr-CA"/>
        </w:rPr>
      </w:pPr>
      <w:r>
        <w:rPr>
          <w:lang w:val="fr-CA"/>
        </w:rPr>
        <w:t>L</w:t>
      </w:r>
      <w:r w:rsidRPr="00304FFE">
        <w:rPr>
          <w:rFonts w:cs="Times New Roman"/>
          <w:lang w:val="fr-CA"/>
        </w:rPr>
        <w:t>’</w:t>
      </w:r>
      <w:r>
        <w:rPr>
          <w:lang w:val="fr-CA"/>
        </w:rPr>
        <w:t xml:space="preserve">objectif </w:t>
      </w:r>
      <w:r w:rsidRPr="00A011C6">
        <w:rPr>
          <w:lang w:val="fr-CA"/>
        </w:rPr>
        <w:t>premier de l</w:t>
      </w:r>
      <w:r>
        <w:rPr>
          <w:lang w:val="fr-CA"/>
        </w:rPr>
        <w:t>’exigence d</w:t>
      </w:r>
      <w:r w:rsidRPr="00847E6E">
        <w:rPr>
          <w:rFonts w:cs="Times New Roman"/>
          <w:lang w:val="fr-CA"/>
        </w:rPr>
        <w:t>’</w:t>
      </w:r>
      <w:r>
        <w:rPr>
          <w:lang w:val="fr-CA"/>
        </w:rPr>
        <w:t xml:space="preserve">un </w:t>
      </w:r>
      <w:r w:rsidRPr="00A011C6">
        <w:rPr>
          <w:lang w:val="fr-CA"/>
        </w:rPr>
        <w:t xml:space="preserve">lien temporel étroit est de </w:t>
      </w:r>
      <w:r>
        <w:rPr>
          <w:lang w:val="fr-CA"/>
        </w:rPr>
        <w:t>vérifier l’absence réelle</w:t>
      </w:r>
      <w:r w:rsidRPr="00A011C6">
        <w:rPr>
          <w:lang w:val="fr-CA"/>
        </w:rPr>
        <w:t xml:space="preserve"> </w:t>
      </w:r>
      <w:r>
        <w:rPr>
          <w:lang w:val="fr-CA"/>
        </w:rPr>
        <w:t>de tout autre</w:t>
      </w:r>
      <w:r w:rsidRPr="00A011C6">
        <w:rPr>
          <w:lang w:val="fr-CA"/>
        </w:rPr>
        <w:t xml:space="preserve"> moyen pour l</w:t>
      </w:r>
      <w:r>
        <w:rPr>
          <w:lang w:val="fr-CA"/>
        </w:rPr>
        <w:t>’</w:t>
      </w:r>
      <w:r w:rsidRPr="00A011C6">
        <w:rPr>
          <w:lang w:val="fr-CA"/>
        </w:rPr>
        <w:t>accusé de s</w:t>
      </w:r>
      <w:r>
        <w:rPr>
          <w:lang w:val="fr-CA"/>
        </w:rPr>
        <w:t>e soustraire sans danger à la menace</w:t>
      </w:r>
      <w:r w:rsidRPr="00A011C6">
        <w:rPr>
          <w:lang w:val="fr-CA"/>
        </w:rPr>
        <w:t xml:space="preserve">.  </w:t>
      </w:r>
      <w:r>
        <w:rPr>
          <w:lang w:val="fr-CA"/>
        </w:rPr>
        <w:t xml:space="preserve">Lorsque </w:t>
      </w:r>
      <w:r w:rsidRPr="00A011C6">
        <w:rPr>
          <w:lang w:val="fr-CA"/>
        </w:rPr>
        <w:t xml:space="preserve">les menaces </w:t>
      </w:r>
      <w:r>
        <w:rPr>
          <w:lang w:val="fr-CA"/>
        </w:rPr>
        <w:t xml:space="preserve">auront été proférées trop longtemps avant la perpétration des actes illégaux </w:t>
      </w:r>
      <w:r w:rsidRPr="00A011C6">
        <w:rPr>
          <w:lang w:val="fr-CA"/>
        </w:rPr>
        <w:t>par l</w:t>
      </w:r>
      <w:r>
        <w:rPr>
          <w:lang w:val="fr-CA"/>
        </w:rPr>
        <w:t>’</w:t>
      </w:r>
      <w:r w:rsidRPr="00A011C6">
        <w:rPr>
          <w:lang w:val="fr-CA"/>
        </w:rPr>
        <w:t>accusé, il sera difficile de conclure qu</w:t>
      </w:r>
      <w:r>
        <w:rPr>
          <w:lang w:val="fr-CA"/>
        </w:rPr>
        <w:t>’</w:t>
      </w:r>
      <w:r w:rsidRPr="00A011C6">
        <w:rPr>
          <w:lang w:val="fr-CA"/>
        </w:rPr>
        <w:t>une personne raisonnable se trouvant dans une situation similaire n</w:t>
      </w:r>
      <w:r>
        <w:rPr>
          <w:lang w:val="fr-CA"/>
        </w:rPr>
        <w:t>’aurait eu</w:t>
      </w:r>
      <w:r w:rsidRPr="00A011C6">
        <w:rPr>
          <w:lang w:val="fr-CA"/>
        </w:rPr>
        <w:t xml:space="preserve"> d</w:t>
      </w:r>
      <w:r>
        <w:rPr>
          <w:lang w:val="fr-CA"/>
        </w:rPr>
        <w:t>’</w:t>
      </w:r>
      <w:r w:rsidRPr="00A011C6">
        <w:rPr>
          <w:lang w:val="fr-CA"/>
        </w:rPr>
        <w:t>autre choix que de commettre l</w:t>
      </w:r>
      <w:r>
        <w:rPr>
          <w:lang w:val="fr-CA"/>
        </w:rPr>
        <w:t>’</w:t>
      </w:r>
      <w:r w:rsidRPr="00A011C6">
        <w:rPr>
          <w:lang w:val="fr-CA"/>
        </w:rPr>
        <w:t xml:space="preserve">infraction. </w:t>
      </w:r>
      <w:r>
        <w:rPr>
          <w:lang w:val="fr-CA"/>
        </w:rPr>
        <w:t xml:space="preserve"> </w:t>
      </w:r>
      <w:r w:rsidRPr="00A011C6">
        <w:rPr>
          <w:lang w:val="fr-CA"/>
        </w:rPr>
        <w:t>Le lien temporel entre les menaces et le préjudice que l</w:t>
      </w:r>
      <w:r>
        <w:rPr>
          <w:lang w:val="fr-CA"/>
        </w:rPr>
        <w:t>’</w:t>
      </w:r>
      <w:r w:rsidRPr="00A011C6">
        <w:rPr>
          <w:lang w:val="fr-CA"/>
        </w:rPr>
        <w:t xml:space="preserve">on menace de causer </w:t>
      </w:r>
      <w:r>
        <w:rPr>
          <w:lang w:val="fr-CA"/>
        </w:rPr>
        <w:t>devient</w:t>
      </w:r>
      <w:r w:rsidRPr="00A011C6">
        <w:rPr>
          <w:lang w:val="fr-CA"/>
        </w:rPr>
        <w:t xml:space="preserve"> nécessaire pour démontrer le degré de pression exercée sur l</w:t>
      </w:r>
      <w:r>
        <w:rPr>
          <w:lang w:val="fr-CA"/>
        </w:rPr>
        <w:t>’</w:t>
      </w:r>
      <w:r w:rsidRPr="00A011C6">
        <w:rPr>
          <w:lang w:val="fr-CA"/>
        </w:rPr>
        <w:t xml:space="preserve">accusé. </w:t>
      </w:r>
    </w:p>
    <w:p w:rsidR="00AF49CF" w:rsidRPr="00A011C6" w:rsidRDefault="00AF49CF" w:rsidP="00AF49CF">
      <w:pPr>
        <w:pStyle w:val="ParaNoNdepar-AltN"/>
        <w:rPr>
          <w:lang w:val="fr-CA"/>
        </w:rPr>
      </w:pPr>
      <w:r>
        <w:rPr>
          <w:lang w:val="fr-CA"/>
        </w:rPr>
        <w:t>Le deuxième objectif de</w:t>
      </w:r>
      <w:r w:rsidRPr="00A011C6">
        <w:rPr>
          <w:lang w:val="fr-CA"/>
        </w:rPr>
        <w:t xml:space="preserve"> </w:t>
      </w:r>
      <w:r>
        <w:rPr>
          <w:lang w:val="fr-CA"/>
        </w:rPr>
        <w:t>l</w:t>
      </w:r>
      <w:r w:rsidRPr="00847E6E">
        <w:rPr>
          <w:rFonts w:cs="Times New Roman"/>
          <w:lang w:val="fr-CA"/>
        </w:rPr>
        <w:t>’</w:t>
      </w:r>
      <w:r>
        <w:rPr>
          <w:lang w:val="fr-CA"/>
        </w:rPr>
        <w:t>exigence d</w:t>
      </w:r>
      <w:r w:rsidRPr="00847E6E">
        <w:rPr>
          <w:rFonts w:cs="Times New Roman"/>
          <w:lang w:val="fr-CA"/>
        </w:rPr>
        <w:t>’</w:t>
      </w:r>
      <w:r>
        <w:rPr>
          <w:lang w:val="fr-CA"/>
        </w:rPr>
        <w:t xml:space="preserve">un </w:t>
      </w:r>
      <w:r w:rsidRPr="00A011C6">
        <w:rPr>
          <w:lang w:val="fr-CA"/>
        </w:rPr>
        <w:t>lien temporel étroit est de s</w:t>
      </w:r>
      <w:r>
        <w:rPr>
          <w:lang w:val="fr-CA"/>
        </w:rPr>
        <w:t>’</w:t>
      </w:r>
      <w:r w:rsidRPr="00A011C6">
        <w:rPr>
          <w:lang w:val="fr-CA"/>
        </w:rPr>
        <w:t xml:space="preserve">assurer </w:t>
      </w:r>
      <w:r>
        <w:rPr>
          <w:lang w:val="fr-CA"/>
        </w:rPr>
        <w:t>du caractère raisonnable de la croyance</w:t>
      </w:r>
      <w:r w:rsidRPr="00A011C6">
        <w:rPr>
          <w:lang w:val="fr-CA"/>
        </w:rPr>
        <w:t xml:space="preserve"> que les menaces o</w:t>
      </w:r>
      <w:r>
        <w:rPr>
          <w:lang w:val="fr-CA"/>
        </w:rPr>
        <w:t>nt exercé tellement de pression</w:t>
      </w:r>
      <w:r w:rsidRPr="00A011C6">
        <w:rPr>
          <w:lang w:val="fr-CA"/>
        </w:rPr>
        <w:t xml:space="preserve"> sur l</w:t>
      </w:r>
      <w:r>
        <w:rPr>
          <w:lang w:val="fr-CA"/>
        </w:rPr>
        <w:t>’accusé qu</w:t>
      </w:r>
      <w:r w:rsidRPr="00847E6E">
        <w:rPr>
          <w:rFonts w:cs="Times New Roman"/>
          <w:lang w:val="fr-CA"/>
        </w:rPr>
        <w:t>’</w:t>
      </w:r>
      <w:r w:rsidRPr="00A011C6">
        <w:rPr>
          <w:lang w:val="fr-CA"/>
        </w:rPr>
        <w:t>entre le moment où ces menaces ont été proférées et</w:t>
      </w:r>
      <w:r>
        <w:rPr>
          <w:lang w:val="fr-CA"/>
        </w:rPr>
        <w:t xml:space="preserve"> celui de</w:t>
      </w:r>
      <w:r w:rsidRPr="00A011C6">
        <w:rPr>
          <w:lang w:val="fr-CA"/>
        </w:rPr>
        <w:t xml:space="preserve"> la perpétration de l</w:t>
      </w:r>
      <w:r>
        <w:rPr>
          <w:lang w:val="fr-CA"/>
        </w:rPr>
        <w:t>’</w:t>
      </w:r>
      <w:r w:rsidRPr="00A011C6">
        <w:rPr>
          <w:lang w:val="fr-CA"/>
        </w:rPr>
        <w:t>infraction, « l</w:t>
      </w:r>
      <w:r>
        <w:rPr>
          <w:lang w:val="fr-CA"/>
        </w:rPr>
        <w:t>’</w:t>
      </w:r>
      <w:r w:rsidRPr="00A011C6">
        <w:rPr>
          <w:lang w:val="fr-CA"/>
        </w:rPr>
        <w:t>accusé [est devenu] incapable d</w:t>
      </w:r>
      <w:r>
        <w:rPr>
          <w:lang w:val="fr-CA"/>
        </w:rPr>
        <w:t>’agir librement » </w:t>
      </w:r>
      <w:r w:rsidR="00062E82">
        <w:rPr>
          <w:lang w:val="fr-CA"/>
        </w:rPr>
        <w:t>(</w:t>
      </w:r>
      <w:r w:rsidRPr="00A011C6">
        <w:rPr>
          <w:i/>
          <w:lang w:val="fr-CA"/>
        </w:rPr>
        <w:t>Ruzic</w:t>
      </w:r>
      <w:r>
        <w:rPr>
          <w:lang w:val="fr-CA"/>
        </w:rPr>
        <w:t>, par. </w:t>
      </w:r>
      <w:r w:rsidRPr="00A011C6">
        <w:rPr>
          <w:lang w:val="fr-CA"/>
        </w:rPr>
        <w:t>65</w:t>
      </w:r>
      <w:r w:rsidR="00062E82">
        <w:rPr>
          <w:lang w:val="fr-CA"/>
        </w:rPr>
        <w:t>)</w:t>
      </w:r>
      <w:r>
        <w:rPr>
          <w:lang w:val="fr-CA"/>
        </w:rPr>
        <w:t>.  Dans ce cas, l</w:t>
      </w:r>
      <w:r w:rsidRPr="008E6224">
        <w:rPr>
          <w:rFonts w:cs="Times New Roman"/>
          <w:lang w:val="fr-CA"/>
        </w:rPr>
        <w:t>’</w:t>
      </w:r>
      <w:r>
        <w:rPr>
          <w:lang w:val="fr-CA"/>
        </w:rPr>
        <w:t>exigence permet donc de</w:t>
      </w:r>
      <w:r w:rsidRPr="00A011C6">
        <w:rPr>
          <w:lang w:val="fr-CA"/>
        </w:rPr>
        <w:t xml:space="preserve"> déterminer si l</w:t>
      </w:r>
      <w:r>
        <w:rPr>
          <w:lang w:val="fr-CA"/>
        </w:rPr>
        <w:t>’</w:t>
      </w:r>
      <w:r w:rsidRPr="00A011C6">
        <w:rPr>
          <w:lang w:val="fr-CA"/>
        </w:rPr>
        <w:t xml:space="preserve">accusé a vraiment agi de manière involontaire. </w:t>
      </w:r>
    </w:p>
    <w:p w:rsidR="00AF49CF" w:rsidRPr="00A011C6" w:rsidRDefault="00AF49CF" w:rsidP="00062E82">
      <w:pPr>
        <w:pStyle w:val="TitleTitre-AltT"/>
        <w:tabs>
          <w:tab w:val="clear" w:pos="360"/>
          <w:tab w:val="left" w:pos="1170"/>
        </w:tabs>
        <w:ind w:left="1710" w:hanging="1620"/>
        <w:rPr>
          <w:lang w:val="fr-CA"/>
        </w:rPr>
      </w:pPr>
      <w:r>
        <w:rPr>
          <w:lang w:val="fr-CA"/>
        </w:rPr>
        <w:tab/>
      </w:r>
      <w:r w:rsidRPr="00A011C6">
        <w:rPr>
          <w:lang w:val="fr-CA"/>
        </w:rPr>
        <w:t>e)</w:t>
      </w:r>
      <w:r>
        <w:rPr>
          <w:lang w:val="fr-CA"/>
        </w:rPr>
        <w:tab/>
      </w:r>
      <w:r w:rsidRPr="00847E6E">
        <w:rPr>
          <w:i/>
          <w:lang w:val="fr-CA"/>
        </w:rPr>
        <w:t>Proportionnalité</w:t>
      </w:r>
    </w:p>
    <w:p w:rsidR="00AF49CF" w:rsidRPr="00A011C6" w:rsidRDefault="00AF49CF" w:rsidP="00AF49CF">
      <w:pPr>
        <w:pStyle w:val="ParaNoNdepar-AltN"/>
        <w:rPr>
          <w:lang w:val="fr-CA"/>
        </w:rPr>
      </w:pPr>
      <w:r w:rsidRPr="00A011C6">
        <w:rPr>
          <w:lang w:val="fr-CA"/>
        </w:rPr>
        <w:t>La proportionnalité est inhérente au principe du caractère involontaire au sens mor</w:t>
      </w:r>
      <w:r>
        <w:rPr>
          <w:lang w:val="fr-CA"/>
        </w:rPr>
        <w:t>al. </w:t>
      </w:r>
      <w:r w:rsidRPr="00A011C6">
        <w:rPr>
          <w:lang w:val="fr-CA"/>
        </w:rPr>
        <w:t xml:space="preserve"> </w:t>
      </w:r>
      <w:r>
        <w:rPr>
          <w:lang w:val="fr-CA"/>
        </w:rPr>
        <w:t>« </w:t>
      </w:r>
      <w:r w:rsidRPr="00A011C6">
        <w:rPr>
          <w:lang w:val="fr-CA"/>
        </w:rPr>
        <w:t>[C]e caractère involontaire se mesure en fonction de ce que la société considère comme une résistance normal</w:t>
      </w:r>
      <w:r>
        <w:rPr>
          <w:lang w:val="fr-CA"/>
        </w:rPr>
        <w:t>e et appropriée à la pression » </w:t>
      </w:r>
      <w:r w:rsidR="00062E82">
        <w:rPr>
          <w:lang w:val="fr-CA"/>
        </w:rPr>
        <w:t>(</w:t>
      </w:r>
      <w:r w:rsidRPr="00EF646D">
        <w:rPr>
          <w:i/>
          <w:lang w:val="fr-CA"/>
        </w:rPr>
        <w:t>P</w:t>
      </w:r>
      <w:r w:rsidRPr="00A011C6">
        <w:rPr>
          <w:i/>
          <w:lang w:val="fr-CA"/>
        </w:rPr>
        <w:t>erka</w:t>
      </w:r>
      <w:r w:rsidRPr="00A011C6">
        <w:rPr>
          <w:lang w:val="fr-CA"/>
        </w:rPr>
        <w:t xml:space="preserve">, </w:t>
      </w:r>
      <w:r>
        <w:rPr>
          <w:lang w:val="fr-CA"/>
        </w:rPr>
        <w:t>p. </w:t>
      </w:r>
      <w:r w:rsidRPr="00A011C6">
        <w:rPr>
          <w:lang w:val="fr-CA"/>
        </w:rPr>
        <w:t>259</w:t>
      </w:r>
      <w:r w:rsidR="00062E82">
        <w:rPr>
          <w:lang w:val="fr-CA"/>
        </w:rPr>
        <w:t>)</w:t>
      </w:r>
      <w:r w:rsidRPr="00A011C6">
        <w:rPr>
          <w:lang w:val="fr-CA"/>
        </w:rPr>
        <w:t>.  Une partie de l</w:t>
      </w:r>
      <w:r>
        <w:rPr>
          <w:lang w:val="fr-CA"/>
        </w:rPr>
        <w:t>’</w:t>
      </w:r>
      <w:r w:rsidRPr="00A011C6">
        <w:rPr>
          <w:lang w:val="fr-CA"/>
        </w:rPr>
        <w:t xml:space="preserve">analyse consiste à déterminer si le préjudice </w:t>
      </w:r>
      <w:r>
        <w:rPr>
          <w:lang w:val="fr-CA"/>
        </w:rPr>
        <w:t xml:space="preserve">dont on a été menacé </w:t>
      </w:r>
      <w:r w:rsidRPr="00A011C6">
        <w:rPr>
          <w:lang w:val="fr-CA"/>
        </w:rPr>
        <w:t xml:space="preserve">est </w:t>
      </w:r>
      <w:r>
        <w:rPr>
          <w:lang w:val="fr-CA"/>
        </w:rPr>
        <w:t xml:space="preserve">au moins </w:t>
      </w:r>
      <w:r w:rsidRPr="00A011C6">
        <w:rPr>
          <w:lang w:val="fr-CA"/>
        </w:rPr>
        <w:t xml:space="preserve">aussi grave que le préjudice causé. </w:t>
      </w:r>
    </w:p>
    <w:p w:rsidR="00AF49CF" w:rsidRPr="00A011C6" w:rsidRDefault="00AF49CF" w:rsidP="00AF49CF">
      <w:pPr>
        <w:pStyle w:val="ParaNoNdepar-AltN"/>
        <w:rPr>
          <w:lang w:val="fr-CA"/>
        </w:rPr>
      </w:pPr>
      <w:r w:rsidRPr="00A011C6">
        <w:rPr>
          <w:lang w:val="fr-CA"/>
        </w:rPr>
        <w:t xml:space="preserve">Le critère qui permet de déterminer </w:t>
      </w:r>
      <w:r>
        <w:rPr>
          <w:lang w:val="fr-CA"/>
        </w:rPr>
        <w:t xml:space="preserve">le caractère </w:t>
      </w:r>
      <w:r w:rsidRPr="00A011C6">
        <w:rPr>
          <w:lang w:val="fr-CA"/>
        </w:rPr>
        <w:t xml:space="preserve">proportionnel </w:t>
      </w:r>
      <w:r>
        <w:rPr>
          <w:lang w:val="fr-CA"/>
        </w:rPr>
        <w:t>d’un acte</w:t>
      </w:r>
      <w:r w:rsidRPr="00A011C6">
        <w:rPr>
          <w:lang w:val="fr-CA"/>
        </w:rPr>
        <w:t xml:space="preserve"> comporte donc deux volets</w:t>
      </w:r>
      <w:r>
        <w:rPr>
          <w:lang w:val="fr-CA"/>
        </w:rPr>
        <w:t>.  Le</w:t>
      </w:r>
      <w:r w:rsidRPr="00A011C6">
        <w:rPr>
          <w:lang w:val="fr-CA"/>
        </w:rPr>
        <w:t xml:space="preserve"> juge Dickson</w:t>
      </w:r>
      <w:r>
        <w:rPr>
          <w:lang w:val="fr-CA"/>
        </w:rPr>
        <w:t xml:space="preserve"> </w:t>
      </w:r>
      <w:r w:rsidR="00777ED2">
        <w:rPr>
          <w:lang w:val="fr-CA"/>
        </w:rPr>
        <w:t xml:space="preserve">a </w:t>
      </w:r>
      <w:r>
        <w:rPr>
          <w:lang w:val="fr-CA"/>
        </w:rPr>
        <w:t>expliqué ce critère</w:t>
      </w:r>
      <w:r w:rsidRPr="00A011C6">
        <w:rPr>
          <w:lang w:val="fr-CA"/>
        </w:rPr>
        <w:t xml:space="preserve"> dans</w:t>
      </w:r>
      <w:r>
        <w:rPr>
          <w:lang w:val="fr-CA"/>
        </w:rPr>
        <w:t xml:space="preserve"> l</w:t>
      </w:r>
      <w:r w:rsidRPr="007266A9">
        <w:rPr>
          <w:rFonts w:cs="Times New Roman"/>
          <w:lang w:val="fr-CA"/>
        </w:rPr>
        <w:t>’</w:t>
      </w:r>
      <w:r>
        <w:rPr>
          <w:lang w:val="fr-CA"/>
        </w:rPr>
        <w:t>arrêt</w:t>
      </w:r>
      <w:r w:rsidRPr="00A011C6">
        <w:rPr>
          <w:lang w:val="fr-CA"/>
        </w:rPr>
        <w:t xml:space="preserve"> </w:t>
      </w:r>
      <w:r w:rsidRPr="00A011C6">
        <w:rPr>
          <w:i/>
          <w:lang w:val="fr-CA"/>
        </w:rPr>
        <w:t>Perka</w:t>
      </w:r>
      <w:r>
        <w:rPr>
          <w:lang w:val="fr-CA"/>
        </w:rPr>
        <w:t>, p. </w:t>
      </w:r>
      <w:r w:rsidRPr="00A011C6">
        <w:rPr>
          <w:lang w:val="fr-CA"/>
        </w:rPr>
        <w:t>252</w:t>
      </w:r>
      <w:r>
        <w:rPr>
          <w:lang w:val="fr-CA"/>
        </w:rPr>
        <w:t> :</w:t>
      </w:r>
    </w:p>
    <w:p w:rsidR="00AF49CF" w:rsidRDefault="00AF49CF" w:rsidP="00AF49CF">
      <w:pPr>
        <w:pStyle w:val="Citation-AltC"/>
        <w:spacing w:after="240"/>
        <w:ind w:hanging="1166"/>
        <w:contextualSpacing w:val="0"/>
        <w:rPr>
          <w:lang w:val="fr-CA"/>
        </w:rPr>
      </w:pPr>
      <w:r>
        <w:rPr>
          <w:lang w:val="fr-CA"/>
        </w:rPr>
        <w:tab/>
      </w:r>
      <w:r w:rsidRPr="00A011C6">
        <w:rPr>
          <w:lang w:val="fr-CA"/>
        </w:rPr>
        <w:t>Il doit y avoir un moyen quelconque d</w:t>
      </w:r>
      <w:r>
        <w:rPr>
          <w:lang w:val="fr-CA"/>
        </w:rPr>
        <w:t>’</w:t>
      </w:r>
      <w:r w:rsidRPr="00A011C6">
        <w:rPr>
          <w:lang w:val="fr-CA"/>
        </w:rPr>
        <w:t>assurer la proportionnalité</w:t>
      </w:r>
      <w:r>
        <w:rPr>
          <w:lang w:val="fr-CA"/>
        </w:rPr>
        <w:t xml:space="preserve">.  </w:t>
      </w:r>
      <w:r w:rsidRPr="00A011C6">
        <w:rPr>
          <w:lang w:val="fr-CA"/>
        </w:rPr>
        <w:t>Aucun système raisonnable de justice criminelle, si libéral et humanitaire soit</w:t>
      </w:r>
      <w:r>
        <w:rPr>
          <w:lang w:val="fr-CA"/>
        </w:rPr>
        <w:noBreakHyphen/>
      </w:r>
      <w:r w:rsidRPr="00A011C6">
        <w:rPr>
          <w:lang w:val="fr-CA"/>
        </w:rPr>
        <w:t xml:space="preserve">il, </w:t>
      </w:r>
      <w:r w:rsidRPr="00A011C6">
        <w:rPr>
          <w:u w:val="single"/>
          <w:lang w:val="fr-CA"/>
        </w:rPr>
        <w:t>ne pourrait excuser l</w:t>
      </w:r>
      <w:r>
        <w:rPr>
          <w:u w:val="single"/>
          <w:lang w:val="fr-CA"/>
        </w:rPr>
        <w:t>’</w:t>
      </w:r>
      <w:r w:rsidRPr="00A011C6">
        <w:rPr>
          <w:u w:val="single"/>
          <w:lang w:val="fr-CA"/>
        </w:rPr>
        <w:t>imposition d</w:t>
      </w:r>
      <w:r>
        <w:rPr>
          <w:u w:val="single"/>
          <w:lang w:val="fr-CA"/>
        </w:rPr>
        <w:t>’</w:t>
      </w:r>
      <w:r w:rsidRPr="00A011C6">
        <w:rPr>
          <w:u w:val="single"/>
          <w:lang w:val="fr-CA"/>
        </w:rPr>
        <w:t>un mal plus grand afin de permettre à l</w:t>
      </w:r>
      <w:r>
        <w:rPr>
          <w:u w:val="single"/>
          <w:lang w:val="fr-CA"/>
        </w:rPr>
        <w:t>’</w:t>
      </w:r>
      <w:r w:rsidRPr="00A011C6">
        <w:rPr>
          <w:u w:val="single"/>
          <w:lang w:val="fr-CA"/>
        </w:rPr>
        <w:t>auteur de l</w:t>
      </w:r>
      <w:r>
        <w:rPr>
          <w:u w:val="single"/>
          <w:lang w:val="fr-CA"/>
        </w:rPr>
        <w:t>’</w:t>
      </w:r>
      <w:r w:rsidRPr="00A011C6">
        <w:rPr>
          <w:u w:val="single"/>
          <w:lang w:val="fr-CA"/>
        </w:rPr>
        <w:t>acte d</w:t>
      </w:r>
      <w:r>
        <w:rPr>
          <w:u w:val="single"/>
          <w:lang w:val="fr-CA"/>
        </w:rPr>
        <w:t>’</w:t>
      </w:r>
      <w:r w:rsidRPr="00A011C6">
        <w:rPr>
          <w:u w:val="single"/>
          <w:lang w:val="fr-CA"/>
        </w:rPr>
        <w:t>éviter un moindre m</w:t>
      </w:r>
      <w:r>
        <w:rPr>
          <w:u w:val="single"/>
          <w:lang w:val="fr-CA"/>
        </w:rPr>
        <w:t>al</w:t>
      </w:r>
      <w:r w:rsidRPr="00AB5D55">
        <w:rPr>
          <w:lang w:val="fr-CA"/>
        </w:rPr>
        <w:t>. </w:t>
      </w:r>
      <w:r w:rsidRPr="00A011C6">
        <w:rPr>
          <w:lang w:val="fr-CA"/>
        </w:rPr>
        <w:t>[</w:t>
      </w:r>
      <w:r>
        <w:rPr>
          <w:lang w:val="fr-CA"/>
        </w:rPr>
        <w:t>. . .</w:t>
      </w:r>
      <w:r w:rsidRPr="00A011C6">
        <w:rPr>
          <w:lang w:val="fr-CA"/>
        </w:rPr>
        <w:t>]</w:t>
      </w:r>
      <w:r>
        <w:rPr>
          <w:lang w:val="fr-CA"/>
        </w:rPr>
        <w:t xml:space="preserve"> </w:t>
      </w:r>
      <w:r w:rsidRPr="00A011C6">
        <w:rPr>
          <w:lang w:val="fr-CA"/>
        </w:rPr>
        <w:t xml:space="preserve"> Selon Fletcher, cette exigence se rattache aussi à la notion du caractère volontaire </w:t>
      </w:r>
      <w:r w:rsidR="001F726D">
        <w:rPr>
          <w:lang w:val="fr-CA"/>
        </w:rPr>
        <w:t>[</w:t>
      </w:r>
      <w:r w:rsidRPr="00A011C6">
        <w:rPr>
          <w:lang w:val="fr-CA"/>
        </w:rPr>
        <w:t>(</w:t>
      </w:r>
      <w:r>
        <w:rPr>
          <w:lang w:val="fr-CA"/>
        </w:rPr>
        <w:t xml:space="preserve">G. P. Fletcher, </w:t>
      </w:r>
      <w:r w:rsidRPr="0062321B">
        <w:rPr>
          <w:i/>
          <w:lang w:val="fr-CA"/>
        </w:rPr>
        <w:t>Rethinking Criminal Law</w:t>
      </w:r>
      <w:r>
        <w:rPr>
          <w:lang w:val="fr-CA"/>
        </w:rPr>
        <w:t xml:space="preserve"> (1978),</w:t>
      </w:r>
      <w:r w:rsidRPr="00A011C6">
        <w:rPr>
          <w:lang w:val="fr-CA"/>
        </w:rPr>
        <w:t xml:space="preserve"> </w:t>
      </w:r>
      <w:r>
        <w:rPr>
          <w:lang w:val="fr-CA"/>
        </w:rPr>
        <w:t>p. </w:t>
      </w:r>
      <w:r w:rsidRPr="00A011C6">
        <w:rPr>
          <w:lang w:val="fr-CA"/>
        </w:rPr>
        <w:t>804)</w:t>
      </w:r>
      <w:r w:rsidR="001F726D">
        <w:rPr>
          <w:lang w:val="fr-CA"/>
        </w:rPr>
        <w:t>]</w:t>
      </w:r>
      <w:r>
        <w:rPr>
          <w:lang w:val="fr-CA"/>
        </w:rPr>
        <w:t> :</w:t>
      </w:r>
    </w:p>
    <w:p w:rsidR="00AF49CF" w:rsidRPr="00A011C6" w:rsidRDefault="00AF49CF" w:rsidP="00AF49CF">
      <w:pPr>
        <w:pStyle w:val="Citation-AltC"/>
        <w:ind w:left="1168" w:hanging="1168"/>
        <w:contextualSpacing w:val="0"/>
        <w:rPr>
          <w:szCs w:val="24"/>
          <w:lang w:val="fr-CA"/>
        </w:rPr>
      </w:pPr>
      <w:r>
        <w:rPr>
          <w:lang w:val="fr-CA"/>
        </w:rPr>
        <w:tab/>
      </w:r>
      <w:r w:rsidR="00AB5D55">
        <w:rPr>
          <w:lang w:val="fr-CA"/>
        </w:rPr>
        <w:t>[</w:t>
      </w:r>
      <w:r w:rsidR="00AB5D55" w:rsidRPr="00AB5D55">
        <w:rPr>
          <w:smallCaps/>
          <w:lang w:val="fr-CA"/>
        </w:rPr>
        <w:t>traduction</w:t>
      </w:r>
      <w:r w:rsidR="00AB5D55">
        <w:rPr>
          <w:lang w:val="fr-CA"/>
        </w:rPr>
        <w:t xml:space="preserve">] . . . </w:t>
      </w:r>
      <w:r w:rsidRPr="00A011C6">
        <w:rPr>
          <w:lang w:val="fr-CA"/>
        </w:rPr>
        <w:t>si l</w:t>
      </w:r>
      <w:r>
        <w:rPr>
          <w:lang w:val="fr-CA"/>
        </w:rPr>
        <w:t>’</w:t>
      </w:r>
      <w:r w:rsidRPr="00A011C6">
        <w:rPr>
          <w:lang w:val="fr-CA"/>
        </w:rPr>
        <w:t>écart entre le mal causé et l</w:t>
      </w:r>
      <w:r>
        <w:rPr>
          <w:lang w:val="fr-CA"/>
        </w:rPr>
        <w:t>’</w:t>
      </w:r>
      <w:r w:rsidRPr="00A011C6">
        <w:rPr>
          <w:lang w:val="fr-CA"/>
        </w:rPr>
        <w:t>avantage tiré devient trop considérable, l</w:t>
      </w:r>
      <w:r>
        <w:rPr>
          <w:lang w:val="fr-CA"/>
        </w:rPr>
        <w:t>’</w:t>
      </w:r>
      <w:r w:rsidRPr="00A011C6">
        <w:rPr>
          <w:lang w:val="fr-CA"/>
        </w:rPr>
        <w:t>acte sera plus susceptible d</w:t>
      </w:r>
      <w:r>
        <w:rPr>
          <w:lang w:val="fr-CA"/>
        </w:rPr>
        <w:t>’</w:t>
      </w:r>
      <w:r w:rsidRPr="00A011C6">
        <w:rPr>
          <w:lang w:val="fr-CA"/>
        </w:rPr>
        <w:t>être considéré comme volontaire et donc inexcusable. [</w:t>
      </w:r>
      <w:r>
        <w:rPr>
          <w:lang w:val="fr-CA"/>
        </w:rPr>
        <w:t>. . .</w:t>
      </w:r>
      <w:r w:rsidRPr="00A011C6">
        <w:rPr>
          <w:lang w:val="fr-CA"/>
        </w:rPr>
        <w:t xml:space="preserve">] </w:t>
      </w:r>
      <w:r>
        <w:rPr>
          <w:lang w:val="fr-CA"/>
        </w:rPr>
        <w:t xml:space="preserve"> </w:t>
      </w:r>
      <w:r w:rsidRPr="00A011C6">
        <w:rPr>
          <w:lang w:val="fr-CA"/>
        </w:rPr>
        <w:t>La détermination de ce seuil relève manifestement d</w:t>
      </w:r>
      <w:r>
        <w:rPr>
          <w:lang w:val="fr-CA"/>
        </w:rPr>
        <w:t>’</w:t>
      </w:r>
      <w:r w:rsidRPr="00A011C6">
        <w:rPr>
          <w:lang w:val="fr-CA"/>
        </w:rPr>
        <w:t xml:space="preserve">une </w:t>
      </w:r>
      <w:r w:rsidRPr="00A011C6">
        <w:rPr>
          <w:u w:val="single"/>
          <w:lang w:val="fr-CA"/>
        </w:rPr>
        <w:t>appréciation morale de ce à quoi on s</w:t>
      </w:r>
      <w:r>
        <w:rPr>
          <w:u w:val="single"/>
          <w:lang w:val="fr-CA"/>
        </w:rPr>
        <w:t>’</w:t>
      </w:r>
      <w:r w:rsidRPr="00A011C6">
        <w:rPr>
          <w:u w:val="single"/>
          <w:lang w:val="fr-CA"/>
        </w:rPr>
        <w:t>attend qu</w:t>
      </w:r>
      <w:r>
        <w:rPr>
          <w:u w:val="single"/>
          <w:lang w:val="fr-CA"/>
        </w:rPr>
        <w:t>’</w:t>
      </w:r>
      <w:r w:rsidRPr="00A011C6">
        <w:rPr>
          <w:u w:val="single"/>
          <w:lang w:val="fr-CA"/>
        </w:rPr>
        <w:t>une personne puisse résister dans des situations difficiles</w:t>
      </w:r>
      <w:r w:rsidRPr="00A011C6">
        <w:rPr>
          <w:lang w:val="fr-CA"/>
        </w:rPr>
        <w:t xml:space="preserve">. </w:t>
      </w:r>
      <w:r>
        <w:rPr>
          <w:lang w:val="fr-CA"/>
        </w:rPr>
        <w:t xml:space="preserve"> </w:t>
      </w:r>
      <w:r w:rsidRPr="00A011C6">
        <w:rPr>
          <w:lang w:val="fr-CA"/>
        </w:rPr>
        <w:t>Un moyen utile d</w:t>
      </w:r>
      <w:r>
        <w:rPr>
          <w:lang w:val="fr-CA"/>
        </w:rPr>
        <w:t>’</w:t>
      </w:r>
      <w:r w:rsidRPr="00A011C6">
        <w:rPr>
          <w:lang w:val="fr-CA"/>
        </w:rPr>
        <w:t>effectuer cette appréciation consiste à comparer les intérêts opposés qui sont en jeu et à évaluer la mesure dans laquelle le mal causé par une personne dépasse l</w:t>
      </w:r>
      <w:r>
        <w:rPr>
          <w:lang w:val="fr-CA"/>
        </w:rPr>
        <w:t>’</w:t>
      </w:r>
      <w:r w:rsidRPr="00A011C6">
        <w:rPr>
          <w:lang w:val="fr-CA"/>
        </w:rPr>
        <w:t xml:space="preserve">avantage qui découle de son acte. </w:t>
      </w:r>
      <w:r>
        <w:rPr>
          <w:lang w:val="fr-CA"/>
        </w:rPr>
        <w:t xml:space="preserve"> </w:t>
      </w:r>
      <w:r w:rsidRPr="00A011C6">
        <w:rPr>
          <w:szCs w:val="24"/>
          <w:lang w:val="fr-CA"/>
        </w:rPr>
        <w:t>[No</w:t>
      </w:r>
      <w:r>
        <w:rPr>
          <w:szCs w:val="24"/>
          <w:lang w:val="fr-CA"/>
        </w:rPr>
        <w:t>us</w:t>
      </w:r>
      <w:r w:rsidRPr="00A011C6">
        <w:rPr>
          <w:szCs w:val="24"/>
          <w:lang w:val="fr-CA"/>
        </w:rPr>
        <w:t xml:space="preserve"> soulign</w:t>
      </w:r>
      <w:r>
        <w:rPr>
          <w:szCs w:val="24"/>
          <w:lang w:val="fr-CA"/>
        </w:rPr>
        <w:t>ons</w:t>
      </w:r>
      <w:r w:rsidRPr="00A011C6">
        <w:rPr>
          <w:szCs w:val="24"/>
          <w:lang w:val="fr-CA"/>
        </w:rPr>
        <w:t>.]</w:t>
      </w:r>
    </w:p>
    <w:p w:rsidR="00AF49CF" w:rsidRPr="00A011C6" w:rsidRDefault="00AF49CF" w:rsidP="00AF49CF">
      <w:pPr>
        <w:pStyle w:val="ParaNoNdepar-AltN"/>
        <w:rPr>
          <w:lang w:val="fr-CA"/>
        </w:rPr>
      </w:pPr>
      <w:r w:rsidRPr="001C1712">
        <w:rPr>
          <w:lang w:val="fr-CA"/>
        </w:rPr>
        <w:t xml:space="preserve">En d’autres termes, le « caractère volontaire au sens moral » d’un acte dépend de sa proportionnalité au préjudice </w:t>
      </w:r>
      <w:r>
        <w:rPr>
          <w:lang w:val="fr-CA"/>
        </w:rPr>
        <w:t>dont on est menacé</w:t>
      </w:r>
      <w:r w:rsidRPr="001C1712">
        <w:rPr>
          <w:lang w:val="fr-CA"/>
        </w:rPr>
        <w:t>.  Pour déterminer si l’exigence de la proportionnalité est satisfaite, deux éléments doivent être pris en compte</w:t>
      </w:r>
      <w:r>
        <w:rPr>
          <w:lang w:val="fr-CA"/>
        </w:rPr>
        <w:t> :</w:t>
      </w:r>
      <w:r w:rsidRPr="001C1712">
        <w:rPr>
          <w:lang w:val="fr-CA"/>
        </w:rPr>
        <w:t xml:space="preserve"> d</w:t>
      </w:r>
      <w:r w:rsidRPr="001C1712">
        <w:rPr>
          <w:rFonts w:cs="Times New Roman"/>
          <w:lang w:val="fr-CA"/>
        </w:rPr>
        <w:t>’</w:t>
      </w:r>
      <w:r w:rsidRPr="001C1712">
        <w:rPr>
          <w:lang w:val="fr-CA"/>
        </w:rPr>
        <w:t>abord, la différence</w:t>
      </w:r>
      <w:r w:rsidRPr="00A011C6">
        <w:rPr>
          <w:lang w:val="fr-CA"/>
        </w:rPr>
        <w:t xml:space="preserve"> entre la nature et l</w:t>
      </w:r>
      <w:r>
        <w:rPr>
          <w:lang w:val="fr-CA"/>
        </w:rPr>
        <w:t>a gravité</w:t>
      </w:r>
      <w:r w:rsidRPr="00A011C6">
        <w:rPr>
          <w:lang w:val="fr-CA"/>
        </w:rPr>
        <w:t xml:space="preserve"> du préjudice </w:t>
      </w:r>
      <w:r>
        <w:rPr>
          <w:lang w:val="fr-CA"/>
        </w:rPr>
        <w:t>dont on est menacé, d</w:t>
      </w:r>
      <w:r w:rsidRPr="00E42216">
        <w:rPr>
          <w:rFonts w:cs="Times New Roman"/>
          <w:lang w:val="fr-CA"/>
        </w:rPr>
        <w:t>’</w:t>
      </w:r>
      <w:r>
        <w:rPr>
          <w:lang w:val="fr-CA"/>
        </w:rPr>
        <w:t xml:space="preserve">une part, </w:t>
      </w:r>
      <w:r w:rsidRPr="00A011C6">
        <w:rPr>
          <w:lang w:val="fr-CA"/>
        </w:rPr>
        <w:t>et</w:t>
      </w:r>
      <w:r>
        <w:rPr>
          <w:lang w:val="fr-CA"/>
        </w:rPr>
        <w:t xml:space="preserve"> </w:t>
      </w:r>
      <w:r w:rsidRPr="00A011C6">
        <w:rPr>
          <w:lang w:val="fr-CA"/>
        </w:rPr>
        <w:t>la nature et l</w:t>
      </w:r>
      <w:r>
        <w:rPr>
          <w:lang w:val="fr-CA"/>
        </w:rPr>
        <w:t>a gravité</w:t>
      </w:r>
      <w:r w:rsidRPr="00A011C6">
        <w:rPr>
          <w:lang w:val="fr-CA"/>
        </w:rPr>
        <w:t xml:space="preserve"> de l</w:t>
      </w:r>
      <w:r>
        <w:rPr>
          <w:lang w:val="fr-CA"/>
        </w:rPr>
        <w:t>’</w:t>
      </w:r>
      <w:r w:rsidRPr="00A011C6">
        <w:rPr>
          <w:lang w:val="fr-CA"/>
        </w:rPr>
        <w:t>infraction commise</w:t>
      </w:r>
      <w:r w:rsidRPr="00172E5D">
        <w:rPr>
          <w:lang w:val="fr-CA"/>
        </w:rPr>
        <w:t xml:space="preserve"> </w:t>
      </w:r>
      <w:r>
        <w:rPr>
          <w:lang w:val="fr-CA"/>
        </w:rPr>
        <w:t>puis</w:t>
      </w:r>
      <w:r w:rsidRPr="00A011C6">
        <w:rPr>
          <w:lang w:val="fr-CA"/>
        </w:rPr>
        <w:t>,</w:t>
      </w:r>
      <w:r>
        <w:rPr>
          <w:lang w:val="fr-CA"/>
        </w:rPr>
        <w:t xml:space="preserve"> d</w:t>
      </w:r>
      <w:r w:rsidRPr="00E42216">
        <w:rPr>
          <w:rFonts w:cs="Times New Roman"/>
          <w:lang w:val="fr-CA"/>
        </w:rPr>
        <w:t>’</w:t>
      </w:r>
      <w:r>
        <w:rPr>
          <w:lang w:val="fr-CA"/>
        </w:rPr>
        <w:t>autre part,</w:t>
      </w:r>
      <w:r w:rsidRPr="00A011C6">
        <w:rPr>
          <w:lang w:val="fr-CA"/>
        </w:rPr>
        <w:t xml:space="preserve"> un jugement moral général </w:t>
      </w:r>
      <w:r>
        <w:rPr>
          <w:lang w:val="fr-CA"/>
        </w:rPr>
        <w:t>sur</w:t>
      </w:r>
      <w:r w:rsidRPr="00A011C6">
        <w:rPr>
          <w:lang w:val="fr-CA"/>
        </w:rPr>
        <w:t xml:space="preserve"> le comportement de l</w:t>
      </w:r>
      <w:r>
        <w:rPr>
          <w:lang w:val="fr-CA"/>
        </w:rPr>
        <w:t>’</w:t>
      </w:r>
      <w:r w:rsidRPr="00A011C6">
        <w:rPr>
          <w:lang w:val="fr-CA"/>
        </w:rPr>
        <w:t>accusé dans les circonstances</w:t>
      </w:r>
      <w:r>
        <w:rPr>
          <w:lang w:val="fr-CA"/>
        </w:rPr>
        <w:t xml:space="preserve">.  </w:t>
      </w:r>
      <w:r w:rsidRPr="00A011C6">
        <w:rPr>
          <w:lang w:val="fr-CA"/>
        </w:rPr>
        <w:t xml:space="preserve">Ces éléments doivent </w:t>
      </w:r>
      <w:r>
        <w:rPr>
          <w:lang w:val="fr-CA"/>
        </w:rPr>
        <w:t>être évalués conjointement, en fonction d</w:t>
      </w:r>
      <w:r w:rsidRPr="00844866">
        <w:rPr>
          <w:rFonts w:cs="Times New Roman"/>
          <w:lang w:val="fr-CA"/>
        </w:rPr>
        <w:t>’</w:t>
      </w:r>
      <w:r w:rsidRPr="00A011C6">
        <w:rPr>
          <w:lang w:val="fr-CA"/>
        </w:rPr>
        <w:t xml:space="preserve">une norme objective modifiée. </w:t>
      </w:r>
    </w:p>
    <w:p w:rsidR="00AF49CF" w:rsidRPr="00A011C6" w:rsidRDefault="00AF49CF" w:rsidP="00AF49CF">
      <w:pPr>
        <w:pStyle w:val="ParaNoNdepar-AltN"/>
        <w:rPr>
          <w:lang w:val="fr-CA"/>
        </w:rPr>
      </w:pPr>
      <w:r w:rsidRPr="00A011C6">
        <w:rPr>
          <w:lang w:val="fr-CA"/>
        </w:rPr>
        <w:t xml:space="preserve">Le premier élément </w:t>
      </w:r>
      <w:r>
        <w:rPr>
          <w:lang w:val="fr-CA"/>
        </w:rPr>
        <w:t xml:space="preserve">relatif à </w:t>
      </w:r>
      <w:r w:rsidRPr="00A011C6">
        <w:rPr>
          <w:lang w:val="fr-CA"/>
        </w:rPr>
        <w:t>la proportionnalité exige que le préjudice que l</w:t>
      </w:r>
      <w:r>
        <w:rPr>
          <w:lang w:val="fr-CA"/>
        </w:rPr>
        <w:t>’</w:t>
      </w:r>
      <w:r w:rsidRPr="00A011C6">
        <w:rPr>
          <w:lang w:val="fr-CA"/>
        </w:rPr>
        <w:t xml:space="preserve">on </w:t>
      </w:r>
      <w:r>
        <w:rPr>
          <w:lang w:val="fr-CA"/>
        </w:rPr>
        <w:t>a menacé</w:t>
      </w:r>
      <w:r w:rsidRPr="00A011C6">
        <w:rPr>
          <w:lang w:val="fr-CA"/>
        </w:rPr>
        <w:t xml:space="preserve"> de causer soit </w:t>
      </w:r>
      <w:r>
        <w:rPr>
          <w:lang w:val="fr-CA"/>
        </w:rPr>
        <w:t xml:space="preserve">au moins </w:t>
      </w:r>
      <w:r w:rsidRPr="00A011C6">
        <w:rPr>
          <w:lang w:val="fr-CA"/>
        </w:rPr>
        <w:t xml:space="preserve">égal </w:t>
      </w:r>
      <w:r>
        <w:rPr>
          <w:lang w:val="fr-CA"/>
        </w:rPr>
        <w:t xml:space="preserve">au </w:t>
      </w:r>
      <w:r w:rsidRPr="00A011C6">
        <w:rPr>
          <w:lang w:val="fr-CA"/>
        </w:rPr>
        <w:t>préjudice infligé</w:t>
      </w:r>
      <w:r>
        <w:rPr>
          <w:lang w:val="fr-CA"/>
        </w:rPr>
        <w:t xml:space="preserve"> </w:t>
      </w:r>
      <w:r w:rsidRPr="00A011C6">
        <w:rPr>
          <w:lang w:val="fr-CA"/>
        </w:rPr>
        <w:t>par l</w:t>
      </w:r>
      <w:r>
        <w:rPr>
          <w:lang w:val="fr-CA"/>
        </w:rPr>
        <w:t>’</w:t>
      </w:r>
      <w:r w:rsidRPr="00A011C6">
        <w:rPr>
          <w:lang w:val="fr-CA"/>
        </w:rPr>
        <w:t xml:space="preserve">accusé </w:t>
      </w:r>
      <w:r>
        <w:rPr>
          <w:lang w:val="fr-CA"/>
        </w:rPr>
        <w:t>(</w:t>
      </w:r>
      <w:r w:rsidRPr="00A011C6">
        <w:rPr>
          <w:i/>
          <w:lang w:val="fr-CA"/>
        </w:rPr>
        <w:t>Ruzic</w:t>
      </w:r>
      <w:r>
        <w:rPr>
          <w:lang w:val="fr-CA"/>
        </w:rPr>
        <w:t>, par. </w:t>
      </w:r>
      <w:r w:rsidRPr="00A011C6">
        <w:rPr>
          <w:lang w:val="fr-CA"/>
        </w:rPr>
        <w:t xml:space="preserve">62; voir également </w:t>
      </w:r>
      <w:r w:rsidRPr="00A011C6">
        <w:rPr>
          <w:i/>
          <w:lang w:val="fr-CA"/>
        </w:rPr>
        <w:t>R. c. Latimer</w:t>
      </w:r>
      <w:r w:rsidRPr="00A011C6">
        <w:rPr>
          <w:lang w:val="fr-CA"/>
        </w:rPr>
        <w:t>,</w:t>
      </w:r>
      <w:r>
        <w:rPr>
          <w:lang w:val="fr-CA"/>
        </w:rPr>
        <w:t xml:space="preserve"> </w:t>
      </w:r>
      <w:r w:rsidRPr="0010707F">
        <w:rPr>
          <w:lang w:val="fr-CA"/>
        </w:rPr>
        <w:t>2001 CSC 1,</w:t>
      </w:r>
      <w:r w:rsidRPr="00A011C6">
        <w:rPr>
          <w:lang w:val="fr-CA"/>
        </w:rPr>
        <w:t xml:space="preserve"> [2001] 1 R.C.S.</w:t>
      </w:r>
      <w:r>
        <w:rPr>
          <w:lang w:val="fr-CA"/>
        </w:rPr>
        <w:t xml:space="preserve"> 3, par. </w:t>
      </w:r>
      <w:r w:rsidRPr="00A011C6">
        <w:rPr>
          <w:lang w:val="fr-CA"/>
        </w:rPr>
        <w:t>31</w:t>
      </w:r>
      <w:r>
        <w:rPr>
          <w:lang w:val="fr-CA"/>
        </w:rPr>
        <w:t xml:space="preserve">).  </w:t>
      </w:r>
      <w:r w:rsidRPr="00A011C6">
        <w:rPr>
          <w:lang w:val="fr-CA"/>
        </w:rPr>
        <w:t>Le deuxième élément exige que l</w:t>
      </w:r>
      <w:r>
        <w:rPr>
          <w:lang w:val="fr-CA"/>
        </w:rPr>
        <w:t>’</w:t>
      </w:r>
      <w:r w:rsidRPr="00A011C6">
        <w:rPr>
          <w:lang w:val="fr-CA"/>
        </w:rPr>
        <w:t>on analyse de façon plus approfondie les actes de l</w:t>
      </w:r>
      <w:r>
        <w:rPr>
          <w:lang w:val="fr-CA"/>
        </w:rPr>
        <w:t>’</w:t>
      </w:r>
      <w:r w:rsidRPr="00A011C6">
        <w:rPr>
          <w:lang w:val="fr-CA"/>
        </w:rPr>
        <w:t>accusé et que l</w:t>
      </w:r>
      <w:r>
        <w:rPr>
          <w:lang w:val="fr-CA"/>
        </w:rPr>
        <w:t xml:space="preserve">’on évalue leur conformité avec les attentes de la </w:t>
      </w:r>
      <w:r w:rsidRPr="00A011C6">
        <w:rPr>
          <w:lang w:val="fr-CA"/>
        </w:rPr>
        <w:t>société</w:t>
      </w:r>
      <w:r>
        <w:rPr>
          <w:lang w:val="fr-CA"/>
        </w:rPr>
        <w:t xml:space="preserve"> à l</w:t>
      </w:r>
      <w:r w:rsidRPr="0010707F">
        <w:rPr>
          <w:rFonts w:cs="Times New Roman"/>
          <w:lang w:val="fr-CA"/>
        </w:rPr>
        <w:t>’</w:t>
      </w:r>
      <w:r>
        <w:rPr>
          <w:lang w:val="fr-CA"/>
        </w:rPr>
        <w:t>égard</w:t>
      </w:r>
      <w:r w:rsidRPr="00A011C6">
        <w:rPr>
          <w:lang w:val="fr-CA"/>
        </w:rPr>
        <w:t xml:space="preserve"> d</w:t>
      </w:r>
      <w:r>
        <w:rPr>
          <w:lang w:val="fr-CA"/>
        </w:rPr>
        <w:t>’une personne raisonnable se trouvant</w:t>
      </w:r>
      <w:r w:rsidRPr="00A011C6">
        <w:rPr>
          <w:lang w:val="fr-CA"/>
        </w:rPr>
        <w:t xml:space="preserve"> dans une situation similaire.  C</w:t>
      </w:r>
      <w:r>
        <w:rPr>
          <w:lang w:val="fr-CA"/>
        </w:rPr>
        <w:t>’</w:t>
      </w:r>
      <w:r w:rsidRPr="00A011C6">
        <w:rPr>
          <w:lang w:val="fr-CA"/>
        </w:rPr>
        <w:t>est à cette étape que nous examinons si l</w:t>
      </w:r>
      <w:r>
        <w:rPr>
          <w:lang w:val="fr-CA"/>
        </w:rPr>
        <w:t>’</w:t>
      </w:r>
      <w:r w:rsidRPr="00A011C6">
        <w:rPr>
          <w:lang w:val="fr-CA"/>
        </w:rPr>
        <w:t xml:space="preserve">accusé a opposé une résistance « normale » aux menaces proférées.  </w:t>
      </w:r>
      <w:r>
        <w:rPr>
          <w:lang w:val="fr-CA"/>
        </w:rPr>
        <w:t>Puisque le moyen de défense fondé</w:t>
      </w:r>
      <w:r w:rsidRPr="00A011C6">
        <w:rPr>
          <w:lang w:val="fr-CA"/>
        </w:rPr>
        <w:t xml:space="preserve"> sur la contrainte « </w:t>
      </w:r>
      <w:r w:rsidRPr="00A011C6">
        <w:rPr>
          <w:iCs/>
          <w:lang w:val="fr-CA"/>
        </w:rPr>
        <w:t>a d</w:t>
      </w:r>
      <w:r>
        <w:rPr>
          <w:iCs/>
          <w:lang w:val="fr-CA"/>
        </w:rPr>
        <w:t>’</w:t>
      </w:r>
      <w:r w:rsidRPr="00A011C6">
        <w:rPr>
          <w:iCs/>
          <w:lang w:val="fr-CA"/>
        </w:rPr>
        <w:t>abord consisté à tenter d</w:t>
      </w:r>
      <w:r>
        <w:rPr>
          <w:iCs/>
          <w:lang w:val="fr-CA"/>
        </w:rPr>
        <w:t>’</w:t>
      </w:r>
      <w:r w:rsidRPr="00A011C6">
        <w:rPr>
          <w:iCs/>
          <w:lang w:val="fr-CA"/>
        </w:rPr>
        <w:t>établir un équilibre convenable entre les intérêts opposés de l</w:t>
      </w:r>
      <w:r>
        <w:rPr>
          <w:iCs/>
          <w:lang w:val="fr-CA"/>
        </w:rPr>
        <w:t>’</w:t>
      </w:r>
      <w:r w:rsidRPr="00A011C6">
        <w:rPr>
          <w:iCs/>
          <w:lang w:val="fr-CA"/>
        </w:rPr>
        <w:t>accusé, de la victime et de la société</w:t>
      </w:r>
      <w:r w:rsidRPr="00A011C6">
        <w:rPr>
          <w:lang w:val="fr-CA"/>
        </w:rPr>
        <w:t> »</w:t>
      </w:r>
      <w:r w:rsidRPr="00A011C6">
        <w:rPr>
          <w:szCs w:val="24"/>
          <w:lang w:val="fr-CA"/>
        </w:rPr>
        <w:t xml:space="preserve"> (</w:t>
      </w:r>
      <w:r w:rsidRPr="00A011C6">
        <w:rPr>
          <w:i/>
          <w:szCs w:val="24"/>
          <w:lang w:val="fr-CA"/>
        </w:rPr>
        <w:t>Ruzic</w:t>
      </w:r>
      <w:r w:rsidRPr="00A011C6">
        <w:rPr>
          <w:szCs w:val="24"/>
          <w:lang w:val="fr-CA"/>
        </w:rPr>
        <w:t xml:space="preserve">, </w:t>
      </w:r>
      <w:r>
        <w:rPr>
          <w:szCs w:val="24"/>
          <w:lang w:val="fr-CA"/>
        </w:rPr>
        <w:t>par. </w:t>
      </w:r>
      <w:r w:rsidRPr="00A011C6">
        <w:rPr>
          <w:szCs w:val="24"/>
          <w:lang w:val="fr-CA"/>
        </w:rPr>
        <w:t>60), il est essentiel de me</w:t>
      </w:r>
      <w:r>
        <w:rPr>
          <w:szCs w:val="24"/>
          <w:lang w:val="fr-CA"/>
        </w:rPr>
        <w:t>surer la proportionnalité en fonction d</w:t>
      </w:r>
      <w:r w:rsidRPr="0010707F">
        <w:rPr>
          <w:rFonts w:cs="Times New Roman"/>
          <w:szCs w:val="24"/>
          <w:lang w:val="fr-CA"/>
        </w:rPr>
        <w:t>’</w:t>
      </w:r>
      <w:r w:rsidRPr="00A011C6">
        <w:rPr>
          <w:szCs w:val="24"/>
          <w:lang w:val="fr-CA"/>
        </w:rPr>
        <w:t>une norme objective modifiée.</w:t>
      </w:r>
    </w:p>
    <w:p w:rsidR="00AF49CF" w:rsidRPr="00A011C6" w:rsidRDefault="00AF49CF" w:rsidP="00AF49CF">
      <w:pPr>
        <w:pStyle w:val="ParaNoNdepar-AltN"/>
        <w:rPr>
          <w:lang w:val="fr-CA"/>
        </w:rPr>
      </w:pPr>
      <w:r>
        <w:rPr>
          <w:lang w:val="fr-CA"/>
        </w:rPr>
        <w:t xml:space="preserve">Cette </w:t>
      </w:r>
      <w:r w:rsidRPr="00A011C6">
        <w:rPr>
          <w:lang w:val="fr-CA"/>
        </w:rPr>
        <w:t>évaluation de l</w:t>
      </w:r>
      <w:r>
        <w:rPr>
          <w:lang w:val="fr-CA"/>
        </w:rPr>
        <w:t>’</w:t>
      </w:r>
      <w:r w:rsidRPr="00A011C6">
        <w:rPr>
          <w:lang w:val="fr-CA"/>
        </w:rPr>
        <w:t xml:space="preserve">exigence de la proportionnalité </w:t>
      </w:r>
      <w:r>
        <w:rPr>
          <w:lang w:val="fr-CA"/>
        </w:rPr>
        <w:t>en fonction d</w:t>
      </w:r>
      <w:r w:rsidRPr="00E82AE3">
        <w:rPr>
          <w:rFonts w:cs="Times New Roman"/>
          <w:lang w:val="fr-CA"/>
        </w:rPr>
        <w:t>’</w:t>
      </w:r>
      <w:r w:rsidRPr="00A011C6">
        <w:rPr>
          <w:lang w:val="fr-CA"/>
        </w:rPr>
        <w:t>une norme objective modifiée</w:t>
      </w:r>
      <w:r>
        <w:rPr>
          <w:lang w:val="fr-CA"/>
        </w:rPr>
        <w:t xml:space="preserve"> comporte une différence avec la norme utilisée dans le cas du </w:t>
      </w:r>
      <w:r w:rsidRPr="00A011C6">
        <w:rPr>
          <w:lang w:val="fr-CA"/>
        </w:rPr>
        <w:t>moyen de défense fondé sur la nécessité</w:t>
      </w:r>
      <w:r>
        <w:rPr>
          <w:lang w:val="fr-CA"/>
        </w:rPr>
        <w:t>, qui, elle,</w:t>
      </w:r>
      <w:r w:rsidRPr="00A011C6">
        <w:rPr>
          <w:lang w:val="fr-CA"/>
        </w:rPr>
        <w:t xml:space="preserve"> est</w:t>
      </w:r>
      <w:r>
        <w:rPr>
          <w:lang w:val="fr-CA"/>
        </w:rPr>
        <w:t xml:space="preserve"> </w:t>
      </w:r>
      <w:r w:rsidRPr="00A011C6">
        <w:rPr>
          <w:lang w:val="fr-CA"/>
        </w:rPr>
        <w:t>purement objective.  Bien que, selon le juge Lamer dans l</w:t>
      </w:r>
      <w:r>
        <w:rPr>
          <w:lang w:val="fr-CA"/>
        </w:rPr>
        <w:t>’</w:t>
      </w:r>
      <w:r w:rsidRPr="00A011C6">
        <w:rPr>
          <w:lang w:val="fr-CA"/>
        </w:rPr>
        <w:t xml:space="preserve">arrêt </w:t>
      </w:r>
      <w:r w:rsidRPr="00A011C6">
        <w:rPr>
          <w:i/>
          <w:lang w:val="fr-CA"/>
        </w:rPr>
        <w:t>Hibbert</w:t>
      </w:r>
      <w:r w:rsidRPr="00A011C6">
        <w:rPr>
          <w:lang w:val="fr-CA"/>
        </w:rPr>
        <w:t xml:space="preserve">, le moyen de défense fondé sur la contrainte et celui fondé sur la nécessité reposent sur les mêmes principes juridiques, </w:t>
      </w:r>
      <w:r>
        <w:rPr>
          <w:lang w:val="fr-CA"/>
        </w:rPr>
        <w:t>le recours à une</w:t>
      </w:r>
      <w:r w:rsidRPr="00A011C6">
        <w:rPr>
          <w:lang w:val="fr-CA"/>
        </w:rPr>
        <w:t xml:space="preserve"> même norme pour évaluer la proportionnalité</w:t>
      </w:r>
      <w:r>
        <w:rPr>
          <w:lang w:val="fr-CA"/>
        </w:rPr>
        <w:t xml:space="preserve"> ne s’impose pas</w:t>
      </w:r>
      <w:r w:rsidRPr="00F13A35">
        <w:rPr>
          <w:lang w:val="fr-CA"/>
        </w:rPr>
        <w:t xml:space="preserve"> </w:t>
      </w:r>
      <w:r w:rsidRPr="00A011C6">
        <w:rPr>
          <w:lang w:val="fr-CA"/>
        </w:rPr>
        <w:t xml:space="preserve">dans </w:t>
      </w:r>
      <w:r>
        <w:rPr>
          <w:lang w:val="fr-CA"/>
        </w:rPr>
        <w:t>ces deux</w:t>
      </w:r>
      <w:r w:rsidRPr="00A011C6">
        <w:rPr>
          <w:lang w:val="fr-CA"/>
        </w:rPr>
        <w:t xml:space="preserve"> cas</w:t>
      </w:r>
      <w:r>
        <w:rPr>
          <w:lang w:val="fr-CA"/>
        </w:rPr>
        <w:t>.  En effet, d</w:t>
      </w:r>
      <w:r w:rsidRPr="00A011C6">
        <w:rPr>
          <w:lang w:val="fr-CA"/>
        </w:rPr>
        <w:t>ans</w:t>
      </w:r>
      <w:r>
        <w:rPr>
          <w:lang w:val="fr-CA"/>
        </w:rPr>
        <w:t xml:space="preserve"> l</w:t>
      </w:r>
      <w:r w:rsidRPr="00E82AE3">
        <w:rPr>
          <w:rFonts w:cs="Times New Roman"/>
          <w:lang w:val="fr-CA"/>
        </w:rPr>
        <w:t>’</w:t>
      </w:r>
      <w:r>
        <w:rPr>
          <w:lang w:val="fr-CA"/>
        </w:rPr>
        <w:t>affaire</w:t>
      </w:r>
      <w:r w:rsidRPr="00A011C6">
        <w:rPr>
          <w:lang w:val="fr-CA"/>
        </w:rPr>
        <w:t xml:space="preserve"> </w:t>
      </w:r>
      <w:r w:rsidRPr="00A011C6">
        <w:rPr>
          <w:i/>
          <w:lang w:val="fr-CA"/>
        </w:rPr>
        <w:t>Ruzic</w:t>
      </w:r>
      <w:r w:rsidRPr="00A011C6">
        <w:rPr>
          <w:lang w:val="fr-CA"/>
        </w:rPr>
        <w:t xml:space="preserve">, </w:t>
      </w:r>
      <w:r>
        <w:rPr>
          <w:lang w:val="fr-CA"/>
        </w:rPr>
        <w:t xml:space="preserve">la Cour </w:t>
      </w:r>
      <w:r w:rsidRPr="00A011C6">
        <w:rPr>
          <w:lang w:val="fr-CA"/>
        </w:rPr>
        <w:t xml:space="preserve">a souligné </w:t>
      </w:r>
      <w:r>
        <w:rPr>
          <w:lang w:val="fr-CA"/>
        </w:rPr>
        <w:t xml:space="preserve">que les deux moyens de défense </w:t>
      </w:r>
      <w:r>
        <w:rPr>
          <w:rFonts w:cs="Times New Roman"/>
          <w:szCs w:val="24"/>
          <w:lang w:val="fr-CA"/>
        </w:rPr>
        <w:t>visaient différents</w:t>
      </w:r>
      <w:r w:rsidRPr="00A011C6">
        <w:rPr>
          <w:rFonts w:cs="Times New Roman"/>
          <w:szCs w:val="24"/>
          <w:lang w:val="fr-CA"/>
        </w:rPr>
        <w:t xml:space="preserve"> </w:t>
      </w:r>
      <w:r w:rsidRPr="00A011C6">
        <w:rPr>
          <w:lang w:val="fr-CA"/>
        </w:rPr>
        <w:t>types de</w:t>
      </w:r>
      <w:r>
        <w:rPr>
          <w:lang w:val="fr-CA"/>
        </w:rPr>
        <w:t xml:space="preserve"> situation, et ce, </w:t>
      </w:r>
      <w:r w:rsidRPr="00A011C6">
        <w:rPr>
          <w:lang w:val="fr-CA"/>
        </w:rPr>
        <w:t>bien qu</w:t>
      </w:r>
      <w:r>
        <w:rPr>
          <w:lang w:val="fr-CA"/>
        </w:rPr>
        <w:t>’</w:t>
      </w:r>
      <w:r w:rsidRPr="00A011C6">
        <w:rPr>
          <w:lang w:val="fr-CA"/>
        </w:rPr>
        <w:t>ils soient tous les deux qualifiés d</w:t>
      </w:r>
      <w:r>
        <w:rPr>
          <w:lang w:val="fr-CA"/>
        </w:rPr>
        <w:t>’</w:t>
      </w:r>
      <w:r w:rsidRPr="00A011C6">
        <w:rPr>
          <w:lang w:val="fr-CA"/>
        </w:rPr>
        <w:t xml:space="preserve">excuses fondées sur la </w:t>
      </w:r>
      <w:r w:rsidRPr="00A011C6">
        <w:rPr>
          <w:rFonts w:cs="Times New Roman"/>
          <w:szCs w:val="24"/>
          <w:lang w:val="fr-CA"/>
        </w:rPr>
        <w:t xml:space="preserve">notion </w:t>
      </w:r>
      <w:r>
        <w:rPr>
          <w:rFonts w:cs="Times New Roman"/>
          <w:szCs w:val="24"/>
          <w:lang w:val="fr-CA"/>
        </w:rPr>
        <w:t>du</w:t>
      </w:r>
      <w:r w:rsidRPr="00A011C6">
        <w:rPr>
          <w:rFonts w:cs="Times New Roman"/>
          <w:szCs w:val="24"/>
          <w:lang w:val="fr-CA"/>
        </w:rPr>
        <w:t xml:space="preserve"> caractère involontaire dit moral ou normatif</w:t>
      </w:r>
      <w:r w:rsidRPr="00A011C6">
        <w:rPr>
          <w:lang w:val="fr-CA"/>
        </w:rPr>
        <w:t>.  De plus, l</w:t>
      </w:r>
      <w:r>
        <w:rPr>
          <w:lang w:val="fr-CA"/>
        </w:rPr>
        <w:t>’exigence relative à la temporalité</w:t>
      </w:r>
      <w:r w:rsidRPr="00A011C6">
        <w:rPr>
          <w:lang w:val="fr-CA"/>
        </w:rPr>
        <w:t xml:space="preserve"> dans le cas du moyen de défense fondé sur la nécessité </w:t>
      </w:r>
      <w:r>
        <w:rPr>
          <w:lang w:val="fr-CA"/>
        </w:rPr>
        <w:t>demeure celle de</w:t>
      </w:r>
      <w:r w:rsidRPr="00A011C6">
        <w:rPr>
          <w:lang w:val="fr-CA"/>
        </w:rPr>
        <w:t xml:space="preserve"> l</w:t>
      </w:r>
      <w:r>
        <w:rPr>
          <w:lang w:val="fr-CA"/>
        </w:rPr>
        <w:t>’</w:t>
      </w:r>
      <w:r w:rsidRPr="00A011C6">
        <w:rPr>
          <w:lang w:val="fr-CA"/>
        </w:rPr>
        <w:t xml:space="preserve">imminence, </w:t>
      </w:r>
      <w:r>
        <w:rPr>
          <w:lang w:val="fr-CA"/>
        </w:rPr>
        <w:t>tandis</w:t>
      </w:r>
      <w:r w:rsidRPr="00A011C6">
        <w:rPr>
          <w:lang w:val="fr-CA"/>
        </w:rPr>
        <w:t xml:space="preserve"> que dans le cas du moyen de défense fondé sur la contrainte, les menaces peuvent être mises à exécution dans le futur.  Il n</w:t>
      </w:r>
      <w:r>
        <w:rPr>
          <w:lang w:val="fr-CA"/>
        </w:rPr>
        <w:t>’</w:t>
      </w:r>
      <w:r w:rsidRPr="00A011C6">
        <w:rPr>
          <w:lang w:val="fr-CA"/>
        </w:rPr>
        <w:t xml:space="preserve">est donc pas vraiment anormal que les tribunaux aient attribué des critères différents en matière de proportionnalité, compte tenu </w:t>
      </w:r>
      <w:r>
        <w:rPr>
          <w:lang w:val="fr-CA"/>
        </w:rPr>
        <w:t>surtout que c</w:t>
      </w:r>
      <w:r w:rsidRPr="00A011C6">
        <w:rPr>
          <w:lang w:val="fr-CA"/>
        </w:rPr>
        <w:t>es moyens de défense peuvent s</w:t>
      </w:r>
      <w:r>
        <w:rPr>
          <w:lang w:val="fr-CA"/>
        </w:rPr>
        <w:t>’</w:t>
      </w:r>
      <w:r w:rsidRPr="00A011C6">
        <w:rPr>
          <w:lang w:val="fr-CA"/>
        </w:rPr>
        <w:t xml:space="preserve">appliquer dans des circonstances factuelles nettement différentes. </w:t>
      </w:r>
    </w:p>
    <w:p w:rsidR="00AF49CF" w:rsidRPr="00A011C6" w:rsidRDefault="00AF49CF" w:rsidP="009F0B58">
      <w:pPr>
        <w:pStyle w:val="TitleTitre-AltT"/>
        <w:tabs>
          <w:tab w:val="clear" w:pos="360"/>
          <w:tab w:val="left" w:pos="1170"/>
        </w:tabs>
        <w:ind w:left="1710" w:hanging="1620"/>
        <w:rPr>
          <w:lang w:val="fr-CA"/>
        </w:rPr>
      </w:pPr>
      <w:r>
        <w:rPr>
          <w:lang w:val="fr-CA"/>
        </w:rPr>
        <w:tab/>
      </w:r>
      <w:r w:rsidRPr="00A011C6">
        <w:rPr>
          <w:lang w:val="fr-CA"/>
        </w:rPr>
        <w:t>f)</w:t>
      </w:r>
      <w:r w:rsidRPr="00A011C6">
        <w:rPr>
          <w:lang w:val="fr-CA"/>
        </w:rPr>
        <w:tab/>
      </w:r>
      <w:r w:rsidRPr="001C7A45">
        <w:rPr>
          <w:i/>
          <w:lang w:val="fr-CA"/>
        </w:rPr>
        <w:t>Participation à un complot ou à une association criminelle</w:t>
      </w:r>
    </w:p>
    <w:p w:rsidR="00AF49CF" w:rsidRPr="00A011C6" w:rsidRDefault="00AF49CF" w:rsidP="00AF49CF">
      <w:pPr>
        <w:pStyle w:val="ParaNoNdepar-AltN"/>
        <w:rPr>
          <w:lang w:val="fr-CA"/>
        </w:rPr>
      </w:pPr>
      <w:r w:rsidRPr="00A011C6">
        <w:rPr>
          <w:lang w:val="fr-CA"/>
        </w:rPr>
        <w:t xml:space="preserve">Cet élément prévu par la loi a été reconnu comme étant également pertinent en </w:t>
      </w:r>
      <w:r>
        <w:rPr>
          <w:lang w:val="fr-CA"/>
        </w:rPr>
        <w:t>common law.  En effet, l</w:t>
      </w:r>
      <w:r w:rsidRPr="00A011C6">
        <w:rPr>
          <w:lang w:val="fr-CA"/>
        </w:rPr>
        <w:t xml:space="preserve">a jurisprudence récente a conclu que </w:t>
      </w:r>
      <w:r>
        <w:rPr>
          <w:lang w:val="fr-CA"/>
        </w:rPr>
        <w:t>les personnes qui tentaient</w:t>
      </w:r>
      <w:r w:rsidRPr="00A011C6">
        <w:rPr>
          <w:lang w:val="fr-CA"/>
        </w:rPr>
        <w:t xml:space="preserve"> d</w:t>
      </w:r>
      <w:r>
        <w:rPr>
          <w:lang w:val="fr-CA"/>
        </w:rPr>
        <w:t>’</w:t>
      </w:r>
      <w:r w:rsidRPr="00A011C6">
        <w:rPr>
          <w:lang w:val="fr-CA"/>
        </w:rPr>
        <w:t xml:space="preserve">invoquer le moyen de défense de common law fondé sur la contrainte </w:t>
      </w:r>
      <w:r>
        <w:rPr>
          <w:lang w:val="fr-CA"/>
        </w:rPr>
        <w:t>n’y étaient pas admises</w:t>
      </w:r>
      <w:r w:rsidRPr="00A011C6">
        <w:rPr>
          <w:lang w:val="fr-CA"/>
        </w:rPr>
        <w:t xml:space="preserve"> s</w:t>
      </w:r>
      <w:r>
        <w:rPr>
          <w:lang w:val="fr-CA"/>
        </w:rPr>
        <w:t>i elles</w:t>
      </w:r>
      <w:r w:rsidRPr="00A011C6">
        <w:rPr>
          <w:lang w:val="fr-CA"/>
        </w:rPr>
        <w:t xml:space="preserve"> savaient que leur participation </w:t>
      </w:r>
      <w:r>
        <w:rPr>
          <w:lang w:val="fr-CA"/>
        </w:rPr>
        <w:t xml:space="preserve">à un complot </w:t>
      </w:r>
      <w:r w:rsidRPr="00A011C6">
        <w:rPr>
          <w:lang w:val="fr-CA"/>
        </w:rPr>
        <w:t>ou à une association criminelle comport</w:t>
      </w:r>
      <w:r>
        <w:rPr>
          <w:lang w:val="fr-CA"/>
        </w:rPr>
        <w:t xml:space="preserve">ait un risque de contrainte </w:t>
      </w:r>
      <w:r w:rsidRPr="00A011C6">
        <w:rPr>
          <w:lang w:val="fr-CA"/>
        </w:rPr>
        <w:t xml:space="preserve">ou de </w:t>
      </w:r>
      <w:r>
        <w:rPr>
          <w:lang w:val="fr-CA"/>
        </w:rPr>
        <w:t>menaces visant à les forcer</w:t>
      </w:r>
      <w:r w:rsidRPr="00A011C6">
        <w:rPr>
          <w:lang w:val="fr-CA"/>
        </w:rPr>
        <w:t xml:space="preserve"> </w:t>
      </w:r>
      <w:r>
        <w:rPr>
          <w:lang w:val="fr-CA"/>
        </w:rPr>
        <w:t>à</w:t>
      </w:r>
      <w:r w:rsidRPr="00A011C6">
        <w:rPr>
          <w:lang w:val="fr-CA"/>
        </w:rPr>
        <w:t xml:space="preserve"> commettre une infraction </w:t>
      </w:r>
      <w:r>
        <w:rPr>
          <w:lang w:val="fr-CA"/>
        </w:rPr>
        <w:t>(</w:t>
      </w:r>
      <w:r w:rsidRPr="00A011C6">
        <w:rPr>
          <w:lang w:val="fr-CA"/>
        </w:rPr>
        <w:t xml:space="preserve">voir </w:t>
      </w:r>
      <w:r w:rsidRPr="00A011C6">
        <w:rPr>
          <w:i/>
          <w:lang w:val="fr-CA"/>
        </w:rPr>
        <w:t xml:space="preserve">R. c. Li </w:t>
      </w:r>
      <w:r w:rsidRPr="00A011C6">
        <w:rPr>
          <w:lang w:val="fr-CA"/>
        </w:rPr>
        <w:t>(2002), 162 C.C.C. (3d) 360 (C.</w:t>
      </w:r>
      <w:r w:rsidR="009F0B58">
        <w:rPr>
          <w:lang w:val="fr-CA"/>
        </w:rPr>
        <w:t>A</w:t>
      </w:r>
      <w:r w:rsidRPr="00A011C6">
        <w:rPr>
          <w:lang w:val="fr-CA"/>
        </w:rPr>
        <w:t>. Ont.)</w:t>
      </w:r>
      <w:r>
        <w:rPr>
          <w:lang w:val="fr-CA"/>
        </w:rPr>
        <w:t>, par. </w:t>
      </w:r>
      <w:r w:rsidRPr="00A011C6">
        <w:rPr>
          <w:lang w:val="fr-CA"/>
        </w:rPr>
        <w:t>20</w:t>
      </w:r>
      <w:r>
        <w:rPr>
          <w:lang w:val="fr-CA"/>
        </w:rPr>
        <w:noBreakHyphen/>
      </w:r>
      <w:r w:rsidRPr="00A011C6">
        <w:rPr>
          <w:lang w:val="fr-CA"/>
        </w:rPr>
        <w:t xml:space="preserve">33; </w:t>
      </w:r>
      <w:r w:rsidRPr="00A011C6">
        <w:rPr>
          <w:i/>
          <w:lang w:val="fr-CA"/>
        </w:rPr>
        <w:t>R. c. Poon</w:t>
      </w:r>
      <w:r w:rsidRPr="00A011C6">
        <w:rPr>
          <w:lang w:val="fr-CA"/>
        </w:rPr>
        <w:t>, 2006 BCSC 1158</w:t>
      </w:r>
      <w:r>
        <w:rPr>
          <w:lang w:val="fr-CA"/>
        </w:rPr>
        <w:t xml:space="preserve"> (CanLII), par. </w:t>
      </w:r>
      <w:r w:rsidRPr="00A011C6">
        <w:rPr>
          <w:lang w:val="fr-CA"/>
        </w:rPr>
        <w:t xml:space="preserve">7; </w:t>
      </w:r>
      <w:r w:rsidRPr="00A011C6">
        <w:rPr>
          <w:i/>
          <w:lang w:val="fr-CA"/>
        </w:rPr>
        <w:t>R. c. M.P.D.</w:t>
      </w:r>
      <w:r w:rsidRPr="00A011C6">
        <w:rPr>
          <w:lang w:val="fr-CA"/>
        </w:rPr>
        <w:t xml:space="preserve">, </w:t>
      </w:r>
      <w:r>
        <w:rPr>
          <w:lang w:val="fr-CA"/>
        </w:rPr>
        <w:t xml:space="preserve">2003 BCPC 97, </w:t>
      </w:r>
      <w:r w:rsidRPr="00A011C6">
        <w:rPr>
          <w:lang w:val="fr-CA"/>
        </w:rPr>
        <w:t xml:space="preserve">[2003] B.C.J. </w:t>
      </w:r>
      <w:r w:rsidR="001F726D">
        <w:rPr>
          <w:lang w:val="fr-CA"/>
        </w:rPr>
        <w:t>No.</w:t>
      </w:r>
      <w:r w:rsidRPr="00A011C6">
        <w:rPr>
          <w:lang w:val="fr-CA"/>
        </w:rPr>
        <w:t> 771</w:t>
      </w:r>
      <w:r>
        <w:rPr>
          <w:lang w:val="fr-CA"/>
        </w:rPr>
        <w:t xml:space="preserve"> (QL), par. </w:t>
      </w:r>
      <w:r w:rsidRPr="00A011C6">
        <w:rPr>
          <w:lang w:val="fr-CA"/>
        </w:rPr>
        <w:t>61</w:t>
      </w:r>
      <w:r>
        <w:rPr>
          <w:lang w:val="fr-CA"/>
        </w:rPr>
        <w:t>)</w:t>
      </w:r>
      <w:r w:rsidRPr="00A011C6">
        <w:rPr>
          <w:lang w:val="fr-CA"/>
        </w:rPr>
        <w:t xml:space="preserve">. </w:t>
      </w:r>
    </w:p>
    <w:p w:rsidR="00AF49CF" w:rsidRPr="00A011C6" w:rsidRDefault="00AF49CF" w:rsidP="00AF49CF">
      <w:pPr>
        <w:pStyle w:val="ParaNoNdepar-AltN"/>
        <w:rPr>
          <w:lang w:val="fr-CA"/>
        </w:rPr>
      </w:pPr>
      <w:r w:rsidRPr="00A011C6">
        <w:rPr>
          <w:lang w:val="fr-CA"/>
        </w:rPr>
        <w:t>Dans</w:t>
      </w:r>
      <w:r>
        <w:rPr>
          <w:lang w:val="fr-CA"/>
        </w:rPr>
        <w:t xml:space="preserve"> l</w:t>
      </w:r>
      <w:r w:rsidRPr="00802B91">
        <w:rPr>
          <w:rFonts w:cs="Times New Roman"/>
          <w:lang w:val="fr-CA"/>
        </w:rPr>
        <w:t>’</w:t>
      </w:r>
      <w:r>
        <w:rPr>
          <w:lang w:val="fr-CA"/>
        </w:rPr>
        <w:t>arrêt</w:t>
      </w:r>
      <w:r w:rsidRPr="00A011C6">
        <w:rPr>
          <w:lang w:val="fr-CA"/>
        </w:rPr>
        <w:t xml:space="preserve"> </w:t>
      </w:r>
      <w:r w:rsidRPr="00A011C6">
        <w:rPr>
          <w:i/>
          <w:lang w:val="fr-CA"/>
        </w:rPr>
        <w:t>Li</w:t>
      </w:r>
      <w:r w:rsidRPr="00A011C6">
        <w:rPr>
          <w:lang w:val="fr-CA"/>
        </w:rPr>
        <w:t>, la Cour d</w:t>
      </w:r>
      <w:r>
        <w:rPr>
          <w:lang w:val="fr-CA"/>
        </w:rPr>
        <w:t>’</w:t>
      </w:r>
      <w:r w:rsidRPr="00A011C6">
        <w:rPr>
          <w:lang w:val="fr-CA"/>
        </w:rPr>
        <w:t>appel de l</w:t>
      </w:r>
      <w:r>
        <w:rPr>
          <w:lang w:val="fr-CA"/>
        </w:rPr>
        <w:t>’</w:t>
      </w:r>
      <w:r w:rsidRPr="00A011C6">
        <w:rPr>
          <w:lang w:val="fr-CA"/>
        </w:rPr>
        <w:t>Ontario a déclaré que la participati</w:t>
      </w:r>
      <w:r>
        <w:rPr>
          <w:lang w:val="fr-CA"/>
        </w:rPr>
        <w:t>on volontaire à un complot</w:t>
      </w:r>
      <w:r w:rsidRPr="00A011C6">
        <w:rPr>
          <w:lang w:val="fr-CA"/>
        </w:rPr>
        <w:t xml:space="preserve"> ou à une organisation criminelle </w:t>
      </w:r>
      <w:r>
        <w:rPr>
          <w:lang w:val="fr-CA"/>
        </w:rPr>
        <w:t>avait aussi</w:t>
      </w:r>
      <w:r w:rsidRPr="00A011C6">
        <w:rPr>
          <w:lang w:val="fr-CA"/>
        </w:rPr>
        <w:t xml:space="preserve"> une incidence sur </w:t>
      </w:r>
      <w:r>
        <w:rPr>
          <w:lang w:val="fr-CA"/>
        </w:rPr>
        <w:t>l</w:t>
      </w:r>
      <w:r w:rsidRPr="00802B91">
        <w:rPr>
          <w:rFonts w:cs="Times New Roman"/>
          <w:lang w:val="fr-CA"/>
        </w:rPr>
        <w:t>’</w:t>
      </w:r>
      <w:r>
        <w:rPr>
          <w:lang w:val="fr-CA"/>
        </w:rPr>
        <w:t>existence ou non d</w:t>
      </w:r>
      <w:r w:rsidRPr="00802B91">
        <w:rPr>
          <w:rFonts w:cs="Times New Roman"/>
          <w:lang w:val="fr-CA"/>
        </w:rPr>
        <w:t>’</w:t>
      </w:r>
      <w:r>
        <w:rPr>
          <w:lang w:val="fr-CA"/>
        </w:rPr>
        <w:t>u</w:t>
      </w:r>
      <w:r w:rsidRPr="00A011C6">
        <w:rPr>
          <w:lang w:val="fr-CA"/>
        </w:rPr>
        <w:t xml:space="preserve">ne façon de </w:t>
      </w:r>
      <w:r>
        <w:rPr>
          <w:lang w:val="fr-CA"/>
        </w:rPr>
        <w:t>se soustraire</w:t>
      </w:r>
      <w:r w:rsidRPr="00A011C6">
        <w:rPr>
          <w:lang w:val="fr-CA"/>
        </w:rPr>
        <w:t xml:space="preserve"> sans danger</w:t>
      </w:r>
      <w:r>
        <w:rPr>
          <w:lang w:val="fr-CA"/>
        </w:rPr>
        <w:t xml:space="preserve"> à une menace</w:t>
      </w:r>
      <w:r w:rsidRPr="00A011C6">
        <w:rPr>
          <w:lang w:val="fr-CA"/>
        </w:rPr>
        <w:t>.  Dans ce</w:t>
      </w:r>
      <w:r>
        <w:rPr>
          <w:lang w:val="fr-CA"/>
        </w:rPr>
        <w:t>tte affaire</w:t>
      </w:r>
      <w:r w:rsidRPr="00A011C6">
        <w:rPr>
          <w:lang w:val="fr-CA"/>
        </w:rPr>
        <w:t>, les personnes accusées avaient pris contact, de leur propre initiative, avec une organisation criminelle</w:t>
      </w:r>
      <w:r>
        <w:rPr>
          <w:lang w:val="fr-CA"/>
        </w:rPr>
        <w:t>,</w:t>
      </w:r>
      <w:r w:rsidRPr="00A011C6">
        <w:rPr>
          <w:lang w:val="fr-CA"/>
        </w:rPr>
        <w:t xml:space="preserve"> et avaient ultérieurement été menacées par ce même groupe.  </w:t>
      </w:r>
      <w:r>
        <w:rPr>
          <w:lang w:val="fr-CA"/>
        </w:rPr>
        <w:t>Dans son analyse portant sur</w:t>
      </w:r>
      <w:r w:rsidRPr="00A011C6">
        <w:rPr>
          <w:lang w:val="fr-CA"/>
        </w:rPr>
        <w:t xml:space="preserve"> la présence d</w:t>
      </w:r>
      <w:r>
        <w:rPr>
          <w:lang w:val="fr-CA"/>
        </w:rPr>
        <w:t>’</w:t>
      </w:r>
      <w:r w:rsidRPr="00A011C6">
        <w:rPr>
          <w:lang w:val="fr-CA"/>
        </w:rPr>
        <w:t xml:space="preserve">une apparence de vraisemblance, la </w:t>
      </w:r>
      <w:r>
        <w:rPr>
          <w:lang w:val="fr-CA"/>
        </w:rPr>
        <w:t>c</w:t>
      </w:r>
      <w:r w:rsidRPr="00A011C6">
        <w:rPr>
          <w:lang w:val="fr-CA"/>
        </w:rPr>
        <w:t>our</w:t>
      </w:r>
      <w:r>
        <w:rPr>
          <w:lang w:val="fr-CA"/>
        </w:rPr>
        <w:t xml:space="preserve"> s</w:t>
      </w:r>
      <w:r w:rsidRPr="00802B91">
        <w:rPr>
          <w:rFonts w:cs="Times New Roman"/>
          <w:lang w:val="fr-CA"/>
        </w:rPr>
        <w:t>’</w:t>
      </w:r>
      <w:r>
        <w:rPr>
          <w:lang w:val="fr-CA"/>
        </w:rPr>
        <w:t>est exprimée ainsi :</w:t>
      </w:r>
    </w:p>
    <w:p w:rsidR="00AF49CF" w:rsidRPr="00A011C6" w:rsidRDefault="00AF49CF" w:rsidP="009F0B58">
      <w:pPr>
        <w:pStyle w:val="Citation-AltC"/>
        <w:tabs>
          <w:tab w:val="left" w:pos="1620"/>
        </w:tabs>
        <w:ind w:hanging="1166"/>
        <w:contextualSpacing w:val="0"/>
        <w:rPr>
          <w:lang w:val="fr-CA"/>
        </w:rPr>
      </w:pPr>
      <w:r>
        <w:rPr>
          <w:smallCaps/>
          <w:lang w:val="fr-CA"/>
        </w:rPr>
        <w:tab/>
      </w:r>
      <w:r>
        <w:rPr>
          <w:smallCaps/>
          <w:lang w:val="fr-CA"/>
        </w:rPr>
        <w:tab/>
      </w:r>
      <w:r w:rsidRPr="00A011C6">
        <w:rPr>
          <w:smallCaps/>
          <w:lang w:val="fr-CA"/>
        </w:rPr>
        <w:t>[traduction]</w:t>
      </w:r>
      <w:r>
        <w:rPr>
          <w:smallCaps/>
          <w:lang w:val="fr-CA"/>
        </w:rPr>
        <w:t xml:space="preserve">  </w:t>
      </w:r>
      <w:r w:rsidRPr="00A011C6">
        <w:rPr>
          <w:lang w:val="fr-CA"/>
        </w:rPr>
        <w:t xml:space="preserve">Comme nous pouvons le voir, la Cour suprême [dans </w:t>
      </w:r>
      <w:r w:rsidRPr="00A011C6">
        <w:rPr>
          <w:i/>
          <w:lang w:val="fr-CA"/>
        </w:rPr>
        <w:t>Ruzic</w:t>
      </w:r>
      <w:r w:rsidRPr="00A011C6">
        <w:rPr>
          <w:lang w:val="fr-CA"/>
        </w:rPr>
        <w:t>] a reconnu</w:t>
      </w:r>
      <w:r w:rsidRPr="00802B91">
        <w:rPr>
          <w:lang w:val="fr-CA"/>
        </w:rPr>
        <w:t xml:space="preserve"> </w:t>
      </w:r>
      <w:r w:rsidRPr="00802B91">
        <w:rPr>
          <w:u w:val="single"/>
          <w:lang w:val="fr-CA"/>
        </w:rPr>
        <w:t xml:space="preserve">en premier lieu la juxtaposition </w:t>
      </w:r>
      <w:r w:rsidRPr="00A011C6">
        <w:rPr>
          <w:u w:val="single"/>
          <w:lang w:val="fr-CA"/>
        </w:rPr>
        <w:t>du moyen de s</w:t>
      </w:r>
      <w:r>
        <w:rPr>
          <w:u w:val="single"/>
          <w:lang w:val="fr-CA"/>
        </w:rPr>
        <w:t>’</w:t>
      </w:r>
      <w:r w:rsidRPr="00A011C6">
        <w:rPr>
          <w:u w:val="single"/>
          <w:lang w:val="fr-CA"/>
        </w:rPr>
        <w:t>en sortir sans danger et de l</w:t>
      </w:r>
      <w:r>
        <w:rPr>
          <w:u w:val="single"/>
          <w:lang w:val="fr-CA"/>
        </w:rPr>
        <w:t>’</w:t>
      </w:r>
      <w:r w:rsidRPr="00A011C6">
        <w:rPr>
          <w:u w:val="single"/>
          <w:lang w:val="fr-CA"/>
        </w:rPr>
        <w:t>a</w:t>
      </w:r>
      <w:r>
        <w:rPr>
          <w:u w:val="single"/>
          <w:lang w:val="fr-CA"/>
        </w:rPr>
        <w:t>cceptation volontaire du risque</w:t>
      </w:r>
      <w:r w:rsidRPr="00A011C6">
        <w:rPr>
          <w:lang w:val="fr-CA"/>
        </w:rPr>
        <w:t xml:space="preserve">. </w:t>
      </w:r>
      <w:r>
        <w:rPr>
          <w:lang w:val="fr-CA"/>
        </w:rPr>
        <w:t xml:space="preserve"> C</w:t>
      </w:r>
      <w:r w:rsidRPr="00A011C6">
        <w:rPr>
          <w:lang w:val="fr-CA"/>
        </w:rPr>
        <w:t xml:space="preserve">es deux </w:t>
      </w:r>
      <w:r>
        <w:rPr>
          <w:lang w:val="fr-CA"/>
        </w:rPr>
        <w:t xml:space="preserve">éléments </w:t>
      </w:r>
      <w:r w:rsidRPr="00A011C6">
        <w:rPr>
          <w:lang w:val="fr-CA"/>
        </w:rPr>
        <w:t xml:space="preserve">sont au cœur de la cause en appel. </w:t>
      </w:r>
      <w:r>
        <w:rPr>
          <w:lang w:val="fr-CA"/>
        </w:rPr>
        <w:t xml:space="preserve"> </w:t>
      </w:r>
      <w:r w:rsidRPr="00A011C6">
        <w:rPr>
          <w:lang w:val="fr-CA"/>
        </w:rPr>
        <w:t>En examinant la prétention des appelants selon laquelle il aurait été inutile de faire appel à la police locale parce qu</w:t>
      </w:r>
      <w:r>
        <w:rPr>
          <w:lang w:val="fr-CA"/>
        </w:rPr>
        <w:t>’</w:t>
      </w:r>
      <w:r w:rsidRPr="00A011C6">
        <w:rPr>
          <w:lang w:val="fr-CA"/>
        </w:rPr>
        <w:t xml:space="preserve">ils craignaient </w:t>
      </w:r>
      <w:r>
        <w:rPr>
          <w:lang w:val="fr-CA"/>
        </w:rPr>
        <w:t>non seulement pour leur sécurité, mais également pour celle</w:t>
      </w:r>
      <w:r w:rsidRPr="00A011C6">
        <w:rPr>
          <w:lang w:val="fr-CA"/>
        </w:rPr>
        <w:t xml:space="preserve"> de leurs familles, en Chine et ailleurs, la </w:t>
      </w:r>
      <w:r>
        <w:rPr>
          <w:lang w:val="fr-CA"/>
        </w:rPr>
        <w:t>c</w:t>
      </w:r>
      <w:r w:rsidRPr="00A011C6">
        <w:rPr>
          <w:lang w:val="fr-CA"/>
        </w:rPr>
        <w:t>our doit se rappeler que ce sont eux qui ont d</w:t>
      </w:r>
      <w:r>
        <w:rPr>
          <w:lang w:val="fr-CA"/>
        </w:rPr>
        <w:t>’</w:t>
      </w:r>
      <w:r w:rsidRPr="00A011C6">
        <w:rPr>
          <w:lang w:val="fr-CA"/>
        </w:rPr>
        <w:t xml:space="preserve">abord pris contact avec les Snakeheads, </w:t>
      </w:r>
      <w:r>
        <w:rPr>
          <w:lang w:val="fr-CA"/>
        </w:rPr>
        <w:t>et le</w:t>
      </w:r>
      <w:r w:rsidRPr="00A011C6">
        <w:rPr>
          <w:lang w:val="fr-CA"/>
        </w:rPr>
        <w:t xml:space="preserve"> fait que les menaces de représailles contre eux et leurs familles ont été </w:t>
      </w:r>
      <w:r>
        <w:rPr>
          <w:lang w:val="fr-CA"/>
        </w:rPr>
        <w:t>atténuées</w:t>
      </w:r>
      <w:r w:rsidRPr="00A011C6">
        <w:rPr>
          <w:lang w:val="fr-CA"/>
        </w:rPr>
        <w:t xml:space="preserve"> par l</w:t>
      </w:r>
      <w:r>
        <w:rPr>
          <w:lang w:val="fr-CA"/>
        </w:rPr>
        <w:t>’</w:t>
      </w:r>
      <w:r w:rsidRPr="00A011C6">
        <w:rPr>
          <w:lang w:val="fr-CA"/>
        </w:rPr>
        <w:t xml:space="preserve">encouragement à rembourser leurs dettes envers cette organisation. </w:t>
      </w:r>
      <w:r>
        <w:rPr>
          <w:lang w:val="fr-CA"/>
        </w:rPr>
        <w:t xml:space="preserve"> </w:t>
      </w:r>
      <w:r w:rsidRPr="00A011C6">
        <w:rPr>
          <w:lang w:val="fr-CA"/>
        </w:rPr>
        <w:t>[No</w:t>
      </w:r>
      <w:r>
        <w:rPr>
          <w:lang w:val="fr-CA"/>
        </w:rPr>
        <w:t>us</w:t>
      </w:r>
      <w:r w:rsidRPr="00A011C6">
        <w:rPr>
          <w:lang w:val="fr-CA"/>
        </w:rPr>
        <w:t xml:space="preserve"> soulign</w:t>
      </w:r>
      <w:r>
        <w:rPr>
          <w:lang w:val="fr-CA"/>
        </w:rPr>
        <w:t>ons;</w:t>
      </w:r>
      <w:r w:rsidRPr="00203243">
        <w:rPr>
          <w:lang w:val="fr-CA"/>
        </w:rPr>
        <w:t xml:space="preserve"> </w:t>
      </w:r>
      <w:r>
        <w:rPr>
          <w:lang w:val="fr-CA"/>
        </w:rPr>
        <w:t>par. 32.</w:t>
      </w:r>
      <w:r w:rsidRPr="00A011C6">
        <w:rPr>
          <w:lang w:val="fr-CA"/>
        </w:rPr>
        <w:t>]</w:t>
      </w:r>
    </w:p>
    <w:p w:rsidR="00AF49CF" w:rsidRPr="00A011C6" w:rsidRDefault="00AF49CF" w:rsidP="00AF49CF">
      <w:pPr>
        <w:pStyle w:val="ParaNoNdepar-AltN"/>
        <w:rPr>
          <w:lang w:val="fr-CA"/>
        </w:rPr>
      </w:pPr>
      <w:r w:rsidRPr="00A011C6">
        <w:rPr>
          <w:lang w:val="fr-CA"/>
        </w:rPr>
        <w:t xml:space="preserve">La </w:t>
      </w:r>
      <w:r>
        <w:rPr>
          <w:lang w:val="fr-CA"/>
        </w:rPr>
        <w:t xml:space="preserve">conclusion de la </w:t>
      </w:r>
      <w:r w:rsidR="009F0B58">
        <w:rPr>
          <w:lang w:val="fr-CA"/>
        </w:rPr>
        <w:t>C</w:t>
      </w:r>
      <w:r w:rsidRPr="00A011C6">
        <w:rPr>
          <w:lang w:val="fr-CA"/>
        </w:rPr>
        <w:t>our d</w:t>
      </w:r>
      <w:r>
        <w:rPr>
          <w:lang w:val="fr-CA"/>
        </w:rPr>
        <w:t>’</w:t>
      </w:r>
      <w:r w:rsidRPr="00A011C6">
        <w:rPr>
          <w:lang w:val="fr-CA"/>
        </w:rPr>
        <w:t>appel permet d</w:t>
      </w:r>
      <w:r>
        <w:rPr>
          <w:lang w:val="fr-CA"/>
        </w:rPr>
        <w:t>’</w:t>
      </w:r>
      <w:r w:rsidRPr="00A011C6">
        <w:rPr>
          <w:lang w:val="fr-CA"/>
        </w:rPr>
        <w:t>affirmer que les tribunaux doivent tenir compte de l</w:t>
      </w:r>
      <w:r>
        <w:rPr>
          <w:lang w:val="fr-CA"/>
        </w:rPr>
        <w:t>’</w:t>
      </w:r>
      <w:r w:rsidRPr="00A011C6">
        <w:rPr>
          <w:lang w:val="fr-CA"/>
        </w:rPr>
        <w:t>acceptation volontaire du risque, une conséquence naturelle de l</w:t>
      </w:r>
      <w:r>
        <w:rPr>
          <w:lang w:val="fr-CA"/>
        </w:rPr>
        <w:t>’</w:t>
      </w:r>
      <w:r w:rsidRPr="00A011C6">
        <w:rPr>
          <w:lang w:val="fr-CA"/>
        </w:rPr>
        <w:t xml:space="preserve">impossibilité </w:t>
      </w:r>
      <w:r>
        <w:rPr>
          <w:lang w:val="fr-CA"/>
        </w:rPr>
        <w:t xml:space="preserve">pour les personnes ayant participé à des complots </w:t>
      </w:r>
      <w:r w:rsidRPr="00A011C6">
        <w:rPr>
          <w:lang w:val="fr-CA"/>
        </w:rPr>
        <w:t>o</w:t>
      </w:r>
      <w:r>
        <w:rPr>
          <w:lang w:val="fr-CA"/>
        </w:rPr>
        <w:t>u à des organisations criminel</w:t>
      </w:r>
      <w:r w:rsidRPr="00A011C6">
        <w:rPr>
          <w:lang w:val="fr-CA"/>
        </w:rPr>
        <w:t>s d</w:t>
      </w:r>
      <w:r>
        <w:rPr>
          <w:lang w:val="fr-CA"/>
        </w:rPr>
        <w:t>’</w:t>
      </w:r>
      <w:r w:rsidRPr="00A011C6">
        <w:rPr>
          <w:lang w:val="fr-CA"/>
        </w:rPr>
        <w:t xml:space="preserve">invoquer le moyen de défense fondé sur la contrainte.  </w:t>
      </w:r>
      <w:r>
        <w:rPr>
          <w:lang w:val="fr-CA"/>
        </w:rPr>
        <w:t xml:space="preserve">Cette conclusion respecte le </w:t>
      </w:r>
      <w:r w:rsidRPr="00A011C6">
        <w:rPr>
          <w:lang w:val="fr-CA"/>
        </w:rPr>
        <w:t>principe du caractère involontaire au sens mor</w:t>
      </w:r>
      <w:r>
        <w:rPr>
          <w:lang w:val="fr-CA"/>
        </w:rPr>
        <w:t xml:space="preserve">al. </w:t>
      </w:r>
      <w:r w:rsidRPr="00A011C6">
        <w:rPr>
          <w:lang w:val="fr-CA"/>
        </w:rPr>
        <w:t xml:space="preserve"> </w:t>
      </w:r>
      <w:r>
        <w:rPr>
          <w:lang w:val="fr-CA"/>
        </w:rPr>
        <w:t>L</w:t>
      </w:r>
      <w:r w:rsidRPr="00193FC4">
        <w:rPr>
          <w:rFonts w:cs="Times New Roman"/>
          <w:lang w:val="fr-CA"/>
        </w:rPr>
        <w:t>’</w:t>
      </w:r>
      <w:r w:rsidRPr="00A011C6">
        <w:rPr>
          <w:lang w:val="fr-CA"/>
        </w:rPr>
        <w:t>accusé qui, en raison de sa</w:t>
      </w:r>
      <w:r>
        <w:rPr>
          <w:lang w:val="fr-CA"/>
        </w:rPr>
        <w:t xml:space="preserve"> participation à des</w:t>
      </w:r>
      <w:r w:rsidRPr="00A011C6">
        <w:rPr>
          <w:lang w:val="fr-CA"/>
        </w:rPr>
        <w:t xml:space="preserve"> activité</w:t>
      </w:r>
      <w:r>
        <w:rPr>
          <w:lang w:val="fr-CA"/>
        </w:rPr>
        <w:t>s</w:t>
      </w:r>
      <w:r w:rsidRPr="00A011C6">
        <w:rPr>
          <w:lang w:val="fr-CA"/>
        </w:rPr>
        <w:t xml:space="preserve"> criminelle</w:t>
      </w:r>
      <w:r>
        <w:rPr>
          <w:lang w:val="fr-CA"/>
        </w:rPr>
        <w:t>s</w:t>
      </w:r>
      <w:r w:rsidRPr="00A011C6">
        <w:rPr>
          <w:lang w:val="fr-CA"/>
        </w:rPr>
        <w:t>, était conscient qu</w:t>
      </w:r>
      <w:r>
        <w:rPr>
          <w:lang w:val="fr-CA"/>
        </w:rPr>
        <w:t>’</w:t>
      </w:r>
      <w:r w:rsidRPr="00A011C6">
        <w:rPr>
          <w:lang w:val="fr-CA"/>
        </w:rPr>
        <w:t>il pouvait être victime de contrainte ou de menaces</w:t>
      </w:r>
      <w:r>
        <w:rPr>
          <w:lang w:val="fr-CA"/>
        </w:rPr>
        <w:t xml:space="preserve"> ne saurait </w:t>
      </w:r>
      <w:r w:rsidRPr="00A011C6">
        <w:rPr>
          <w:lang w:val="fr-CA"/>
        </w:rPr>
        <w:t>prétendre qu</w:t>
      </w:r>
      <w:r>
        <w:rPr>
          <w:lang w:val="fr-CA"/>
        </w:rPr>
        <w:t>’il ne disposait d</w:t>
      </w:r>
      <w:r w:rsidRPr="007F79E5">
        <w:rPr>
          <w:rFonts w:cs="Times New Roman"/>
          <w:lang w:val="fr-CA"/>
        </w:rPr>
        <w:t>’</w:t>
      </w:r>
      <w:r w:rsidRPr="00A011C6">
        <w:rPr>
          <w:lang w:val="fr-CA"/>
        </w:rPr>
        <w:t>aucun moyen de s</w:t>
      </w:r>
      <w:r>
        <w:rPr>
          <w:lang w:val="fr-CA"/>
        </w:rPr>
        <w:t>’</w:t>
      </w:r>
      <w:r w:rsidRPr="00A011C6">
        <w:rPr>
          <w:lang w:val="fr-CA"/>
        </w:rPr>
        <w:t>en sortir sans danger</w:t>
      </w:r>
      <w:r>
        <w:rPr>
          <w:lang w:val="fr-CA"/>
        </w:rPr>
        <w:t>.  O</w:t>
      </w:r>
      <w:r w:rsidRPr="00A011C6">
        <w:rPr>
          <w:lang w:val="fr-CA"/>
        </w:rPr>
        <w:t>n ne peut pas</w:t>
      </w:r>
      <w:r>
        <w:rPr>
          <w:lang w:val="fr-CA"/>
        </w:rPr>
        <w:t>, non plus,</w:t>
      </w:r>
      <w:r w:rsidRPr="00A011C6">
        <w:rPr>
          <w:lang w:val="fr-CA"/>
        </w:rPr>
        <w:t xml:space="preserve"> </w:t>
      </w:r>
      <w:r>
        <w:rPr>
          <w:lang w:val="fr-CA"/>
        </w:rPr>
        <w:t>v</w:t>
      </w:r>
      <w:r w:rsidRPr="00A011C6">
        <w:rPr>
          <w:lang w:val="fr-CA"/>
        </w:rPr>
        <w:t>raiment conclure qu</w:t>
      </w:r>
      <w:r>
        <w:rPr>
          <w:lang w:val="fr-CA"/>
        </w:rPr>
        <w:t>’</w:t>
      </w:r>
      <w:r w:rsidRPr="00A011C6">
        <w:rPr>
          <w:lang w:val="fr-CA"/>
        </w:rPr>
        <w:t>il a commis l</w:t>
      </w:r>
      <w:r>
        <w:rPr>
          <w:lang w:val="fr-CA"/>
        </w:rPr>
        <w:t>’</w:t>
      </w:r>
      <w:r w:rsidRPr="00A011C6">
        <w:rPr>
          <w:lang w:val="fr-CA"/>
        </w:rPr>
        <w:t>infraction en cause d</w:t>
      </w:r>
      <w:r>
        <w:rPr>
          <w:lang w:val="fr-CA"/>
        </w:rPr>
        <w:t>’</w:t>
      </w:r>
      <w:r w:rsidRPr="00A011C6">
        <w:rPr>
          <w:lang w:val="fr-CA"/>
        </w:rPr>
        <w:t>une manière involontaire au sens mor</w:t>
      </w:r>
      <w:r>
        <w:rPr>
          <w:lang w:val="fr-CA"/>
        </w:rPr>
        <w:t>al. </w:t>
      </w:r>
      <w:r w:rsidRPr="00A011C6">
        <w:rPr>
          <w:lang w:val="fr-CA"/>
        </w:rPr>
        <w:t xml:space="preserve"> </w:t>
      </w:r>
    </w:p>
    <w:p w:rsidR="00AF49CF" w:rsidRPr="00A011C6" w:rsidRDefault="00AF49CF" w:rsidP="00AF49CF">
      <w:pPr>
        <w:pStyle w:val="ParaNoNdepar-AltN"/>
        <w:autoSpaceDE w:val="0"/>
        <w:autoSpaceDN w:val="0"/>
        <w:adjustRightInd w:val="0"/>
        <w:rPr>
          <w:szCs w:val="24"/>
          <w:lang w:val="fr-CA"/>
        </w:rPr>
      </w:pPr>
      <w:r w:rsidRPr="00A011C6">
        <w:rPr>
          <w:lang w:val="fr-CA"/>
        </w:rPr>
        <w:t xml:space="preserve">Par conséquent, pour invoquer le moyen de défense de common law fondé sur la contrainte, </w:t>
      </w:r>
      <w:r>
        <w:rPr>
          <w:lang w:val="fr-CA"/>
        </w:rPr>
        <w:t xml:space="preserve">il ne faut pas que </w:t>
      </w:r>
      <w:r w:rsidRPr="00A011C6">
        <w:rPr>
          <w:lang w:val="fr-CA"/>
        </w:rPr>
        <w:t>l</w:t>
      </w:r>
      <w:r>
        <w:rPr>
          <w:lang w:val="fr-CA"/>
        </w:rPr>
        <w:t>’accusé ait</w:t>
      </w:r>
      <w:r w:rsidRPr="00A011C6">
        <w:rPr>
          <w:lang w:val="fr-CA"/>
        </w:rPr>
        <w:t xml:space="preserve"> </w:t>
      </w:r>
      <w:r>
        <w:rPr>
          <w:lang w:val="fr-CA"/>
        </w:rPr>
        <w:t>participé à un complot</w:t>
      </w:r>
      <w:r w:rsidRPr="00A011C6">
        <w:rPr>
          <w:lang w:val="fr-CA"/>
        </w:rPr>
        <w:t xml:space="preserve"> ou à une association</w:t>
      </w:r>
      <w:r>
        <w:rPr>
          <w:lang w:val="fr-CA"/>
        </w:rPr>
        <w:t xml:space="preserve"> qui</w:t>
      </w:r>
      <w:r w:rsidRPr="00A011C6">
        <w:rPr>
          <w:lang w:val="fr-CA"/>
        </w:rPr>
        <w:t xml:space="preserve"> </w:t>
      </w:r>
      <w:r>
        <w:rPr>
          <w:lang w:val="fr-CA"/>
        </w:rPr>
        <w:t>le soumette à</w:t>
      </w:r>
      <w:r w:rsidRPr="00A011C6">
        <w:rPr>
          <w:lang w:val="fr-CA"/>
        </w:rPr>
        <w:t xml:space="preserve"> la contrainte</w:t>
      </w:r>
      <w:r>
        <w:rPr>
          <w:lang w:val="fr-CA"/>
        </w:rPr>
        <w:t xml:space="preserve">, et ait vraiment su </w:t>
      </w:r>
      <w:r w:rsidRPr="00A011C6">
        <w:rPr>
          <w:lang w:val="fr-CA"/>
        </w:rPr>
        <w:t xml:space="preserve">que les menaces et la contrainte </w:t>
      </w:r>
      <w:r>
        <w:rPr>
          <w:lang w:val="fr-CA"/>
        </w:rPr>
        <w:t>l</w:t>
      </w:r>
      <w:r w:rsidRPr="00193FC4">
        <w:rPr>
          <w:rFonts w:cs="Times New Roman"/>
          <w:lang w:val="fr-CA"/>
        </w:rPr>
        <w:t>’</w:t>
      </w:r>
      <w:r>
        <w:rPr>
          <w:lang w:val="fr-CA"/>
        </w:rPr>
        <w:t xml:space="preserve">incitant à commettre </w:t>
      </w:r>
      <w:r w:rsidRPr="00A011C6">
        <w:rPr>
          <w:lang w:val="fr-CA"/>
        </w:rPr>
        <w:t xml:space="preserve">une infraction </w:t>
      </w:r>
      <w:r>
        <w:rPr>
          <w:lang w:val="fr-CA"/>
        </w:rPr>
        <w:t>constituaient</w:t>
      </w:r>
      <w:r w:rsidRPr="00A011C6">
        <w:rPr>
          <w:lang w:val="fr-CA"/>
        </w:rPr>
        <w:t xml:space="preserve"> une conséquence possible de cette activité, </w:t>
      </w:r>
      <w:r>
        <w:rPr>
          <w:lang w:val="fr-CA"/>
        </w:rPr>
        <w:t>de ce complot</w:t>
      </w:r>
      <w:r w:rsidRPr="00A011C6">
        <w:rPr>
          <w:lang w:val="fr-CA"/>
        </w:rPr>
        <w:t xml:space="preserve"> ou </w:t>
      </w:r>
      <w:r>
        <w:rPr>
          <w:lang w:val="fr-CA"/>
        </w:rPr>
        <w:t>de cette association criminels</w:t>
      </w:r>
      <w:r w:rsidRPr="00A011C6">
        <w:rPr>
          <w:lang w:val="fr-CA"/>
        </w:rPr>
        <w:t xml:space="preserve">. </w:t>
      </w:r>
      <w:r>
        <w:rPr>
          <w:lang w:val="fr-CA"/>
        </w:rPr>
        <w:t xml:space="preserve"> </w:t>
      </w:r>
      <w:r w:rsidRPr="00A011C6">
        <w:rPr>
          <w:lang w:val="fr-CA"/>
        </w:rPr>
        <w:t xml:space="preserve">Dans </w:t>
      </w:r>
      <w:r w:rsidRPr="00A011C6">
        <w:rPr>
          <w:i/>
          <w:lang w:val="fr-CA"/>
        </w:rPr>
        <w:t>Ruzic</w:t>
      </w:r>
      <w:r w:rsidRPr="00A011C6">
        <w:rPr>
          <w:lang w:val="fr-CA"/>
        </w:rPr>
        <w:t>,</w:t>
      </w:r>
      <w:r>
        <w:rPr>
          <w:lang w:val="fr-CA"/>
        </w:rPr>
        <w:t xml:space="preserve"> par. </w:t>
      </w:r>
      <w:r w:rsidRPr="00A011C6">
        <w:rPr>
          <w:lang w:val="fr-CA"/>
        </w:rPr>
        <w:t xml:space="preserve">70, le juge LeBel </w:t>
      </w:r>
      <w:r>
        <w:rPr>
          <w:lang w:val="fr-CA"/>
        </w:rPr>
        <w:t>s</w:t>
      </w:r>
      <w:r w:rsidRPr="00193FC4">
        <w:rPr>
          <w:rFonts w:cs="Times New Roman"/>
          <w:lang w:val="fr-CA"/>
        </w:rPr>
        <w:t>’</w:t>
      </w:r>
      <w:r>
        <w:rPr>
          <w:lang w:val="fr-CA"/>
        </w:rPr>
        <w:t xml:space="preserve">exprime comme </w:t>
      </w:r>
      <w:r w:rsidRPr="00A011C6">
        <w:rPr>
          <w:lang w:val="fr-CA"/>
        </w:rPr>
        <w:t>suit</w:t>
      </w:r>
      <w:r>
        <w:rPr>
          <w:lang w:val="fr-CA"/>
        </w:rPr>
        <w:t> :</w:t>
      </w:r>
      <w:r w:rsidRPr="00A011C6">
        <w:rPr>
          <w:lang w:val="fr-CA"/>
        </w:rPr>
        <w:t xml:space="preserve"> « </w:t>
      </w:r>
      <w:r w:rsidR="00803971">
        <w:rPr>
          <w:lang w:val="fr-CA"/>
        </w:rPr>
        <w:t xml:space="preserve">À </w:t>
      </w:r>
      <w:r w:rsidRPr="00A011C6">
        <w:rPr>
          <w:lang w:val="fr-CA"/>
        </w:rPr>
        <w:t>l</w:t>
      </w:r>
      <w:r>
        <w:rPr>
          <w:lang w:val="fr-CA"/>
        </w:rPr>
        <w:t>’</w:t>
      </w:r>
      <w:r w:rsidRPr="00A011C6">
        <w:rPr>
          <w:lang w:val="fr-CA"/>
        </w:rPr>
        <w:t>instar de l</w:t>
      </w:r>
      <w:r>
        <w:rPr>
          <w:lang w:val="fr-CA"/>
        </w:rPr>
        <w:t>’art. </w:t>
      </w:r>
      <w:r w:rsidRPr="00A011C6">
        <w:rPr>
          <w:lang w:val="fr-CA"/>
        </w:rPr>
        <w:t xml:space="preserve">17 du </w:t>
      </w:r>
      <w:r w:rsidRPr="00C264DE">
        <w:rPr>
          <w:i/>
          <w:lang w:val="fr-CA"/>
        </w:rPr>
        <w:t>Code criminel</w:t>
      </w:r>
      <w:r w:rsidRPr="00A011C6">
        <w:rPr>
          <w:lang w:val="fr-CA"/>
        </w:rPr>
        <w:t>, la jurisprudence anglaise ne permet pas d</w:t>
      </w:r>
      <w:r>
        <w:rPr>
          <w:lang w:val="fr-CA"/>
        </w:rPr>
        <w:t>’</w:t>
      </w:r>
      <w:r w:rsidRPr="00A011C6">
        <w:rPr>
          <w:lang w:val="fr-CA"/>
        </w:rPr>
        <w:t>invoquer la contrainte qui résulte des menaces proférées par une organisation criminelle à laquelle l</w:t>
      </w:r>
      <w:r>
        <w:rPr>
          <w:lang w:val="fr-CA"/>
        </w:rPr>
        <w:t>’</w:t>
      </w:r>
      <w:r w:rsidRPr="00A011C6">
        <w:rPr>
          <w:lang w:val="fr-CA"/>
        </w:rPr>
        <w:t>accusé s</w:t>
      </w:r>
      <w:r>
        <w:rPr>
          <w:lang w:val="fr-CA"/>
        </w:rPr>
        <w:t>’</w:t>
      </w:r>
      <w:r w:rsidRPr="00A011C6">
        <w:rPr>
          <w:lang w:val="fr-CA"/>
        </w:rPr>
        <w:t xml:space="preserve">est joint de son propre gré, </w:t>
      </w:r>
      <w:r w:rsidRPr="00A011C6">
        <w:rPr>
          <w:u w:val="single"/>
          <w:lang w:val="fr-CA"/>
        </w:rPr>
        <w:t>en sachant qu</w:t>
      </w:r>
      <w:r>
        <w:rPr>
          <w:u w:val="single"/>
          <w:lang w:val="fr-CA"/>
        </w:rPr>
        <w:t>’</w:t>
      </w:r>
      <w:r w:rsidRPr="00A011C6">
        <w:rPr>
          <w:u w:val="single"/>
          <w:lang w:val="fr-CA"/>
        </w:rPr>
        <w:t>elle pourrait le forcer à se livrer à des activités criminelles</w:t>
      </w:r>
      <w:r>
        <w:rPr>
          <w:lang w:val="fr-CA"/>
        </w:rPr>
        <w:t xml:space="preserve">  </w:t>
      </w:r>
      <w:r w:rsidRPr="00A011C6">
        <w:rPr>
          <w:szCs w:val="24"/>
          <w:lang w:val="fr-CA"/>
        </w:rPr>
        <w:t>(</w:t>
      </w:r>
      <w:r w:rsidRPr="00A011C6">
        <w:rPr>
          <w:i/>
          <w:iCs/>
          <w:szCs w:val="24"/>
          <w:lang w:val="fr-CA"/>
        </w:rPr>
        <w:t xml:space="preserve">R. </w:t>
      </w:r>
      <w:r>
        <w:rPr>
          <w:i/>
          <w:iCs/>
          <w:szCs w:val="24"/>
          <w:lang w:val="fr-CA"/>
        </w:rPr>
        <w:t>c</w:t>
      </w:r>
      <w:r w:rsidRPr="00A011C6">
        <w:rPr>
          <w:i/>
          <w:iCs/>
          <w:szCs w:val="24"/>
          <w:lang w:val="fr-CA"/>
        </w:rPr>
        <w:t xml:space="preserve">. Lewis </w:t>
      </w:r>
      <w:r w:rsidRPr="00A011C6">
        <w:rPr>
          <w:szCs w:val="24"/>
          <w:lang w:val="fr-CA"/>
        </w:rPr>
        <w:t>(1992), 96 Cr. A</w:t>
      </w:r>
      <w:r>
        <w:rPr>
          <w:szCs w:val="24"/>
          <w:lang w:val="fr-CA"/>
        </w:rPr>
        <w:t>pp. </w:t>
      </w:r>
      <w:r w:rsidRPr="00A011C6">
        <w:rPr>
          <w:szCs w:val="24"/>
          <w:lang w:val="fr-CA"/>
        </w:rPr>
        <w:t xml:space="preserve">R. 412; </w:t>
      </w:r>
      <w:r w:rsidRPr="00A011C6">
        <w:rPr>
          <w:i/>
          <w:iCs/>
          <w:szCs w:val="24"/>
          <w:lang w:val="fr-CA"/>
        </w:rPr>
        <w:t xml:space="preserve">R. </w:t>
      </w:r>
      <w:r>
        <w:rPr>
          <w:i/>
          <w:iCs/>
          <w:szCs w:val="24"/>
          <w:lang w:val="fr-CA"/>
        </w:rPr>
        <w:t>c</w:t>
      </w:r>
      <w:r w:rsidRPr="00A011C6">
        <w:rPr>
          <w:i/>
          <w:iCs/>
          <w:szCs w:val="24"/>
          <w:lang w:val="fr-CA"/>
        </w:rPr>
        <w:t>. Heath</w:t>
      </w:r>
      <w:r w:rsidRPr="00A011C6">
        <w:rPr>
          <w:szCs w:val="24"/>
          <w:lang w:val="fr-CA"/>
        </w:rPr>
        <w:t xml:space="preserve">, [1999] E.W.J. </w:t>
      </w:r>
      <w:r w:rsidR="009515DA">
        <w:rPr>
          <w:szCs w:val="24"/>
          <w:lang w:val="fr-CA"/>
        </w:rPr>
        <w:t>No.</w:t>
      </w:r>
      <w:r>
        <w:rPr>
          <w:szCs w:val="24"/>
          <w:lang w:val="fr-CA"/>
        </w:rPr>
        <w:t> </w:t>
      </w:r>
      <w:r w:rsidRPr="00A011C6">
        <w:rPr>
          <w:szCs w:val="24"/>
          <w:lang w:val="fr-CA"/>
        </w:rPr>
        <w:t>5092 (QL)</w:t>
      </w:r>
      <w:r>
        <w:rPr>
          <w:szCs w:val="24"/>
          <w:lang w:val="fr-CA"/>
        </w:rPr>
        <w:t>)</w:t>
      </w:r>
      <w:r w:rsidRPr="004F6903">
        <w:rPr>
          <w:lang w:val="fr-CA"/>
        </w:rPr>
        <w:t xml:space="preserve"> </w:t>
      </w:r>
      <w:r>
        <w:rPr>
          <w:lang w:val="fr-CA"/>
        </w:rPr>
        <w:t>» (n</w:t>
      </w:r>
      <w:r w:rsidRPr="00A011C6">
        <w:rPr>
          <w:lang w:val="fr-CA"/>
        </w:rPr>
        <w:t>o</w:t>
      </w:r>
      <w:r>
        <w:rPr>
          <w:lang w:val="fr-CA"/>
        </w:rPr>
        <w:t>us</w:t>
      </w:r>
      <w:r w:rsidRPr="00A011C6">
        <w:rPr>
          <w:lang w:val="fr-CA"/>
        </w:rPr>
        <w:t xml:space="preserve"> soulign</w:t>
      </w:r>
      <w:r>
        <w:rPr>
          <w:lang w:val="fr-CA"/>
        </w:rPr>
        <w:t>ons).</w:t>
      </w:r>
      <w:r w:rsidRPr="00A011C6">
        <w:rPr>
          <w:lang w:val="fr-CA"/>
        </w:rPr>
        <w:t xml:space="preserve">  </w:t>
      </w:r>
    </w:p>
    <w:p w:rsidR="00AF49CF" w:rsidRPr="00A011C6" w:rsidRDefault="00AF49CF" w:rsidP="00AF49CF">
      <w:pPr>
        <w:pStyle w:val="ParaNoNdepar-AltN"/>
        <w:autoSpaceDE w:val="0"/>
        <w:autoSpaceDN w:val="0"/>
        <w:adjustRightInd w:val="0"/>
        <w:rPr>
          <w:szCs w:val="24"/>
          <w:lang w:val="fr-CA"/>
        </w:rPr>
      </w:pPr>
      <w:r>
        <w:rPr>
          <w:szCs w:val="24"/>
          <w:lang w:val="fr-CA"/>
        </w:rPr>
        <w:t>Les opinions restent partagées au sujet du caractère objectif ou subjectif de la connaissance par l’accusé</w:t>
      </w:r>
      <w:r w:rsidRPr="007B0DAF">
        <w:rPr>
          <w:szCs w:val="24"/>
          <w:lang w:val="fr-CA"/>
        </w:rPr>
        <w:t xml:space="preserve"> </w:t>
      </w:r>
      <w:r>
        <w:rPr>
          <w:szCs w:val="24"/>
          <w:lang w:val="fr-CA"/>
        </w:rPr>
        <w:t>du fait qu’il pourrait faire l’objet de menaces ou de contrainte</w:t>
      </w:r>
      <w:r w:rsidRPr="00A011C6">
        <w:rPr>
          <w:szCs w:val="24"/>
          <w:lang w:val="fr-CA"/>
        </w:rPr>
        <w:t>.</w:t>
      </w:r>
      <w:r>
        <w:rPr>
          <w:szCs w:val="24"/>
          <w:lang w:val="fr-CA"/>
        </w:rPr>
        <w:t xml:space="preserve">  Selon </w:t>
      </w:r>
      <w:r>
        <w:rPr>
          <w:lang w:val="fr-CA"/>
        </w:rPr>
        <w:t>Yeo, l’application d’un critère subjectif tirée de l</w:t>
      </w:r>
      <w:r w:rsidRPr="004F28A5">
        <w:rPr>
          <w:rFonts w:cs="Times New Roman"/>
          <w:lang w:val="fr-CA"/>
        </w:rPr>
        <w:t>’</w:t>
      </w:r>
      <w:r>
        <w:rPr>
          <w:lang w:val="fr-CA"/>
        </w:rPr>
        <w:t xml:space="preserve">affaire </w:t>
      </w:r>
      <w:r w:rsidRPr="00A011C6">
        <w:rPr>
          <w:i/>
          <w:lang w:val="fr-CA"/>
        </w:rPr>
        <w:t>Ruzic</w:t>
      </w:r>
      <w:r w:rsidRPr="00A011C6">
        <w:rPr>
          <w:lang w:val="fr-CA"/>
        </w:rPr>
        <w:t xml:space="preserve"> </w:t>
      </w:r>
      <w:r>
        <w:rPr>
          <w:lang w:val="fr-CA"/>
        </w:rPr>
        <w:t>est conforme au droit australien</w:t>
      </w:r>
      <w:r w:rsidRPr="00A011C6">
        <w:rPr>
          <w:lang w:val="fr-CA"/>
        </w:rPr>
        <w:t xml:space="preserve">, </w:t>
      </w:r>
      <w:r>
        <w:rPr>
          <w:lang w:val="fr-CA"/>
        </w:rPr>
        <w:t>qui refuse le recours au moyen de défense fondé sur la contrainte aux seules personnes qui étaient vraiment conscientes du risque d’être soumises à la contrainte par une association criminelle (</w:t>
      </w:r>
      <w:r w:rsidRPr="00A011C6">
        <w:rPr>
          <w:lang w:val="fr-CA"/>
        </w:rPr>
        <w:t>S</w:t>
      </w:r>
      <w:r>
        <w:rPr>
          <w:lang w:val="fr-CA"/>
        </w:rPr>
        <w:t>. </w:t>
      </w:r>
      <w:r w:rsidRPr="00A011C6">
        <w:rPr>
          <w:lang w:val="fr-CA"/>
        </w:rPr>
        <w:t>Yeo</w:t>
      </w:r>
      <w:r>
        <w:rPr>
          <w:lang w:val="fr-CA"/>
        </w:rPr>
        <w:t>,</w:t>
      </w:r>
      <w:r w:rsidRPr="00A011C6">
        <w:rPr>
          <w:lang w:val="fr-CA"/>
        </w:rPr>
        <w:t xml:space="preserve"> </w:t>
      </w:r>
      <w:r>
        <w:rPr>
          <w:lang w:val="fr-CA"/>
        </w:rPr>
        <w:t>« </w:t>
      </w:r>
      <w:r w:rsidRPr="00A011C6">
        <w:rPr>
          <w:lang w:val="fr-CA"/>
        </w:rPr>
        <w:t>Defining Duress</w:t>
      </w:r>
      <w:r>
        <w:rPr>
          <w:lang w:val="fr-CA"/>
        </w:rPr>
        <w:t xml:space="preserve"> » </w:t>
      </w:r>
      <w:r w:rsidRPr="00A011C6">
        <w:rPr>
          <w:lang w:val="fr-CA"/>
        </w:rPr>
        <w:t>(2002)</w:t>
      </w:r>
      <w:r>
        <w:rPr>
          <w:lang w:val="fr-CA"/>
        </w:rPr>
        <w:t>,</w:t>
      </w:r>
      <w:r w:rsidRPr="00A011C6">
        <w:rPr>
          <w:lang w:val="fr-CA"/>
        </w:rPr>
        <w:t xml:space="preserve"> 46 </w:t>
      </w:r>
      <w:r w:rsidRPr="00C264DE">
        <w:rPr>
          <w:i/>
          <w:lang w:val="fr-CA"/>
        </w:rPr>
        <w:t>Crim. L.Q.</w:t>
      </w:r>
      <w:r w:rsidRPr="00A011C6">
        <w:rPr>
          <w:lang w:val="fr-CA"/>
        </w:rPr>
        <w:t xml:space="preserve"> 293</w:t>
      </w:r>
      <w:r>
        <w:rPr>
          <w:lang w:val="fr-CA"/>
        </w:rPr>
        <w:t>, p. </w:t>
      </w:r>
      <w:r w:rsidRPr="00A011C6">
        <w:rPr>
          <w:lang w:val="fr-CA"/>
        </w:rPr>
        <w:t>315</w:t>
      </w:r>
      <w:r>
        <w:rPr>
          <w:lang w:val="fr-CA"/>
        </w:rPr>
        <w:t>)</w:t>
      </w:r>
      <w:r w:rsidRPr="00A011C6">
        <w:rPr>
          <w:lang w:val="fr-CA"/>
        </w:rPr>
        <w:t>.</w:t>
      </w:r>
      <w:r>
        <w:rPr>
          <w:lang w:val="fr-CA"/>
        </w:rPr>
        <w:t xml:space="preserve">  Une norme subjective est également appliquée aux États</w:t>
      </w:r>
      <w:r>
        <w:rPr>
          <w:lang w:val="fr-CA"/>
        </w:rPr>
        <w:noBreakHyphen/>
        <w:t>Unis (</w:t>
      </w:r>
      <w:r w:rsidRPr="00A011C6">
        <w:rPr>
          <w:i/>
          <w:lang w:val="fr-CA"/>
        </w:rPr>
        <w:t>U</w:t>
      </w:r>
      <w:r>
        <w:rPr>
          <w:i/>
          <w:lang w:val="fr-CA"/>
        </w:rPr>
        <w:t xml:space="preserve">nited </w:t>
      </w:r>
      <w:r w:rsidRPr="00A011C6">
        <w:rPr>
          <w:i/>
          <w:lang w:val="fr-CA"/>
        </w:rPr>
        <w:t>S</w:t>
      </w:r>
      <w:r>
        <w:rPr>
          <w:i/>
          <w:lang w:val="fr-CA"/>
        </w:rPr>
        <w:t>tates</w:t>
      </w:r>
      <w:r w:rsidRPr="00A011C6">
        <w:rPr>
          <w:i/>
          <w:lang w:val="fr-CA"/>
        </w:rPr>
        <w:t xml:space="preserve"> </w:t>
      </w:r>
      <w:r>
        <w:rPr>
          <w:i/>
          <w:lang w:val="fr-CA"/>
        </w:rPr>
        <w:t>c</w:t>
      </w:r>
      <w:r w:rsidRPr="00A011C6">
        <w:rPr>
          <w:i/>
          <w:lang w:val="fr-CA"/>
        </w:rPr>
        <w:t>. Burnes</w:t>
      </w:r>
      <w:r w:rsidRPr="00A011C6">
        <w:rPr>
          <w:lang w:val="fr-CA"/>
        </w:rPr>
        <w:t>, 666 F.Su</w:t>
      </w:r>
      <w:r>
        <w:rPr>
          <w:lang w:val="fr-CA"/>
        </w:rPr>
        <w:t>pp.</w:t>
      </w:r>
      <w:r w:rsidRPr="00A011C6">
        <w:rPr>
          <w:lang w:val="fr-CA"/>
        </w:rPr>
        <w:t>2d 968 (</w:t>
      </w:r>
      <w:r>
        <w:rPr>
          <w:lang w:val="fr-CA"/>
        </w:rPr>
        <w:t xml:space="preserve">D. Minn. </w:t>
      </w:r>
      <w:r w:rsidRPr="00A011C6">
        <w:rPr>
          <w:lang w:val="fr-CA"/>
        </w:rPr>
        <w:t xml:space="preserve">2009); </w:t>
      </w:r>
      <w:r w:rsidRPr="00A011C6">
        <w:rPr>
          <w:i/>
          <w:lang w:val="fr-CA"/>
        </w:rPr>
        <w:t>U</w:t>
      </w:r>
      <w:r>
        <w:rPr>
          <w:i/>
          <w:lang w:val="fr-CA"/>
        </w:rPr>
        <w:t xml:space="preserve">nited </w:t>
      </w:r>
      <w:r w:rsidRPr="00A011C6">
        <w:rPr>
          <w:i/>
          <w:lang w:val="fr-CA"/>
        </w:rPr>
        <w:t>S</w:t>
      </w:r>
      <w:r>
        <w:rPr>
          <w:i/>
          <w:lang w:val="fr-CA"/>
        </w:rPr>
        <w:t>tates</w:t>
      </w:r>
      <w:r w:rsidRPr="00A011C6">
        <w:rPr>
          <w:i/>
          <w:lang w:val="fr-CA"/>
        </w:rPr>
        <w:t xml:space="preserve"> </w:t>
      </w:r>
      <w:r>
        <w:rPr>
          <w:i/>
          <w:lang w:val="fr-CA"/>
        </w:rPr>
        <w:t>c</w:t>
      </w:r>
      <w:r w:rsidRPr="00A011C6">
        <w:rPr>
          <w:i/>
          <w:lang w:val="fr-CA"/>
        </w:rPr>
        <w:t>. Gamboa</w:t>
      </w:r>
      <w:r w:rsidRPr="00A011C6">
        <w:rPr>
          <w:lang w:val="fr-CA"/>
        </w:rPr>
        <w:t>, 439 F.3d 796 (</w:t>
      </w:r>
      <w:r>
        <w:rPr>
          <w:lang w:val="fr-CA"/>
        </w:rPr>
        <w:t xml:space="preserve">8th Cir. </w:t>
      </w:r>
      <w:r w:rsidRPr="00A011C6">
        <w:rPr>
          <w:lang w:val="fr-CA"/>
        </w:rPr>
        <w:t xml:space="preserve">2006); </w:t>
      </w:r>
      <w:r w:rsidRPr="00A011C6">
        <w:rPr>
          <w:i/>
          <w:lang w:val="fr-CA"/>
        </w:rPr>
        <w:t>U</w:t>
      </w:r>
      <w:r>
        <w:rPr>
          <w:i/>
          <w:lang w:val="fr-CA"/>
        </w:rPr>
        <w:t xml:space="preserve">nited </w:t>
      </w:r>
      <w:r w:rsidRPr="00A011C6">
        <w:rPr>
          <w:i/>
          <w:lang w:val="fr-CA"/>
        </w:rPr>
        <w:t>S</w:t>
      </w:r>
      <w:r>
        <w:rPr>
          <w:i/>
          <w:lang w:val="fr-CA"/>
        </w:rPr>
        <w:t>tates</w:t>
      </w:r>
      <w:r w:rsidRPr="00A011C6">
        <w:rPr>
          <w:i/>
          <w:lang w:val="fr-CA"/>
        </w:rPr>
        <w:t xml:space="preserve"> </w:t>
      </w:r>
      <w:r>
        <w:rPr>
          <w:i/>
          <w:lang w:val="fr-CA"/>
        </w:rPr>
        <w:t>c</w:t>
      </w:r>
      <w:r w:rsidRPr="00A011C6">
        <w:rPr>
          <w:i/>
          <w:lang w:val="fr-CA"/>
        </w:rPr>
        <w:t>. Montes</w:t>
      </w:r>
      <w:r w:rsidRPr="00A011C6">
        <w:rPr>
          <w:lang w:val="fr-CA"/>
        </w:rPr>
        <w:t>, 602 F.3d 381 (</w:t>
      </w:r>
      <w:r>
        <w:rPr>
          <w:lang w:val="fr-CA"/>
        </w:rPr>
        <w:t xml:space="preserve">5th Cir. </w:t>
      </w:r>
      <w:r w:rsidRPr="00A011C6">
        <w:rPr>
          <w:lang w:val="fr-CA"/>
        </w:rPr>
        <w:t>2010)</w:t>
      </w:r>
      <w:r>
        <w:rPr>
          <w:lang w:val="fr-CA"/>
        </w:rPr>
        <w:t>)</w:t>
      </w:r>
      <w:r w:rsidRPr="00A011C6">
        <w:rPr>
          <w:lang w:val="fr-CA"/>
        </w:rPr>
        <w:t xml:space="preserve">. </w:t>
      </w:r>
      <w:r>
        <w:rPr>
          <w:lang w:val="fr-CA"/>
        </w:rPr>
        <w:t xml:space="preserve"> </w:t>
      </w:r>
      <w:r w:rsidRPr="00A011C6">
        <w:rPr>
          <w:lang w:val="fr-CA"/>
        </w:rPr>
        <w:t xml:space="preserve">Baker, </w:t>
      </w:r>
      <w:r>
        <w:rPr>
          <w:lang w:val="fr-CA"/>
        </w:rPr>
        <w:t xml:space="preserve">toutefois, semble rejeter une norme purement </w:t>
      </w:r>
      <w:r w:rsidRPr="00A011C6">
        <w:rPr>
          <w:lang w:val="fr-CA"/>
        </w:rPr>
        <w:t xml:space="preserve">subjective. </w:t>
      </w:r>
      <w:r>
        <w:rPr>
          <w:lang w:val="fr-CA"/>
        </w:rPr>
        <w:t xml:space="preserve"> Selon lui, le critère devrait consister à déterminer si l’accusé, </w:t>
      </w:r>
      <w:r w:rsidRPr="003747B5">
        <w:rPr>
          <w:smallCaps/>
          <w:lang w:val="fr-CA"/>
        </w:rPr>
        <w:t>[traduction]</w:t>
      </w:r>
      <w:r>
        <w:rPr>
          <w:lang w:val="fr-CA"/>
        </w:rPr>
        <w:t xml:space="preserve"> « par insouciance ou négligence, s’est placé dans une </w:t>
      </w:r>
      <w:r w:rsidRPr="00A011C6">
        <w:rPr>
          <w:lang w:val="fr-CA"/>
        </w:rPr>
        <w:t xml:space="preserve">situation </w:t>
      </w:r>
      <w:r>
        <w:rPr>
          <w:lang w:val="fr-CA"/>
        </w:rPr>
        <w:t xml:space="preserve">dans laquelle il était </w:t>
      </w:r>
      <w:r w:rsidRPr="00A011C6">
        <w:rPr>
          <w:lang w:val="fr-CA"/>
        </w:rPr>
        <w:t xml:space="preserve">probable </w:t>
      </w:r>
      <w:r>
        <w:rPr>
          <w:lang w:val="fr-CA"/>
        </w:rPr>
        <w:t>qu’il serait contraint de commettre un acte criminel »</w:t>
      </w:r>
      <w:r w:rsidRPr="00A011C6">
        <w:rPr>
          <w:lang w:val="fr-CA"/>
        </w:rPr>
        <w:t xml:space="preserve"> (</w:t>
      </w:r>
      <w:r>
        <w:rPr>
          <w:lang w:val="fr-CA"/>
        </w:rPr>
        <w:t>par. </w:t>
      </w:r>
      <w:r w:rsidRPr="00A011C6">
        <w:rPr>
          <w:lang w:val="fr-CA"/>
        </w:rPr>
        <w:t>25</w:t>
      </w:r>
      <w:r>
        <w:rPr>
          <w:lang w:val="fr-CA"/>
        </w:rPr>
        <w:noBreakHyphen/>
      </w:r>
      <w:r w:rsidRPr="00A011C6">
        <w:rPr>
          <w:lang w:val="fr-CA"/>
        </w:rPr>
        <w:t xml:space="preserve">044). </w:t>
      </w:r>
    </w:p>
    <w:p w:rsidR="00AF49CF" w:rsidRPr="00A011C6" w:rsidRDefault="00AF49CF" w:rsidP="00AF49CF">
      <w:pPr>
        <w:pStyle w:val="ParaNoNdepar-AltN"/>
        <w:autoSpaceDE w:val="0"/>
        <w:autoSpaceDN w:val="0"/>
        <w:adjustRightInd w:val="0"/>
        <w:rPr>
          <w:szCs w:val="24"/>
          <w:lang w:val="fr-CA"/>
        </w:rPr>
      </w:pPr>
      <w:r>
        <w:rPr>
          <w:lang w:val="fr-CA"/>
        </w:rPr>
        <w:t>À notre avis, la norme subjective s</w:t>
      </w:r>
      <w:r w:rsidRPr="004F28A5">
        <w:rPr>
          <w:rFonts w:cs="Times New Roman"/>
          <w:lang w:val="fr-CA"/>
        </w:rPr>
        <w:t>’</w:t>
      </w:r>
      <w:r>
        <w:rPr>
          <w:lang w:val="fr-CA"/>
        </w:rPr>
        <w:t>harmonise davantage avec le principe du caractère involontaire au sens moral.  Si l’accusé se place de son plein gré dans une situation où il pourrait faire l’objet de contrainte</w:t>
      </w:r>
      <w:r w:rsidRPr="00A011C6">
        <w:rPr>
          <w:lang w:val="fr-CA"/>
        </w:rPr>
        <w:t xml:space="preserve">, </w:t>
      </w:r>
      <w:r>
        <w:rPr>
          <w:lang w:val="fr-CA"/>
        </w:rPr>
        <w:t>nous ne pouvons pas conclure qu’il ne disposait d</w:t>
      </w:r>
      <w:r w:rsidRPr="004F28A5">
        <w:rPr>
          <w:rFonts w:cs="Times New Roman"/>
          <w:lang w:val="fr-CA"/>
        </w:rPr>
        <w:t>’</w:t>
      </w:r>
      <w:r>
        <w:rPr>
          <w:lang w:val="fr-CA"/>
        </w:rPr>
        <w:t>aucun moyen de s’en sortir sans danger ni que, par la suite, ses actes étaient moralement involontaires</w:t>
      </w:r>
      <w:r w:rsidRPr="00A011C6">
        <w:rPr>
          <w:lang w:val="fr-CA"/>
        </w:rPr>
        <w:t xml:space="preserve">. </w:t>
      </w:r>
    </w:p>
    <w:p w:rsidR="00AF49CF" w:rsidRPr="00A011C6" w:rsidRDefault="00AF49CF" w:rsidP="00D811C5">
      <w:pPr>
        <w:pStyle w:val="TitleTitre-AltT"/>
        <w:tabs>
          <w:tab w:val="clear" w:pos="360"/>
          <w:tab w:val="left" w:pos="540"/>
        </w:tabs>
        <w:ind w:left="540" w:hanging="540"/>
        <w:rPr>
          <w:lang w:val="fr-CA"/>
        </w:rPr>
      </w:pPr>
      <w:r w:rsidRPr="00A011C6">
        <w:rPr>
          <w:lang w:val="fr-CA"/>
        </w:rPr>
        <w:t>IV.</w:t>
      </w:r>
      <w:r w:rsidRPr="00A011C6">
        <w:rPr>
          <w:lang w:val="fr-CA"/>
        </w:rPr>
        <w:tab/>
      </w:r>
      <w:r>
        <w:rPr>
          <w:u w:val="single"/>
          <w:lang w:val="fr-CA"/>
        </w:rPr>
        <w:t>Résumé</w:t>
      </w:r>
    </w:p>
    <w:p w:rsidR="00AF49CF" w:rsidRPr="00A011C6" w:rsidRDefault="00AF49CF" w:rsidP="00AF49CF">
      <w:pPr>
        <w:pStyle w:val="ParaNoNdepar-AltN"/>
        <w:rPr>
          <w:lang w:val="fr-CA"/>
        </w:rPr>
      </w:pPr>
      <w:r>
        <w:rPr>
          <w:lang w:val="fr-CA"/>
        </w:rPr>
        <w:t xml:space="preserve">La version législative ainsi que la version de </w:t>
      </w:r>
      <w:r w:rsidRPr="00A011C6">
        <w:rPr>
          <w:lang w:val="fr-CA"/>
        </w:rPr>
        <w:t>common law</w:t>
      </w:r>
      <w:r>
        <w:rPr>
          <w:lang w:val="fr-CA"/>
        </w:rPr>
        <w:t xml:space="preserve"> du moyen de défense fondé sur la contrainte sont en grande partie identiques</w:t>
      </w:r>
      <w:r w:rsidRPr="00A011C6">
        <w:rPr>
          <w:lang w:val="fr-CA"/>
        </w:rPr>
        <w:t xml:space="preserve">.  </w:t>
      </w:r>
      <w:r>
        <w:rPr>
          <w:lang w:val="fr-CA"/>
        </w:rPr>
        <w:t>Elles partagent en effet les éléments constitutifs suivants :</w:t>
      </w:r>
    </w:p>
    <w:p w:rsidR="00AF49CF" w:rsidRPr="00A011C6" w:rsidRDefault="00AF49CF" w:rsidP="00D811C5">
      <w:pPr>
        <w:pStyle w:val="Citation-AltC"/>
        <w:numPr>
          <w:ilvl w:val="0"/>
          <w:numId w:val="15"/>
        </w:numPr>
        <w:spacing w:after="480" w:line="480" w:lineRule="auto"/>
        <w:ind w:hanging="720"/>
        <w:contextualSpacing w:val="0"/>
        <w:rPr>
          <w:lang w:val="fr-CA"/>
        </w:rPr>
      </w:pPr>
      <w:r>
        <w:rPr>
          <w:lang w:val="fr-CA"/>
        </w:rPr>
        <w:t>il doit y avoir eu des menaces explicites ou implicites de causer la mort ou des lésions corporelles, dans l’immédiat ou dans le futur</w:t>
      </w:r>
      <w:r w:rsidRPr="00A011C6">
        <w:rPr>
          <w:lang w:val="fr-CA"/>
        </w:rPr>
        <w:t xml:space="preserve">. </w:t>
      </w:r>
      <w:r>
        <w:rPr>
          <w:lang w:val="fr-CA"/>
        </w:rPr>
        <w:t xml:space="preserve"> Ces menaces peuvent viser l’accusé ou un tiers;</w:t>
      </w:r>
      <w:r w:rsidRPr="00A011C6">
        <w:rPr>
          <w:lang w:val="fr-CA"/>
        </w:rPr>
        <w:t xml:space="preserve"> </w:t>
      </w:r>
    </w:p>
    <w:p w:rsidR="00AF49CF" w:rsidRPr="00A011C6" w:rsidRDefault="00AF49CF" w:rsidP="00D811C5">
      <w:pPr>
        <w:pStyle w:val="Citation-AltC"/>
        <w:numPr>
          <w:ilvl w:val="0"/>
          <w:numId w:val="15"/>
        </w:numPr>
        <w:spacing w:after="480" w:line="480" w:lineRule="auto"/>
        <w:ind w:hanging="720"/>
        <w:contextualSpacing w:val="0"/>
        <w:rPr>
          <w:lang w:val="fr-CA"/>
        </w:rPr>
      </w:pPr>
      <w:r>
        <w:rPr>
          <w:lang w:val="fr-CA"/>
        </w:rPr>
        <w:t>l’accusé doit croire, pour des motifs raisonnables, que ces menaces seront mises à exécution;</w:t>
      </w:r>
      <w:r w:rsidRPr="00A011C6">
        <w:rPr>
          <w:lang w:val="fr-CA"/>
        </w:rPr>
        <w:t xml:space="preserve"> </w:t>
      </w:r>
    </w:p>
    <w:p w:rsidR="00AF49CF" w:rsidRPr="00A011C6" w:rsidRDefault="00AF49CF" w:rsidP="00D811C5">
      <w:pPr>
        <w:pStyle w:val="Citation-AltC"/>
        <w:numPr>
          <w:ilvl w:val="0"/>
          <w:numId w:val="15"/>
        </w:numPr>
        <w:spacing w:after="480" w:line="480" w:lineRule="auto"/>
        <w:ind w:hanging="720"/>
        <w:contextualSpacing w:val="0"/>
        <w:rPr>
          <w:lang w:val="fr-CA"/>
        </w:rPr>
      </w:pPr>
      <w:r>
        <w:rPr>
          <w:lang w:val="fr-CA"/>
        </w:rPr>
        <w:t>il n’existe aucun moyen de s’en sortir sans danger</w:t>
      </w:r>
      <w:r w:rsidRPr="00A011C6">
        <w:rPr>
          <w:lang w:val="fr-CA"/>
        </w:rPr>
        <w:t xml:space="preserve">. </w:t>
      </w:r>
      <w:r>
        <w:rPr>
          <w:lang w:val="fr-CA"/>
        </w:rPr>
        <w:t xml:space="preserve"> Cet élément est évalué en fonction d</w:t>
      </w:r>
      <w:r w:rsidRPr="005F58FB">
        <w:rPr>
          <w:lang w:val="fr-CA"/>
        </w:rPr>
        <w:t>’</w:t>
      </w:r>
      <w:r>
        <w:rPr>
          <w:lang w:val="fr-CA"/>
        </w:rPr>
        <w:t>une norme objective modifiée;</w:t>
      </w:r>
      <w:r w:rsidRPr="00A011C6">
        <w:rPr>
          <w:lang w:val="fr-CA"/>
        </w:rPr>
        <w:t xml:space="preserve"> </w:t>
      </w:r>
    </w:p>
    <w:p w:rsidR="00AF49CF" w:rsidRPr="00A011C6" w:rsidRDefault="00AF49CF" w:rsidP="00D811C5">
      <w:pPr>
        <w:pStyle w:val="Citation-AltC"/>
        <w:numPr>
          <w:ilvl w:val="0"/>
          <w:numId w:val="15"/>
        </w:numPr>
        <w:spacing w:after="480" w:line="480" w:lineRule="auto"/>
        <w:ind w:hanging="720"/>
        <w:contextualSpacing w:val="0"/>
        <w:rPr>
          <w:lang w:val="fr-CA"/>
        </w:rPr>
      </w:pPr>
      <w:r>
        <w:rPr>
          <w:lang w:val="fr-CA"/>
        </w:rPr>
        <w:t>il doit exister un lien temporel étroit entre les menaces proférées et le préjudice qu’on menace de causer;</w:t>
      </w:r>
    </w:p>
    <w:p w:rsidR="00AF49CF" w:rsidRPr="00A011C6" w:rsidRDefault="00AF49CF" w:rsidP="00D811C5">
      <w:pPr>
        <w:pStyle w:val="Citation-AltC"/>
        <w:numPr>
          <w:ilvl w:val="0"/>
          <w:numId w:val="15"/>
        </w:numPr>
        <w:spacing w:after="480" w:line="480" w:lineRule="auto"/>
        <w:ind w:hanging="720"/>
        <w:contextualSpacing w:val="0"/>
        <w:rPr>
          <w:lang w:val="fr-CA"/>
        </w:rPr>
      </w:pPr>
      <w:r>
        <w:rPr>
          <w:lang w:val="fr-CA"/>
        </w:rPr>
        <w:t>il doit y avoir proportionnalité entre le préjudice dont l</w:t>
      </w:r>
      <w:r w:rsidRPr="00E538C4">
        <w:rPr>
          <w:lang w:val="fr-CA"/>
        </w:rPr>
        <w:t>’</w:t>
      </w:r>
      <w:r>
        <w:rPr>
          <w:lang w:val="fr-CA"/>
        </w:rPr>
        <w:t>accusé est menacé et celui qu</w:t>
      </w:r>
      <w:r w:rsidRPr="00E538C4">
        <w:rPr>
          <w:lang w:val="fr-CA"/>
        </w:rPr>
        <w:t>’</w:t>
      </w:r>
      <w:r>
        <w:rPr>
          <w:lang w:val="fr-CA"/>
        </w:rPr>
        <w:t>il inflige</w:t>
      </w:r>
      <w:r w:rsidRPr="00A011C6">
        <w:rPr>
          <w:lang w:val="fr-CA"/>
        </w:rPr>
        <w:t xml:space="preserve">. </w:t>
      </w:r>
      <w:r>
        <w:rPr>
          <w:lang w:val="fr-CA"/>
        </w:rPr>
        <w:t xml:space="preserve"> Le préjudice causé par l’accusé ne doit pas être plus grave que celui dont il a été menacé</w:t>
      </w:r>
      <w:r w:rsidRPr="00A011C6">
        <w:rPr>
          <w:lang w:val="fr-CA"/>
        </w:rPr>
        <w:t xml:space="preserve">. </w:t>
      </w:r>
      <w:r>
        <w:rPr>
          <w:lang w:val="fr-CA"/>
        </w:rPr>
        <w:t xml:space="preserve"> Cet élément est aussi évalué en fonction d</w:t>
      </w:r>
      <w:r w:rsidRPr="002817AE">
        <w:rPr>
          <w:lang w:val="fr-CA"/>
        </w:rPr>
        <w:t>’</w:t>
      </w:r>
      <w:r>
        <w:rPr>
          <w:lang w:val="fr-CA"/>
        </w:rPr>
        <w:t>une norme objective modifiée;</w:t>
      </w:r>
      <w:r w:rsidRPr="00A011C6">
        <w:rPr>
          <w:lang w:val="fr-CA"/>
        </w:rPr>
        <w:t xml:space="preserve"> </w:t>
      </w:r>
    </w:p>
    <w:p w:rsidR="00AF49CF" w:rsidRPr="00A011C6" w:rsidRDefault="00AF49CF" w:rsidP="00D811C5">
      <w:pPr>
        <w:pStyle w:val="Citation-AltC"/>
        <w:numPr>
          <w:ilvl w:val="0"/>
          <w:numId w:val="15"/>
        </w:numPr>
        <w:spacing w:after="480" w:line="480" w:lineRule="auto"/>
        <w:ind w:hanging="720"/>
        <w:contextualSpacing w:val="0"/>
        <w:rPr>
          <w:lang w:val="fr-CA"/>
        </w:rPr>
      </w:pPr>
      <w:r>
        <w:rPr>
          <w:lang w:val="fr-CA"/>
        </w:rPr>
        <w:t>l’accusé n</w:t>
      </w:r>
      <w:r w:rsidRPr="00D94162">
        <w:rPr>
          <w:lang w:val="fr-CA"/>
        </w:rPr>
        <w:t>’</w:t>
      </w:r>
      <w:r>
        <w:rPr>
          <w:lang w:val="fr-CA"/>
        </w:rPr>
        <w:t>a participé à aucun complot ni à</w:t>
      </w:r>
      <w:r w:rsidRPr="00A011C6">
        <w:rPr>
          <w:lang w:val="fr-CA"/>
        </w:rPr>
        <w:t xml:space="preserve"> aucune association </w:t>
      </w:r>
      <w:r>
        <w:rPr>
          <w:lang w:val="fr-CA"/>
        </w:rPr>
        <w:t>le soumettant</w:t>
      </w:r>
      <w:r w:rsidRPr="00A011C6">
        <w:rPr>
          <w:lang w:val="fr-CA"/>
        </w:rPr>
        <w:t xml:space="preserve"> à la contrainte</w:t>
      </w:r>
      <w:r>
        <w:rPr>
          <w:lang w:val="fr-CA"/>
        </w:rPr>
        <w:t xml:space="preserve">, et savait vraiment </w:t>
      </w:r>
      <w:r w:rsidRPr="00A011C6">
        <w:rPr>
          <w:lang w:val="fr-CA"/>
        </w:rPr>
        <w:t>que les menaces et la</w:t>
      </w:r>
      <w:r>
        <w:rPr>
          <w:lang w:val="fr-CA"/>
        </w:rPr>
        <w:t xml:space="preserve"> contrainte l</w:t>
      </w:r>
      <w:r w:rsidRPr="002817AE">
        <w:rPr>
          <w:lang w:val="fr-CA"/>
        </w:rPr>
        <w:t>’</w:t>
      </w:r>
      <w:r>
        <w:rPr>
          <w:lang w:val="fr-CA"/>
        </w:rPr>
        <w:t xml:space="preserve">incitant à commettre </w:t>
      </w:r>
      <w:r w:rsidRPr="00A011C6">
        <w:rPr>
          <w:lang w:val="fr-CA"/>
        </w:rPr>
        <w:t>u</w:t>
      </w:r>
      <w:r>
        <w:rPr>
          <w:lang w:val="fr-CA"/>
        </w:rPr>
        <w:t xml:space="preserve">ne infraction criminelle constituaient </w:t>
      </w:r>
      <w:r w:rsidRPr="00A011C6">
        <w:rPr>
          <w:lang w:val="fr-CA"/>
        </w:rPr>
        <w:t>une conséqu</w:t>
      </w:r>
      <w:r>
        <w:rPr>
          <w:lang w:val="fr-CA"/>
        </w:rPr>
        <w:t>ence possible de cette activité</w:t>
      </w:r>
      <w:r w:rsidRPr="00A011C6">
        <w:rPr>
          <w:lang w:val="fr-CA"/>
        </w:rPr>
        <w:t xml:space="preserve">, </w:t>
      </w:r>
      <w:r>
        <w:rPr>
          <w:lang w:val="fr-CA"/>
        </w:rPr>
        <w:t>de ce complot ou de cette association criminels.</w:t>
      </w:r>
    </w:p>
    <w:p w:rsidR="00AF49CF" w:rsidRPr="00A011C6" w:rsidRDefault="00AF49CF" w:rsidP="00AF49CF">
      <w:pPr>
        <w:pStyle w:val="ParaNoNdepar-AltN"/>
        <w:rPr>
          <w:lang w:val="fr-CA"/>
        </w:rPr>
      </w:pPr>
      <w:r>
        <w:rPr>
          <w:lang w:val="fr-CA"/>
        </w:rPr>
        <w:t>Certaines différences subsistent néanmoins.</w:t>
      </w:r>
    </w:p>
    <w:p w:rsidR="00AF49CF" w:rsidRPr="00A011C6" w:rsidRDefault="00AF49CF" w:rsidP="00AF49CF">
      <w:pPr>
        <w:pStyle w:val="ParaNoNdepar-AltN"/>
        <w:rPr>
          <w:lang w:val="fr-CA"/>
        </w:rPr>
      </w:pPr>
      <w:r>
        <w:rPr>
          <w:lang w:val="fr-CA"/>
        </w:rPr>
        <w:t xml:space="preserve">D’abord, comme l’arrêt </w:t>
      </w:r>
      <w:r w:rsidRPr="00A011C6">
        <w:rPr>
          <w:i/>
          <w:lang w:val="fr-CA"/>
        </w:rPr>
        <w:t>P</w:t>
      </w:r>
      <w:r>
        <w:rPr>
          <w:i/>
          <w:lang w:val="fr-CA"/>
        </w:rPr>
        <w:t>aquette</w:t>
      </w:r>
      <w:r>
        <w:rPr>
          <w:lang w:val="fr-CA"/>
        </w:rPr>
        <w:t xml:space="preserve"> l’a décidé et comme l’arrêt </w:t>
      </w:r>
      <w:r w:rsidRPr="00A011C6">
        <w:rPr>
          <w:i/>
          <w:lang w:val="fr-CA"/>
        </w:rPr>
        <w:t>Ruzic</w:t>
      </w:r>
      <w:r>
        <w:rPr>
          <w:lang w:val="fr-CA"/>
        </w:rPr>
        <w:t xml:space="preserve"> l’a</w:t>
      </w:r>
      <w:r>
        <w:rPr>
          <w:i/>
          <w:lang w:val="fr-CA"/>
        </w:rPr>
        <w:t xml:space="preserve"> </w:t>
      </w:r>
      <w:r>
        <w:rPr>
          <w:lang w:val="fr-CA"/>
        </w:rPr>
        <w:t>confirmé</w:t>
      </w:r>
      <w:r w:rsidRPr="00A011C6">
        <w:rPr>
          <w:lang w:val="fr-CA"/>
        </w:rPr>
        <w:t>,</w:t>
      </w:r>
      <w:r w:rsidRPr="00A011C6">
        <w:rPr>
          <w:i/>
          <w:lang w:val="fr-CA"/>
        </w:rPr>
        <w:t xml:space="preserve"> </w:t>
      </w:r>
      <w:r>
        <w:rPr>
          <w:lang w:val="fr-CA"/>
        </w:rPr>
        <w:t xml:space="preserve">le moyen de défense prévu par la loi s’applique aux auteurs principaux des infractions, alors que le moyen de défense reconnu par la </w:t>
      </w:r>
      <w:r w:rsidRPr="00A011C6">
        <w:rPr>
          <w:lang w:val="fr-CA"/>
        </w:rPr>
        <w:t xml:space="preserve">common law </w:t>
      </w:r>
      <w:r>
        <w:rPr>
          <w:lang w:val="fr-CA"/>
        </w:rPr>
        <w:t>peut être invoqué par les personnes ayant participé aux infractions</w:t>
      </w:r>
      <w:r w:rsidRPr="00A011C6">
        <w:rPr>
          <w:lang w:val="fr-CA"/>
        </w:rPr>
        <w:t xml:space="preserve">. </w:t>
      </w:r>
      <w:r>
        <w:rPr>
          <w:lang w:val="fr-CA"/>
        </w:rPr>
        <w:t xml:space="preserve"> Ensuite, la version législative du moyen de défense comporte une longue liste d’</w:t>
      </w:r>
      <w:r w:rsidRPr="00A011C6">
        <w:rPr>
          <w:lang w:val="fr-CA"/>
        </w:rPr>
        <w:t xml:space="preserve">exclusions, </w:t>
      </w:r>
      <w:r>
        <w:rPr>
          <w:lang w:val="fr-CA"/>
        </w:rPr>
        <w:t>tandis qu</w:t>
      </w:r>
      <w:r w:rsidRPr="002163DD">
        <w:rPr>
          <w:rFonts w:cs="Times New Roman"/>
          <w:lang w:val="fr-CA"/>
        </w:rPr>
        <w:t>’</w:t>
      </w:r>
      <w:r>
        <w:rPr>
          <w:lang w:val="fr-CA"/>
        </w:rPr>
        <w:t>on peut se demander si la common law canadienne en matière de contrainte comporte des exclusions.</w:t>
      </w:r>
      <w:r w:rsidRPr="00A011C6">
        <w:rPr>
          <w:lang w:val="fr-CA"/>
        </w:rPr>
        <w:t xml:space="preserve"> </w:t>
      </w:r>
      <w:r>
        <w:rPr>
          <w:lang w:val="fr-CA"/>
        </w:rPr>
        <w:t xml:space="preserve"> Il en résulte une situation plutôt incohérente où les auteurs principaux de l’une des infractions énumérées ne peuvent invoquer le moyen de défense fondé sur la contrainte alors que les personnes ayant participé à l’une de ces mêmes infractions le peuvent</w:t>
      </w:r>
      <w:r w:rsidRPr="00A011C6">
        <w:rPr>
          <w:lang w:val="fr-CA"/>
        </w:rPr>
        <w:t xml:space="preserve">. </w:t>
      </w:r>
    </w:p>
    <w:p w:rsidR="00AF49CF" w:rsidRPr="00A011C6" w:rsidRDefault="00AF49CF" w:rsidP="00AF49CF">
      <w:pPr>
        <w:pStyle w:val="ParaNoNdepar-AltN"/>
        <w:rPr>
          <w:lang w:val="fr-CA"/>
        </w:rPr>
      </w:pPr>
      <w:r>
        <w:rPr>
          <w:lang w:val="fr-CA"/>
        </w:rPr>
        <w:t>Les règles de droit en la matière laissent donc à désirer, mais nous estimons ne pouvoir corriger la situation en la présente instance</w:t>
      </w:r>
      <w:r w:rsidRPr="00A011C6">
        <w:rPr>
          <w:lang w:val="fr-CA"/>
        </w:rPr>
        <w:t xml:space="preserve">.  </w:t>
      </w:r>
      <w:r>
        <w:rPr>
          <w:lang w:val="fr-CA"/>
        </w:rPr>
        <w:t xml:space="preserve">Bien que nous ayons pu profiter d’une argumentation étoffée sur les paramètres des moyens de défense fondés sur la contrainte prévus par la loi et la </w:t>
      </w:r>
      <w:r w:rsidRPr="00A011C6">
        <w:rPr>
          <w:lang w:val="fr-CA"/>
        </w:rPr>
        <w:t>common law</w:t>
      </w:r>
      <w:r>
        <w:rPr>
          <w:lang w:val="fr-CA"/>
        </w:rPr>
        <w:t xml:space="preserve">, aucun </w:t>
      </w:r>
      <w:r w:rsidRPr="00A011C6">
        <w:rPr>
          <w:lang w:val="fr-CA"/>
        </w:rPr>
        <w:t>argument</w:t>
      </w:r>
      <w:r>
        <w:rPr>
          <w:lang w:val="fr-CA"/>
        </w:rPr>
        <w:t>, comme on peut bien le comprendre,</w:t>
      </w:r>
      <w:r w:rsidRPr="00A011C6">
        <w:rPr>
          <w:lang w:val="fr-CA"/>
        </w:rPr>
        <w:t xml:space="preserve"> </w:t>
      </w:r>
      <w:r>
        <w:rPr>
          <w:lang w:val="fr-CA"/>
        </w:rPr>
        <w:t>n’a été soumis au sujet des exclusions prévues par la loi</w:t>
      </w:r>
      <w:r w:rsidRPr="00A011C6">
        <w:rPr>
          <w:lang w:val="fr-CA"/>
        </w:rPr>
        <w:t xml:space="preserve">.  </w:t>
      </w:r>
      <w:r>
        <w:rPr>
          <w:lang w:val="fr-CA"/>
        </w:rPr>
        <w:t xml:space="preserve">En outre, certains tribunaux ont conclu que certaines de ces </w:t>
      </w:r>
      <w:r w:rsidRPr="00A011C6">
        <w:rPr>
          <w:lang w:val="fr-CA"/>
        </w:rPr>
        <w:t xml:space="preserve">exclusions </w:t>
      </w:r>
      <w:r>
        <w:rPr>
          <w:lang w:val="fr-CA"/>
        </w:rPr>
        <w:t xml:space="preserve">étaient inconstitutionnelles.  Nous reportons donc à une autre occasion l’examen des </w:t>
      </w:r>
      <w:r w:rsidRPr="00A011C6">
        <w:rPr>
          <w:lang w:val="fr-CA"/>
        </w:rPr>
        <w:t xml:space="preserve">questions </w:t>
      </w:r>
      <w:r>
        <w:rPr>
          <w:lang w:val="fr-CA"/>
        </w:rPr>
        <w:t xml:space="preserve">relatives à la situation des exclusions prévues par la loi, ainsi que la question de savoir quelles exclusions, s’il en est, s’appliquent en </w:t>
      </w:r>
      <w:r w:rsidRPr="00A011C6">
        <w:rPr>
          <w:lang w:val="fr-CA"/>
        </w:rPr>
        <w:t>common law.</w:t>
      </w:r>
    </w:p>
    <w:p w:rsidR="00AF49CF" w:rsidRPr="00A011C6" w:rsidRDefault="00AF49CF" w:rsidP="00CA4E5D">
      <w:pPr>
        <w:pStyle w:val="TitleTitre-AltT"/>
        <w:tabs>
          <w:tab w:val="clear" w:pos="360"/>
          <w:tab w:val="left" w:pos="540"/>
        </w:tabs>
        <w:ind w:left="540" w:hanging="540"/>
        <w:rPr>
          <w:lang w:val="fr-CA"/>
        </w:rPr>
      </w:pPr>
      <w:r w:rsidRPr="00A011C6">
        <w:rPr>
          <w:lang w:val="fr-CA"/>
        </w:rPr>
        <w:t>V.</w:t>
      </w:r>
      <w:r w:rsidRPr="00A011C6">
        <w:rPr>
          <w:lang w:val="fr-CA"/>
        </w:rPr>
        <w:tab/>
      </w:r>
      <w:r w:rsidRPr="00A011C6">
        <w:rPr>
          <w:u w:val="single"/>
          <w:lang w:val="fr-CA"/>
        </w:rPr>
        <w:t>Dispositi</w:t>
      </w:r>
      <w:r>
        <w:rPr>
          <w:u w:val="single"/>
          <w:lang w:val="fr-CA"/>
        </w:rPr>
        <w:t>f</w:t>
      </w:r>
    </w:p>
    <w:p w:rsidR="00AF49CF" w:rsidRPr="00AF49CF" w:rsidRDefault="00AF49CF" w:rsidP="00AF49CF">
      <w:pPr>
        <w:pStyle w:val="ParaNoNdepar-AltN"/>
        <w:rPr>
          <w:lang w:val="fr-CA"/>
        </w:rPr>
      </w:pPr>
      <w:r>
        <w:rPr>
          <w:lang w:val="fr-CA"/>
        </w:rPr>
        <w:t>Nous sommes d’avis d’accueillir le pourvoi et d’ordonner l</w:t>
      </w:r>
      <w:r w:rsidRPr="000D782F">
        <w:rPr>
          <w:rFonts w:cs="Times New Roman"/>
          <w:lang w:val="fr-CA"/>
        </w:rPr>
        <w:t>’</w:t>
      </w:r>
      <w:r>
        <w:rPr>
          <w:lang w:val="fr-CA"/>
        </w:rPr>
        <w:t>arrêt des procédures.</w:t>
      </w:r>
      <w:r w:rsidRPr="00A011C6">
        <w:rPr>
          <w:lang w:val="fr-CA"/>
        </w:rPr>
        <w:t xml:space="preserve"> </w:t>
      </w:r>
    </w:p>
    <w:p w:rsidR="00AF49CF" w:rsidRPr="00EA0103" w:rsidRDefault="00CA4E5D" w:rsidP="00CA4E5D">
      <w:pPr>
        <w:pStyle w:val="ParaNoNdepar-AltN"/>
        <w:numPr>
          <w:ilvl w:val="0"/>
          <w:numId w:val="0"/>
        </w:numPr>
        <w:tabs>
          <w:tab w:val="left" w:pos="1170"/>
        </w:tabs>
        <w:rPr>
          <w:lang w:val="fr-CA"/>
        </w:rPr>
      </w:pPr>
      <w:r>
        <w:rPr>
          <w:lang w:val="fr-CA"/>
        </w:rPr>
        <w:tab/>
        <w:t>Version française des motifs rendus par</w:t>
      </w:r>
    </w:p>
    <w:p w:rsidR="00AF49CF" w:rsidRPr="00EA0103" w:rsidRDefault="00AF49CF" w:rsidP="00AF49CF">
      <w:pPr>
        <w:pStyle w:val="ParaNoNdepar-AltN"/>
        <w:tabs>
          <w:tab w:val="clear" w:pos="1166"/>
          <w:tab w:val="num" w:pos="1152"/>
        </w:tabs>
        <w:rPr>
          <w:lang w:val="fr-CA"/>
        </w:rPr>
      </w:pPr>
      <w:r w:rsidRPr="00AF49CF">
        <w:rPr>
          <w:smallCaps/>
          <w:lang w:val="fr-CA"/>
        </w:rPr>
        <w:t>Le juge Fish</w:t>
      </w:r>
      <w:r w:rsidRPr="00EA0103">
        <w:rPr>
          <w:lang w:val="fr-CA"/>
        </w:rPr>
        <w:t xml:space="preserve"> </w:t>
      </w:r>
      <w:r w:rsidR="009515DA">
        <w:rPr>
          <w:lang w:val="fr-CA"/>
        </w:rPr>
        <w:t xml:space="preserve">(dissident en partie) </w:t>
      </w:r>
      <w:r w:rsidRPr="00EA0103">
        <w:rPr>
          <w:lang w:val="fr-CA"/>
        </w:rPr>
        <w:t>— Je suis d’accord avec les juges LeBel et Cromwell pour dire, pour les motifs qu’ils exposent, que l’intimée en l’espèce ne pouvait invoquer le moyen de défense fondé sur la contrainte.  Par conséquent, l’acquittement de l’intimée doit être annulé.</w:t>
      </w:r>
    </w:p>
    <w:p w:rsidR="00AF49CF" w:rsidRPr="00EA0103" w:rsidRDefault="00AF49CF" w:rsidP="00AF49CF">
      <w:pPr>
        <w:pStyle w:val="ParaNoNdepar-AltN"/>
        <w:tabs>
          <w:tab w:val="clear" w:pos="1166"/>
          <w:tab w:val="num" w:pos="1152"/>
        </w:tabs>
        <w:rPr>
          <w:rFonts w:cs="Times New Roman"/>
          <w:lang w:val="fr-CA"/>
        </w:rPr>
      </w:pPr>
      <w:r w:rsidRPr="00EA0103">
        <w:rPr>
          <w:rFonts w:cs="Times New Roman"/>
          <w:lang w:val="fr-CA"/>
        </w:rPr>
        <w:t xml:space="preserve">Avec égards toutefois, je ne suis pas convaincu que le dossier qui nous a été présenté justifie un arrêt judiciaire des procédures. </w:t>
      </w:r>
    </w:p>
    <w:p w:rsidR="00AF49CF" w:rsidRPr="00EA0103" w:rsidRDefault="00AF49CF" w:rsidP="00AF49CF">
      <w:pPr>
        <w:pStyle w:val="ParaNoNdepar-AltN"/>
        <w:tabs>
          <w:tab w:val="clear" w:pos="1166"/>
          <w:tab w:val="num" w:pos="1152"/>
        </w:tabs>
        <w:rPr>
          <w:rFonts w:cs="Times New Roman"/>
          <w:lang w:val="fr-CA"/>
        </w:rPr>
      </w:pPr>
      <w:r w:rsidRPr="00EA0103">
        <w:rPr>
          <w:rFonts w:cs="Times New Roman"/>
          <w:lang w:val="fr-CA"/>
        </w:rPr>
        <w:t>Les critères applicables pour décider s’il y a lieu d’accorder un arrêt des procédures — une réparation draconienne de dernier recours — sont bien établis </w:t>
      </w:r>
      <w:r w:rsidR="0067273C">
        <w:rPr>
          <w:rFonts w:cs="Times New Roman"/>
          <w:lang w:val="fr-CA"/>
        </w:rPr>
        <w:t>(</w:t>
      </w:r>
      <w:r w:rsidRPr="00EA0103">
        <w:rPr>
          <w:rFonts w:cs="Times New Roman"/>
          <w:lang w:val="fr-CA"/>
        </w:rPr>
        <w:t xml:space="preserve">voir </w:t>
      </w:r>
      <w:r w:rsidR="0067273C">
        <w:rPr>
          <w:rFonts w:cs="Times New Roman"/>
          <w:i/>
          <w:lang w:val="fr-CA"/>
        </w:rPr>
        <w:t>Charkaoui c. Canada (Citoy</w:t>
      </w:r>
      <w:r w:rsidRPr="00EA0103">
        <w:rPr>
          <w:rFonts w:cs="Times New Roman"/>
          <w:i/>
          <w:lang w:val="fr-CA"/>
        </w:rPr>
        <w:t>enneté et Immigration)</w:t>
      </w:r>
      <w:r w:rsidRPr="00EA0103">
        <w:rPr>
          <w:rFonts w:cs="Times New Roman"/>
          <w:lang w:val="fr-CA"/>
        </w:rPr>
        <w:t xml:space="preserve">, 2008 CSC 38, [2008] 2 R.C.S. 326, par. 75-76; </w:t>
      </w:r>
      <w:r w:rsidRPr="00EA0103">
        <w:rPr>
          <w:rFonts w:cs="Times New Roman"/>
          <w:i/>
          <w:lang w:val="fr-CA"/>
        </w:rPr>
        <w:t>R. c. Regan</w:t>
      </w:r>
      <w:r w:rsidRPr="00EA0103">
        <w:rPr>
          <w:rFonts w:cs="Times New Roman"/>
          <w:lang w:val="fr-CA"/>
        </w:rPr>
        <w:t xml:space="preserve">, 2002 CSC 12, [2002] 1 R.C.S. 297, par. 53-54; </w:t>
      </w:r>
      <w:r w:rsidRPr="00EA0103">
        <w:rPr>
          <w:rFonts w:cs="Times New Roman"/>
          <w:i/>
          <w:lang w:val="fr-CA"/>
        </w:rPr>
        <w:t>Canada (Ministre de la Citoyenneté et de l’Immigration) c. Tobiass</w:t>
      </w:r>
      <w:r w:rsidRPr="00EA0103">
        <w:rPr>
          <w:rFonts w:cs="Times New Roman"/>
          <w:lang w:val="fr-CA"/>
        </w:rPr>
        <w:t xml:space="preserve">, [1997] 3 R.C.S. 391, par. 53 et 86; et </w:t>
      </w:r>
      <w:r w:rsidRPr="00EA0103">
        <w:rPr>
          <w:rFonts w:cs="Times New Roman"/>
          <w:i/>
          <w:lang w:val="fr-CA"/>
        </w:rPr>
        <w:t>R. c. O’Connor</w:t>
      </w:r>
      <w:r w:rsidRPr="00EA0103">
        <w:rPr>
          <w:rFonts w:cs="Times New Roman"/>
          <w:lang w:val="fr-CA"/>
        </w:rPr>
        <w:t>, [1995] 4 R.C.S. 411, par. 82</w:t>
      </w:r>
      <w:r w:rsidR="0067273C">
        <w:rPr>
          <w:rFonts w:cs="Times New Roman"/>
          <w:lang w:val="fr-CA"/>
        </w:rPr>
        <w:t>)</w:t>
      </w:r>
      <w:r w:rsidRPr="00EA0103">
        <w:rPr>
          <w:rFonts w:cs="Times New Roman"/>
          <w:lang w:val="fr-CA"/>
        </w:rPr>
        <w:t>.  La Cour a bien précisé qu’un arrêt des procédures ne peut être accordé que « dans les cas les plus manifestes » </w:t>
      </w:r>
      <w:r w:rsidR="0067273C">
        <w:rPr>
          <w:rFonts w:cs="Times New Roman"/>
          <w:lang w:val="fr-CA"/>
        </w:rPr>
        <w:t>(</w:t>
      </w:r>
      <w:r w:rsidRPr="00EA0103">
        <w:rPr>
          <w:rFonts w:cs="Times New Roman"/>
          <w:i/>
          <w:lang w:val="fr-CA"/>
        </w:rPr>
        <w:t>Charkaoui</w:t>
      </w:r>
      <w:r w:rsidRPr="00EA0103">
        <w:rPr>
          <w:rFonts w:cs="Times New Roman"/>
          <w:lang w:val="fr-CA"/>
        </w:rPr>
        <w:t xml:space="preserve">, par. 76; </w:t>
      </w:r>
      <w:r w:rsidRPr="00EA0103">
        <w:rPr>
          <w:rFonts w:cs="Times New Roman"/>
          <w:i/>
          <w:lang w:val="fr-CA"/>
        </w:rPr>
        <w:t>O’Connor</w:t>
      </w:r>
      <w:r w:rsidRPr="00EA0103">
        <w:rPr>
          <w:rFonts w:cs="Times New Roman"/>
          <w:lang w:val="fr-CA"/>
        </w:rPr>
        <w:t>, par. 82</w:t>
      </w:r>
      <w:r w:rsidR="0067273C">
        <w:rPr>
          <w:rFonts w:cs="Times New Roman"/>
          <w:lang w:val="fr-CA"/>
        </w:rPr>
        <w:t>).</w:t>
      </w:r>
    </w:p>
    <w:p w:rsidR="00AF49CF" w:rsidRPr="00EA0103" w:rsidRDefault="00AF49CF" w:rsidP="00AF49CF">
      <w:pPr>
        <w:pStyle w:val="ParaNoNdepar-AltN"/>
        <w:tabs>
          <w:tab w:val="clear" w:pos="1166"/>
          <w:tab w:val="num" w:pos="1152"/>
        </w:tabs>
        <w:rPr>
          <w:rFonts w:cs="Times New Roman"/>
          <w:lang w:val="fr-CA"/>
        </w:rPr>
      </w:pPr>
      <w:r w:rsidRPr="00EA0103">
        <w:rPr>
          <w:rFonts w:cs="Times New Roman"/>
          <w:lang w:val="fr-CA"/>
        </w:rPr>
        <w:t>Selon moi, ces critères ne sont pas remplis en l’espèce.</w:t>
      </w:r>
    </w:p>
    <w:p w:rsidR="00AF49CF" w:rsidRPr="00EA0103" w:rsidRDefault="00AF49CF" w:rsidP="00AF49CF">
      <w:pPr>
        <w:pStyle w:val="ParaNoNdepar-AltN"/>
        <w:tabs>
          <w:tab w:val="clear" w:pos="1166"/>
          <w:tab w:val="num" w:pos="1152"/>
        </w:tabs>
        <w:rPr>
          <w:rFonts w:cs="Times New Roman"/>
          <w:lang w:val="fr-CA"/>
        </w:rPr>
      </w:pPr>
      <w:r w:rsidRPr="00EA0103">
        <w:rPr>
          <w:rFonts w:cs="Times New Roman"/>
          <w:lang w:val="fr-CA"/>
        </w:rPr>
        <w:t>En conséquence, je suis d’avis d’ordonner plutôt la tenue d’un nouveau procès et de laisser au ministère public le soin de décider, dans l’exercice de son pouvoir discrétionnaire, s’il est dans l’intérêt public de tenir un nouveau procès.  En prenant sa décision, le ministère public devrait prendre en compte les circonstances particulières de l’espèce : d’une part, les constatations de fait favorables à l’intimée tirées par le juge du procès; d’autre part, la preuve incontestée que l’intimée a envisagé pendant sept mois de faire tuer son mari, qu’elle a versé à cette fin 25 000 $ à un « tueur à gages » et, après cet échec, qu’elle</w:t>
      </w:r>
      <w:r w:rsidR="0067273C">
        <w:rPr>
          <w:rFonts w:cs="Times New Roman"/>
          <w:lang w:val="fr-CA"/>
        </w:rPr>
        <w:t xml:space="preserve"> a</w:t>
      </w:r>
      <w:r w:rsidRPr="00EA0103">
        <w:rPr>
          <w:rFonts w:cs="Times New Roman"/>
          <w:lang w:val="fr-CA"/>
        </w:rPr>
        <w:t xml:space="preserve"> tenté à deux autres reprises de faire tuer son mari.</w:t>
      </w:r>
    </w:p>
    <w:p w:rsidR="004D7D95" w:rsidRPr="00B3261F" w:rsidRDefault="004D7D95" w:rsidP="00AF49CF">
      <w:pPr>
        <w:pStyle w:val="SCCNormalDoubleSpacing"/>
        <w:spacing w:after="480"/>
        <w:rPr>
          <w:i/>
          <w:lang w:val="fr-CA"/>
        </w:rPr>
      </w:pPr>
      <w:r w:rsidRPr="00B3261F">
        <w:rPr>
          <w:lang w:val="fr-CA"/>
        </w:rPr>
        <w:tab/>
      </w:r>
      <w:r w:rsidR="00552AED" w:rsidRPr="00B3261F">
        <w:rPr>
          <w:i/>
          <w:lang w:val="fr-CA"/>
        </w:rPr>
        <w:t>Pourvoi accueilli</w:t>
      </w:r>
      <w:r w:rsidR="000D2717" w:rsidRPr="00B3261F">
        <w:rPr>
          <w:i/>
          <w:szCs w:val="24"/>
          <w:lang w:val="fr-CA"/>
        </w:rPr>
        <w:t xml:space="preserve">, le juge </w:t>
      </w:r>
      <w:r w:rsidR="000D2717" w:rsidRPr="00B3261F">
        <w:rPr>
          <w:smallCaps/>
          <w:szCs w:val="24"/>
          <w:lang w:val="fr-CA"/>
        </w:rPr>
        <w:t>Fish</w:t>
      </w:r>
      <w:r w:rsidR="000D2717" w:rsidRPr="00B3261F">
        <w:rPr>
          <w:i/>
          <w:szCs w:val="24"/>
          <w:lang w:val="fr-CA"/>
        </w:rPr>
        <w:t xml:space="preserve"> est dissident en partie</w:t>
      </w:r>
      <w:r w:rsidR="00552AED" w:rsidRPr="00B3261F">
        <w:rPr>
          <w:i/>
          <w:lang w:val="fr-CA"/>
        </w:rPr>
        <w:t>.</w:t>
      </w:r>
    </w:p>
    <w:p w:rsidR="00552AED" w:rsidRPr="00B3261F" w:rsidRDefault="00552AED" w:rsidP="0008079F">
      <w:pPr>
        <w:pStyle w:val="SCCLawFirm"/>
        <w:spacing w:after="480"/>
        <w:rPr>
          <w:lang w:val="fr-CA"/>
        </w:rPr>
      </w:pPr>
      <w:r w:rsidRPr="00B3261F">
        <w:rPr>
          <w:lang w:val="fr-CA"/>
        </w:rPr>
        <w:tab/>
        <w:t>Procureur de l’appelante</w:t>
      </w:r>
      <w:r w:rsidR="0008079F" w:rsidRPr="00B3261F">
        <w:rPr>
          <w:lang w:val="fr-CA"/>
        </w:rPr>
        <w:t> : </w:t>
      </w:r>
      <w:r w:rsidRPr="00B3261F">
        <w:rPr>
          <w:lang w:val="fr-CA"/>
        </w:rPr>
        <w:t>Public Prosecution Service of Nova Scotia, Halifax.</w:t>
      </w:r>
    </w:p>
    <w:p w:rsidR="00552AED" w:rsidRPr="00B3261F" w:rsidRDefault="00552AED" w:rsidP="0008079F">
      <w:pPr>
        <w:pStyle w:val="SCCLawFirm"/>
        <w:spacing w:after="480"/>
        <w:rPr>
          <w:lang w:val="fr-CA"/>
        </w:rPr>
      </w:pPr>
      <w:r w:rsidRPr="00B3261F">
        <w:rPr>
          <w:lang w:val="fr-CA"/>
        </w:rPr>
        <w:tab/>
        <w:t>Procureurs de l’intimée</w:t>
      </w:r>
      <w:r w:rsidR="0008079F" w:rsidRPr="00B3261F">
        <w:rPr>
          <w:lang w:val="fr-CA"/>
        </w:rPr>
        <w:t> : </w:t>
      </w:r>
      <w:r w:rsidRPr="00B3261F">
        <w:rPr>
          <w:lang w:val="fr-CA"/>
        </w:rPr>
        <w:t>Pink Larkin, Halifax; Greenspan Humphrey Lavine, Toronto.</w:t>
      </w:r>
    </w:p>
    <w:p w:rsidR="00552AED" w:rsidRPr="00B3261F" w:rsidRDefault="00552AED" w:rsidP="0008079F">
      <w:pPr>
        <w:pStyle w:val="SCCLawFirm"/>
        <w:spacing w:after="480"/>
        <w:rPr>
          <w:lang w:val="fr-CA"/>
        </w:rPr>
      </w:pPr>
      <w:r w:rsidRPr="00B3261F">
        <w:rPr>
          <w:lang w:val="fr-CA"/>
        </w:rPr>
        <w:tab/>
        <w:t>Procureur de l’intervenant le procureur général de l’Ontario</w:t>
      </w:r>
      <w:r w:rsidR="0008079F" w:rsidRPr="00B3261F">
        <w:rPr>
          <w:lang w:val="fr-CA"/>
        </w:rPr>
        <w:t> : </w:t>
      </w:r>
      <w:r w:rsidRPr="00B3261F">
        <w:rPr>
          <w:lang w:val="fr-CA"/>
        </w:rPr>
        <w:t>Procureur général de l’Ontario, Toronto.</w:t>
      </w:r>
    </w:p>
    <w:p w:rsidR="00552AED" w:rsidRPr="00B3261F" w:rsidRDefault="00552AED" w:rsidP="0008079F">
      <w:pPr>
        <w:pStyle w:val="SCCLawFirm"/>
        <w:spacing w:after="480"/>
        <w:rPr>
          <w:lang w:val="fr-CA"/>
        </w:rPr>
      </w:pPr>
      <w:r w:rsidRPr="00B3261F">
        <w:rPr>
          <w:lang w:val="fr-CA"/>
        </w:rPr>
        <w:tab/>
        <w:t>Procureurs des intervenants l’Association canadienne des Sociétés Elizabeth Fry et le Fonds d’action et d’éducation juridiques pour les femmes</w:t>
      </w:r>
      <w:r w:rsidR="0008079F" w:rsidRPr="00B3261F">
        <w:rPr>
          <w:lang w:val="fr-CA"/>
        </w:rPr>
        <w:t> : </w:t>
      </w:r>
      <w:r w:rsidRPr="00B3261F">
        <w:rPr>
          <w:lang w:val="fr-CA"/>
        </w:rPr>
        <w:t>Université de la Colombie</w:t>
      </w:r>
      <w:r w:rsidR="0008079F" w:rsidRPr="00B3261F">
        <w:rPr>
          <w:lang w:val="fr-CA"/>
        </w:rPr>
        <w:noBreakHyphen/>
      </w:r>
      <w:r w:rsidRPr="00B3261F">
        <w:rPr>
          <w:lang w:val="fr-CA"/>
        </w:rPr>
        <w:t>Britannique, Vancouver.</w:t>
      </w:r>
    </w:p>
    <w:p w:rsidR="00E1274E" w:rsidRDefault="00552AED" w:rsidP="00AF49CF">
      <w:pPr>
        <w:pStyle w:val="SCCLawFirm"/>
        <w:rPr>
          <w:b/>
          <w:i w:val="0"/>
          <w:lang w:val="fr-CA"/>
        </w:rPr>
      </w:pPr>
      <w:r w:rsidRPr="00B3261F">
        <w:rPr>
          <w:lang w:val="fr-CA"/>
        </w:rPr>
        <w:tab/>
        <w:t xml:space="preserve">Procureurs de l’intervenante Criminal Lawyers’ </w:t>
      </w:r>
      <w:r w:rsidRPr="00B3261F">
        <w:rPr>
          <w:lang w:val="en-US"/>
        </w:rPr>
        <w:t>Association (Ontario)</w:t>
      </w:r>
      <w:r w:rsidR="0008079F" w:rsidRPr="00B3261F">
        <w:rPr>
          <w:lang w:val="en-US"/>
        </w:rPr>
        <w:t> : </w:t>
      </w:r>
      <w:r w:rsidRPr="00B3261F">
        <w:rPr>
          <w:lang w:val="en-US"/>
        </w:rPr>
        <w:t>Ursel Phillips Fellows Hopkinson, Toronto</w:t>
      </w:r>
      <w:r w:rsidRPr="00B3261F">
        <w:t>; Webber Schroeder Goldstein Abergel, Ottawa.</w:t>
      </w:r>
    </w:p>
    <w:p w:rsidR="00AF49CF" w:rsidRPr="00AF49CF" w:rsidRDefault="00AF49CF" w:rsidP="00AF49CF">
      <w:pPr>
        <w:pStyle w:val="SCCNormalDoubleSpacing"/>
        <w:rPr>
          <w:lang w:val="fr-CA"/>
        </w:rPr>
      </w:pPr>
    </w:p>
    <w:sectPr w:rsidR="00AF49CF" w:rsidRPr="00AF49CF" w:rsidSect="00977ECE">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B58" w:rsidRDefault="009F0B58">
      <w:r>
        <w:separator/>
      </w:r>
    </w:p>
  </w:endnote>
  <w:endnote w:type="continuationSeparator" w:id="0">
    <w:p w:rsidR="009F0B58" w:rsidRDefault="009F0B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B58" w:rsidRDefault="009F0B58">
      <w:r>
        <w:separator/>
      </w:r>
    </w:p>
  </w:footnote>
  <w:footnote w:type="continuationSeparator" w:id="0">
    <w:p w:rsidR="009F0B58" w:rsidRDefault="009F0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9112"/>
      <w:docPartObj>
        <w:docPartGallery w:val="Page Numbers (Top of Page)"/>
        <w:docPartUnique/>
      </w:docPartObj>
    </w:sdtPr>
    <w:sdtContent>
      <w:p w:rsidR="009F0B58" w:rsidRDefault="009F0B58">
        <w:pPr>
          <w:pStyle w:val="Header"/>
          <w:jc w:val="center"/>
        </w:pPr>
        <w:r>
          <w:t xml:space="preserve">- </w:t>
        </w:r>
        <w:fldSimple w:instr=" PAGE   \* MERGEFORMAT ">
          <w:r w:rsidR="003D0A0B">
            <w:rPr>
              <w:noProof/>
            </w:rPr>
            <w:t>5</w:t>
          </w:r>
        </w:fldSimple>
        <w:r>
          <w:t xml:space="preserve"> -</w:t>
        </w:r>
      </w:p>
    </w:sdtContent>
  </w:sdt>
  <w:p w:rsidR="009F0B58" w:rsidRPr="00450352" w:rsidRDefault="009F0B58"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22C8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8D5681"/>
    <w:multiLevelType w:val="hybridMultilevel"/>
    <w:tmpl w:val="97784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2F4E0D"/>
    <w:multiLevelType w:val="hybridMultilevel"/>
    <w:tmpl w:val="845676B2"/>
    <w:lvl w:ilvl="0" w:tplc="B2805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813A3D"/>
    <w:multiLevelType w:val="hybridMultilevel"/>
    <w:tmpl w:val="F16EAE3A"/>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5">
    <w:nsid w:val="17E27194"/>
    <w:multiLevelType w:val="hybridMultilevel"/>
    <w:tmpl w:val="0DA85E1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1D49269A"/>
    <w:multiLevelType w:val="hybridMultilevel"/>
    <w:tmpl w:val="469EA390"/>
    <w:lvl w:ilvl="0" w:tplc="0409000F">
      <w:start w:val="1"/>
      <w:numFmt w:val="decimal"/>
      <w:lvlText w:val="%1."/>
      <w:lvlJc w:val="left"/>
      <w:pPr>
        <w:ind w:left="1888" w:hanging="360"/>
      </w:p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7">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2A43E6C"/>
    <w:multiLevelType w:val="hybridMultilevel"/>
    <w:tmpl w:val="0EBE0610"/>
    <w:lvl w:ilvl="0" w:tplc="8FE86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8831E2B"/>
    <w:multiLevelType w:val="hybridMultilevel"/>
    <w:tmpl w:val="F782DD2E"/>
    <w:lvl w:ilvl="0" w:tplc="0409000F">
      <w:start w:val="1"/>
      <w:numFmt w:val="decimal"/>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1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3966E62"/>
    <w:multiLevelType w:val="hybridMultilevel"/>
    <w:tmpl w:val="E86AB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4283EE8"/>
    <w:multiLevelType w:val="multilevel"/>
    <w:tmpl w:val="2924A8EE"/>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61F306E"/>
    <w:multiLevelType w:val="hybridMultilevel"/>
    <w:tmpl w:val="FA74D6C0"/>
    <w:lvl w:ilvl="0" w:tplc="20885A5C">
      <w:start w:val="1"/>
      <w:numFmt w:val="upperRoman"/>
      <w:lvlText w:val="%1."/>
      <w:lvlJc w:val="left"/>
      <w:pPr>
        <w:ind w:left="1080" w:hanging="720"/>
      </w:pPr>
      <w:rPr>
        <w:rFonts w:hint="default"/>
        <w:b w:val="0"/>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9EC74FB"/>
    <w:multiLevelType w:val="hybridMultilevel"/>
    <w:tmpl w:val="996C5A0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9FC52A8"/>
    <w:multiLevelType w:val="hybridMultilevel"/>
    <w:tmpl w:val="3216D9D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CD5300A"/>
    <w:multiLevelType w:val="hybridMultilevel"/>
    <w:tmpl w:val="A85C6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7"/>
  </w:num>
  <w:num w:numId="3">
    <w:abstractNumId w:val="3"/>
  </w:num>
  <w:num w:numId="4">
    <w:abstractNumId w:val="10"/>
  </w:num>
  <w:num w:numId="5">
    <w:abstractNumId w:val="11"/>
  </w:num>
  <w:num w:numId="6">
    <w:abstractNumId w:val="13"/>
  </w:num>
  <w:num w:numId="7">
    <w:abstractNumId w:val="14"/>
  </w:num>
  <w:num w:numId="8">
    <w:abstractNumId w:val="15"/>
  </w:num>
  <w:num w:numId="9">
    <w:abstractNumId w:val="8"/>
  </w:num>
  <w:num w:numId="10">
    <w:abstractNumId w:val="4"/>
  </w:num>
  <w:num w:numId="11">
    <w:abstractNumId w:val="12"/>
  </w:num>
  <w:num w:numId="12">
    <w:abstractNumId w:val="16"/>
  </w:num>
  <w:num w:numId="13">
    <w:abstractNumId w:val="1"/>
  </w:num>
  <w:num w:numId="14">
    <w:abstractNumId w:val="5"/>
  </w:num>
  <w:num w:numId="15">
    <w:abstractNumId w:val="17"/>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rsids>
    <w:rsidRoot w:val="0031414C"/>
    <w:rsid w:val="00000ED4"/>
    <w:rsid w:val="000146CA"/>
    <w:rsid w:val="00023FC7"/>
    <w:rsid w:val="00025198"/>
    <w:rsid w:val="000578A3"/>
    <w:rsid w:val="00062E82"/>
    <w:rsid w:val="000648CC"/>
    <w:rsid w:val="00070E60"/>
    <w:rsid w:val="00071C7F"/>
    <w:rsid w:val="00077048"/>
    <w:rsid w:val="0008079F"/>
    <w:rsid w:val="00083791"/>
    <w:rsid w:val="000B2287"/>
    <w:rsid w:val="000B3B99"/>
    <w:rsid w:val="000C59B8"/>
    <w:rsid w:val="000C6AF0"/>
    <w:rsid w:val="000D0A77"/>
    <w:rsid w:val="000D2717"/>
    <w:rsid w:val="000D5AE5"/>
    <w:rsid w:val="000D6C14"/>
    <w:rsid w:val="000F7993"/>
    <w:rsid w:val="00104F33"/>
    <w:rsid w:val="00111DE2"/>
    <w:rsid w:val="00116B38"/>
    <w:rsid w:val="00121C8F"/>
    <w:rsid w:val="00135406"/>
    <w:rsid w:val="00135972"/>
    <w:rsid w:val="001426A9"/>
    <w:rsid w:val="00154D7C"/>
    <w:rsid w:val="001570B0"/>
    <w:rsid w:val="0015752C"/>
    <w:rsid w:val="00157737"/>
    <w:rsid w:val="00165277"/>
    <w:rsid w:val="00170592"/>
    <w:rsid w:val="001720F7"/>
    <w:rsid w:val="00186593"/>
    <w:rsid w:val="001909ED"/>
    <w:rsid w:val="00195D83"/>
    <w:rsid w:val="00196E3D"/>
    <w:rsid w:val="001A00C1"/>
    <w:rsid w:val="001A0524"/>
    <w:rsid w:val="001B33E0"/>
    <w:rsid w:val="001B4573"/>
    <w:rsid w:val="001C779F"/>
    <w:rsid w:val="001D2AC1"/>
    <w:rsid w:val="001D4E88"/>
    <w:rsid w:val="001D671A"/>
    <w:rsid w:val="001F726D"/>
    <w:rsid w:val="002107C1"/>
    <w:rsid w:val="00214977"/>
    <w:rsid w:val="002151F8"/>
    <w:rsid w:val="0022023E"/>
    <w:rsid w:val="00220FC2"/>
    <w:rsid w:val="002222F4"/>
    <w:rsid w:val="00224FC0"/>
    <w:rsid w:val="00225EA4"/>
    <w:rsid w:val="00226EAF"/>
    <w:rsid w:val="00231F3A"/>
    <w:rsid w:val="00232405"/>
    <w:rsid w:val="002406EE"/>
    <w:rsid w:val="00242ABE"/>
    <w:rsid w:val="00243EC8"/>
    <w:rsid w:val="00245C40"/>
    <w:rsid w:val="00250BB4"/>
    <w:rsid w:val="00260639"/>
    <w:rsid w:val="00270D93"/>
    <w:rsid w:val="00273A23"/>
    <w:rsid w:val="002745CC"/>
    <w:rsid w:val="00280E43"/>
    <w:rsid w:val="00284782"/>
    <w:rsid w:val="002B6FBE"/>
    <w:rsid w:val="002B7924"/>
    <w:rsid w:val="002C10A6"/>
    <w:rsid w:val="002C4E96"/>
    <w:rsid w:val="002D28C3"/>
    <w:rsid w:val="002D39A4"/>
    <w:rsid w:val="002E01D0"/>
    <w:rsid w:val="002E6705"/>
    <w:rsid w:val="002E7F9C"/>
    <w:rsid w:val="0030329A"/>
    <w:rsid w:val="0031086F"/>
    <w:rsid w:val="0031414C"/>
    <w:rsid w:val="00314AE1"/>
    <w:rsid w:val="00314E01"/>
    <w:rsid w:val="0032089D"/>
    <w:rsid w:val="003310DE"/>
    <w:rsid w:val="003323B0"/>
    <w:rsid w:val="00340A49"/>
    <w:rsid w:val="0035169A"/>
    <w:rsid w:val="0035259D"/>
    <w:rsid w:val="00353E3F"/>
    <w:rsid w:val="00364B18"/>
    <w:rsid w:val="003956FB"/>
    <w:rsid w:val="00397908"/>
    <w:rsid w:val="003A125D"/>
    <w:rsid w:val="003A4C70"/>
    <w:rsid w:val="003B215F"/>
    <w:rsid w:val="003C799C"/>
    <w:rsid w:val="003D0399"/>
    <w:rsid w:val="003D0A0B"/>
    <w:rsid w:val="003E1C71"/>
    <w:rsid w:val="003E3B88"/>
    <w:rsid w:val="003F327B"/>
    <w:rsid w:val="00405CC4"/>
    <w:rsid w:val="00406166"/>
    <w:rsid w:val="0040704B"/>
    <w:rsid w:val="00410A55"/>
    <w:rsid w:val="00411300"/>
    <w:rsid w:val="00413F17"/>
    <w:rsid w:val="00415417"/>
    <w:rsid w:val="00426659"/>
    <w:rsid w:val="004333F6"/>
    <w:rsid w:val="00440CA5"/>
    <w:rsid w:val="00442F23"/>
    <w:rsid w:val="00447937"/>
    <w:rsid w:val="00450352"/>
    <w:rsid w:val="00454BDB"/>
    <w:rsid w:val="0045524A"/>
    <w:rsid w:val="0046440F"/>
    <w:rsid w:val="00465132"/>
    <w:rsid w:val="00480C90"/>
    <w:rsid w:val="00481AF7"/>
    <w:rsid w:val="0048396F"/>
    <w:rsid w:val="00493C18"/>
    <w:rsid w:val="004A3720"/>
    <w:rsid w:val="004A3CA9"/>
    <w:rsid w:val="004A600C"/>
    <w:rsid w:val="004A6118"/>
    <w:rsid w:val="004A65AD"/>
    <w:rsid w:val="004A787F"/>
    <w:rsid w:val="004B4F89"/>
    <w:rsid w:val="004C478D"/>
    <w:rsid w:val="004D11CC"/>
    <w:rsid w:val="004D7D95"/>
    <w:rsid w:val="004E2C26"/>
    <w:rsid w:val="004E6A4E"/>
    <w:rsid w:val="004F3664"/>
    <w:rsid w:val="004F56FD"/>
    <w:rsid w:val="005125A8"/>
    <w:rsid w:val="00517549"/>
    <w:rsid w:val="00520ABC"/>
    <w:rsid w:val="00521AE8"/>
    <w:rsid w:val="00527180"/>
    <w:rsid w:val="005274A4"/>
    <w:rsid w:val="00531932"/>
    <w:rsid w:val="0054260E"/>
    <w:rsid w:val="005434CA"/>
    <w:rsid w:val="00552AED"/>
    <w:rsid w:val="00555291"/>
    <w:rsid w:val="00566AD1"/>
    <w:rsid w:val="00583EDE"/>
    <w:rsid w:val="005977A8"/>
    <w:rsid w:val="005A3981"/>
    <w:rsid w:val="005A3BA6"/>
    <w:rsid w:val="005A6079"/>
    <w:rsid w:val="005B4466"/>
    <w:rsid w:val="005D343D"/>
    <w:rsid w:val="005D4791"/>
    <w:rsid w:val="005E0955"/>
    <w:rsid w:val="005E4698"/>
    <w:rsid w:val="005F03EA"/>
    <w:rsid w:val="00603924"/>
    <w:rsid w:val="00606B59"/>
    <w:rsid w:val="00610539"/>
    <w:rsid w:val="00613969"/>
    <w:rsid w:val="00625C35"/>
    <w:rsid w:val="00645046"/>
    <w:rsid w:val="00647E49"/>
    <w:rsid w:val="00656313"/>
    <w:rsid w:val="006565F4"/>
    <w:rsid w:val="006603EF"/>
    <w:rsid w:val="00671F6F"/>
    <w:rsid w:val="0067273C"/>
    <w:rsid w:val="00684EEA"/>
    <w:rsid w:val="00687145"/>
    <w:rsid w:val="0069689B"/>
    <w:rsid w:val="00696D0B"/>
    <w:rsid w:val="006A5EE4"/>
    <w:rsid w:val="006B5FF5"/>
    <w:rsid w:val="006F30AF"/>
    <w:rsid w:val="00701759"/>
    <w:rsid w:val="00702BE6"/>
    <w:rsid w:val="00705C15"/>
    <w:rsid w:val="007110F6"/>
    <w:rsid w:val="007208D1"/>
    <w:rsid w:val="00744518"/>
    <w:rsid w:val="00747288"/>
    <w:rsid w:val="00747DD3"/>
    <w:rsid w:val="0075349C"/>
    <w:rsid w:val="007549C8"/>
    <w:rsid w:val="00766D14"/>
    <w:rsid w:val="00767A0F"/>
    <w:rsid w:val="00777ED2"/>
    <w:rsid w:val="00791272"/>
    <w:rsid w:val="007A05F6"/>
    <w:rsid w:val="007B6F4A"/>
    <w:rsid w:val="007C122F"/>
    <w:rsid w:val="007D169A"/>
    <w:rsid w:val="007D3918"/>
    <w:rsid w:val="007E1C47"/>
    <w:rsid w:val="007E337A"/>
    <w:rsid w:val="007E5C70"/>
    <w:rsid w:val="007F2FF5"/>
    <w:rsid w:val="007F3F08"/>
    <w:rsid w:val="008008EC"/>
    <w:rsid w:val="00803971"/>
    <w:rsid w:val="00804CC6"/>
    <w:rsid w:val="00817190"/>
    <w:rsid w:val="008260E2"/>
    <w:rsid w:val="008305FB"/>
    <w:rsid w:val="008322BD"/>
    <w:rsid w:val="00834F73"/>
    <w:rsid w:val="0084228F"/>
    <w:rsid w:val="008428A9"/>
    <w:rsid w:val="00864C8A"/>
    <w:rsid w:val="00864CF8"/>
    <w:rsid w:val="00865480"/>
    <w:rsid w:val="00874914"/>
    <w:rsid w:val="00891422"/>
    <w:rsid w:val="00892E1A"/>
    <w:rsid w:val="008B033C"/>
    <w:rsid w:val="008B660A"/>
    <w:rsid w:val="008C01DA"/>
    <w:rsid w:val="008C7C70"/>
    <w:rsid w:val="008D1C0A"/>
    <w:rsid w:val="008F2674"/>
    <w:rsid w:val="008F78E9"/>
    <w:rsid w:val="009108D8"/>
    <w:rsid w:val="00913ADA"/>
    <w:rsid w:val="009179F9"/>
    <w:rsid w:val="00917C7A"/>
    <w:rsid w:val="00933E5E"/>
    <w:rsid w:val="00935218"/>
    <w:rsid w:val="00937C52"/>
    <w:rsid w:val="009403F3"/>
    <w:rsid w:val="009515DA"/>
    <w:rsid w:val="0095394B"/>
    <w:rsid w:val="009555B7"/>
    <w:rsid w:val="009567AA"/>
    <w:rsid w:val="009602C9"/>
    <w:rsid w:val="00967374"/>
    <w:rsid w:val="00977ECE"/>
    <w:rsid w:val="00987EF3"/>
    <w:rsid w:val="009A343A"/>
    <w:rsid w:val="009B2F23"/>
    <w:rsid w:val="009B30CF"/>
    <w:rsid w:val="009B57B3"/>
    <w:rsid w:val="009D2920"/>
    <w:rsid w:val="009D5AEB"/>
    <w:rsid w:val="009E77B0"/>
    <w:rsid w:val="009F0B58"/>
    <w:rsid w:val="009F0E33"/>
    <w:rsid w:val="009F6BFD"/>
    <w:rsid w:val="00A063D6"/>
    <w:rsid w:val="00A12D6C"/>
    <w:rsid w:val="00A149DF"/>
    <w:rsid w:val="00A1755C"/>
    <w:rsid w:val="00A21B90"/>
    <w:rsid w:val="00A22AAC"/>
    <w:rsid w:val="00A25546"/>
    <w:rsid w:val="00A41805"/>
    <w:rsid w:val="00A51882"/>
    <w:rsid w:val="00A52AFB"/>
    <w:rsid w:val="00A548CB"/>
    <w:rsid w:val="00A5521C"/>
    <w:rsid w:val="00A643E7"/>
    <w:rsid w:val="00A73C38"/>
    <w:rsid w:val="00A859E5"/>
    <w:rsid w:val="00AB5D55"/>
    <w:rsid w:val="00AB670D"/>
    <w:rsid w:val="00AE616A"/>
    <w:rsid w:val="00AF03C5"/>
    <w:rsid w:val="00AF27FB"/>
    <w:rsid w:val="00AF49CF"/>
    <w:rsid w:val="00B000D8"/>
    <w:rsid w:val="00B00F75"/>
    <w:rsid w:val="00B1397B"/>
    <w:rsid w:val="00B145B6"/>
    <w:rsid w:val="00B279EB"/>
    <w:rsid w:val="00B3261F"/>
    <w:rsid w:val="00B50C81"/>
    <w:rsid w:val="00B557F8"/>
    <w:rsid w:val="00B652D5"/>
    <w:rsid w:val="00B751FD"/>
    <w:rsid w:val="00B76B6E"/>
    <w:rsid w:val="00B815FC"/>
    <w:rsid w:val="00B83AEC"/>
    <w:rsid w:val="00B91359"/>
    <w:rsid w:val="00B93FBC"/>
    <w:rsid w:val="00BA7DA0"/>
    <w:rsid w:val="00BB2EE4"/>
    <w:rsid w:val="00BB3D04"/>
    <w:rsid w:val="00BB4C92"/>
    <w:rsid w:val="00BC2108"/>
    <w:rsid w:val="00BD0E9E"/>
    <w:rsid w:val="00BD1BEC"/>
    <w:rsid w:val="00BD32FF"/>
    <w:rsid w:val="00BE6CDF"/>
    <w:rsid w:val="00BF1980"/>
    <w:rsid w:val="00BF236E"/>
    <w:rsid w:val="00BF6FE9"/>
    <w:rsid w:val="00C02092"/>
    <w:rsid w:val="00C20056"/>
    <w:rsid w:val="00C23AA8"/>
    <w:rsid w:val="00C24D91"/>
    <w:rsid w:val="00C26DB2"/>
    <w:rsid w:val="00C509EE"/>
    <w:rsid w:val="00C53F14"/>
    <w:rsid w:val="00C600CF"/>
    <w:rsid w:val="00C6084F"/>
    <w:rsid w:val="00C61561"/>
    <w:rsid w:val="00C62A66"/>
    <w:rsid w:val="00C66359"/>
    <w:rsid w:val="00C71458"/>
    <w:rsid w:val="00C73048"/>
    <w:rsid w:val="00C774B8"/>
    <w:rsid w:val="00C77613"/>
    <w:rsid w:val="00C828E7"/>
    <w:rsid w:val="00C85DCD"/>
    <w:rsid w:val="00C86719"/>
    <w:rsid w:val="00C9160C"/>
    <w:rsid w:val="00C921DD"/>
    <w:rsid w:val="00C956BD"/>
    <w:rsid w:val="00CA4E5D"/>
    <w:rsid w:val="00CA6391"/>
    <w:rsid w:val="00CD188C"/>
    <w:rsid w:val="00CD513F"/>
    <w:rsid w:val="00CE036E"/>
    <w:rsid w:val="00CE3171"/>
    <w:rsid w:val="00CF1601"/>
    <w:rsid w:val="00CF752F"/>
    <w:rsid w:val="00D0172F"/>
    <w:rsid w:val="00D01E33"/>
    <w:rsid w:val="00D068A7"/>
    <w:rsid w:val="00D17476"/>
    <w:rsid w:val="00D32086"/>
    <w:rsid w:val="00D37A3F"/>
    <w:rsid w:val="00D4431D"/>
    <w:rsid w:val="00D45D20"/>
    <w:rsid w:val="00D4667A"/>
    <w:rsid w:val="00D63A1C"/>
    <w:rsid w:val="00D66A87"/>
    <w:rsid w:val="00D7516F"/>
    <w:rsid w:val="00D75B30"/>
    <w:rsid w:val="00D76033"/>
    <w:rsid w:val="00D811C5"/>
    <w:rsid w:val="00D95F8E"/>
    <w:rsid w:val="00DA0590"/>
    <w:rsid w:val="00DB0906"/>
    <w:rsid w:val="00DC1739"/>
    <w:rsid w:val="00DC1788"/>
    <w:rsid w:val="00DE319C"/>
    <w:rsid w:val="00DF0CA8"/>
    <w:rsid w:val="00DF2B48"/>
    <w:rsid w:val="00DF49A7"/>
    <w:rsid w:val="00E054BB"/>
    <w:rsid w:val="00E07EE2"/>
    <w:rsid w:val="00E07FD1"/>
    <w:rsid w:val="00E1274E"/>
    <w:rsid w:val="00E14353"/>
    <w:rsid w:val="00E21DD7"/>
    <w:rsid w:val="00E24573"/>
    <w:rsid w:val="00E25E1E"/>
    <w:rsid w:val="00E27EE7"/>
    <w:rsid w:val="00E35404"/>
    <w:rsid w:val="00E45109"/>
    <w:rsid w:val="00E45755"/>
    <w:rsid w:val="00E47B7A"/>
    <w:rsid w:val="00E56A44"/>
    <w:rsid w:val="00E60269"/>
    <w:rsid w:val="00E764BA"/>
    <w:rsid w:val="00E97830"/>
    <w:rsid w:val="00EA308C"/>
    <w:rsid w:val="00EB1DAC"/>
    <w:rsid w:val="00EE0830"/>
    <w:rsid w:val="00EE2B71"/>
    <w:rsid w:val="00EE6CB8"/>
    <w:rsid w:val="00EE7F17"/>
    <w:rsid w:val="00EF0683"/>
    <w:rsid w:val="00F0070C"/>
    <w:rsid w:val="00F00EB7"/>
    <w:rsid w:val="00F278A8"/>
    <w:rsid w:val="00F27F46"/>
    <w:rsid w:val="00F339F0"/>
    <w:rsid w:val="00F34788"/>
    <w:rsid w:val="00F36AB6"/>
    <w:rsid w:val="00F37A09"/>
    <w:rsid w:val="00F409CE"/>
    <w:rsid w:val="00F4379D"/>
    <w:rsid w:val="00F50D2D"/>
    <w:rsid w:val="00F56C8B"/>
    <w:rsid w:val="00F62639"/>
    <w:rsid w:val="00F66810"/>
    <w:rsid w:val="00F84DF4"/>
    <w:rsid w:val="00F85048"/>
    <w:rsid w:val="00F85C97"/>
    <w:rsid w:val="00FB2F82"/>
    <w:rsid w:val="00FB37D2"/>
    <w:rsid w:val="00FC4EFB"/>
    <w:rsid w:val="00FC539D"/>
    <w:rsid w:val="00FD068D"/>
    <w:rsid w:val="00FD4F28"/>
    <w:rsid w:val="00FE6784"/>
    <w:rsid w:val="00FE7A8B"/>
    <w:rsid w:val="00FF3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AF49CF"/>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OtherPartyRoleSeparator">
    <w:name w:val="SCC.Lsoc.OtherPartyRoleSeparator"/>
    <w:basedOn w:val="Normal"/>
    <w:next w:val="Normal"/>
    <w:link w:val="SCCLsocOtherPartyRoleSeparatorChar"/>
    <w:rsid w:val="00AF49CF"/>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F49CF"/>
    <w:rPr>
      <w:rFonts w:eastAsiaTheme="minorHAnsi" w:cstheme="minorBidi"/>
      <w:sz w:val="24"/>
      <w:szCs w:val="22"/>
      <w:lang w:eastAsia="en-US"/>
    </w:rPr>
  </w:style>
  <w:style w:type="paragraph" w:customStyle="1" w:styleId="SCCCoram">
    <w:name w:val="SCC.Coram"/>
    <w:basedOn w:val="Normal"/>
    <w:next w:val="Normal"/>
    <w:link w:val="SCCCoramChar"/>
    <w:rsid w:val="00AF49C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F49CF"/>
    <w:rPr>
      <w:rFonts w:eastAsiaTheme="minorHAnsi" w:cstheme="minorBidi"/>
      <w:sz w:val="24"/>
      <w:szCs w:val="22"/>
      <w:lang w:eastAsia="en-US"/>
    </w:rPr>
  </w:style>
  <w:style w:type="table" w:styleId="TableGrid">
    <w:name w:val="Table Grid"/>
    <w:basedOn w:val="TableNormal"/>
    <w:uiPriority w:val="59"/>
    <w:rsid w:val="00AF49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F49C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F49CF"/>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AF49CF"/>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JudgeJuge">
    <w:name w:val="Judge / Juge"/>
    <w:uiPriority w:val="3"/>
    <w:rsid w:val="00AF49CF"/>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AF49CF"/>
    <w:pPr>
      <w:keepNext/>
      <w:tabs>
        <w:tab w:val="left" w:pos="360"/>
      </w:tabs>
      <w:spacing w:after="720"/>
      <w:ind w:left="357" w:hanging="357"/>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AF49CF"/>
    <w:rPr>
      <w:sz w:val="20"/>
    </w:rPr>
  </w:style>
  <w:style w:type="character" w:customStyle="1" w:styleId="FootnoteTextChar">
    <w:name w:val="Footnote Text Char"/>
    <w:basedOn w:val="DefaultParagraphFont"/>
    <w:link w:val="FootnoteText"/>
    <w:uiPriority w:val="99"/>
    <w:rsid w:val="00AF49CF"/>
  </w:style>
  <w:style w:type="character" w:styleId="FootnoteReference">
    <w:name w:val="footnote reference"/>
    <w:basedOn w:val="DefaultParagraphFont"/>
    <w:unhideWhenUsed/>
    <w:rsid w:val="00AF49CF"/>
    <w:rPr>
      <w:vertAlign w:val="superscript"/>
    </w:rPr>
  </w:style>
  <w:style w:type="paragraph" w:customStyle="1" w:styleId="SCCLowerCourtText">
    <w:name w:val="SCC.LowerCourtText"/>
    <w:basedOn w:val="Normal"/>
    <w:next w:val="Normal"/>
    <w:link w:val="SCCLowerCourtTextChar"/>
    <w:qFormat/>
    <w:rsid w:val="00AF49CF"/>
    <w:pPr>
      <w:jc w:val="both"/>
    </w:pPr>
  </w:style>
  <w:style w:type="character" w:customStyle="1" w:styleId="SCCLowerCourtTextChar">
    <w:name w:val="SCC.LowerCourtText Char"/>
    <w:basedOn w:val="DefaultParagraphFont"/>
    <w:link w:val="SCCLowerCourtText"/>
    <w:rsid w:val="00AF49CF"/>
    <w:rPr>
      <w:sz w:val="24"/>
    </w:rPr>
  </w:style>
  <w:style w:type="paragraph" w:styleId="ListParagraph">
    <w:name w:val="List Paragraph"/>
    <w:basedOn w:val="Normal"/>
    <w:uiPriority w:val="34"/>
    <w:qFormat/>
    <w:rsid w:val="00AF49CF"/>
    <w:pPr>
      <w:spacing w:after="200" w:line="276" w:lineRule="auto"/>
      <w:ind w:left="720"/>
      <w:contextualSpacing/>
    </w:pPr>
    <w:rPr>
      <w:rFonts w:eastAsiaTheme="minorHAnsi"/>
      <w:szCs w:val="24"/>
      <w:lang w:eastAsia="en-US"/>
    </w:rPr>
  </w:style>
  <w:style w:type="paragraph" w:styleId="NoSpacing">
    <w:name w:val="No Spacing"/>
    <w:basedOn w:val="Normal"/>
    <w:uiPriority w:val="3"/>
    <w:qFormat/>
    <w:rsid w:val="00AF49CF"/>
    <w:rPr>
      <w:szCs w:val="24"/>
    </w:rPr>
  </w:style>
  <w:style w:type="character" w:customStyle="1" w:styleId="CommentTextChar">
    <w:name w:val="Comment Text Char"/>
    <w:basedOn w:val="DefaultParagraphFont"/>
    <w:link w:val="CommentText"/>
    <w:uiPriority w:val="99"/>
    <w:semiHidden/>
    <w:rsid w:val="00AF49CF"/>
  </w:style>
  <w:style w:type="paragraph" w:styleId="CommentText">
    <w:name w:val="annotation text"/>
    <w:basedOn w:val="Normal"/>
    <w:link w:val="CommentTextChar"/>
    <w:uiPriority w:val="99"/>
    <w:semiHidden/>
    <w:unhideWhenUsed/>
    <w:rsid w:val="00AF49CF"/>
    <w:rPr>
      <w:sz w:val="20"/>
    </w:rPr>
  </w:style>
  <w:style w:type="character" w:customStyle="1" w:styleId="CommentSubjectChar">
    <w:name w:val="Comment Subject Char"/>
    <w:basedOn w:val="CommentTextChar"/>
    <w:link w:val="CommentSubject"/>
    <w:uiPriority w:val="99"/>
    <w:semiHidden/>
    <w:rsid w:val="00AF49CF"/>
    <w:rPr>
      <w:b/>
      <w:bCs/>
    </w:rPr>
  </w:style>
  <w:style w:type="paragraph" w:styleId="CommentSubject">
    <w:name w:val="annotation subject"/>
    <w:basedOn w:val="CommentText"/>
    <w:next w:val="CommentText"/>
    <w:link w:val="CommentSubjectChar"/>
    <w:uiPriority w:val="99"/>
    <w:semiHidden/>
    <w:unhideWhenUsed/>
    <w:rsid w:val="00AF49CF"/>
    <w:rPr>
      <w:b/>
      <w:bCs/>
    </w:rPr>
  </w:style>
  <w:style w:type="paragraph" w:styleId="ListBullet">
    <w:name w:val="List Bullet"/>
    <w:basedOn w:val="Normal"/>
    <w:uiPriority w:val="99"/>
    <w:unhideWhenUsed/>
    <w:rsid w:val="00AF49CF"/>
    <w:pPr>
      <w:numPr>
        <w:numId w:val="18"/>
      </w:numPr>
      <w:contextualSpacing/>
    </w:pPr>
  </w:style>
  <w:style w:type="character" w:styleId="Hyperlink">
    <w:name w:val="Hyperlink"/>
    <w:basedOn w:val="DefaultParagraphFont"/>
    <w:uiPriority w:val="99"/>
    <w:unhideWhenUsed/>
    <w:rsid w:val="00AF49CF"/>
    <w:rPr>
      <w:color w:val="0000FF" w:themeColor="hyperlink"/>
      <w:u w:val="single"/>
    </w:rPr>
  </w:style>
  <w:style w:type="table" w:customStyle="1" w:styleId="TableGrid1">
    <w:name w:val="Table Grid1"/>
    <w:basedOn w:val="TableNormal"/>
    <w:next w:val="TableGrid"/>
    <w:uiPriority w:val="59"/>
    <w:rsid w:val="00442F2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96CB7-E574-44BA-AE70-F32E8D24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13079</Words>
  <Characters>71936</Characters>
  <Application>Microsoft Office Word</Application>
  <DocSecurity>0</DocSecurity>
  <Lines>599</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2014-01-16T19:34:00Z</dcterms:created>
  <dcterms:modified xsi:type="dcterms:W3CDTF">2014-01-16T19:34:00Z</dcterms:modified>
</cp:coreProperties>
</file>