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64F5" w:rsidRDefault="005E64F5" w:rsidP="005E64F5">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2pt;height:64.8pt" o:ole="">
            <v:imagedata r:id="rId6" o:title=""/>
          </v:shape>
          <o:OLEObject Type="Embed" ProgID="Presentations.Drawing.13" ShapeID="_x0000_i1025" DrawAspect="Content" ObjectID="_1409132316" r:id="rId7"/>
        </w:object>
      </w:r>
      <w:r>
        <w:t xml:space="preserve"> </w:t>
      </w:r>
      <w:r>
        <w:ptab w:relativeTo="margin" w:alignment="right" w:leader="none"/>
      </w:r>
    </w:p>
    <w:p w:rsidR="005E64F5" w:rsidRDefault="005E64F5" w:rsidP="005E64F5">
      <w:pPr>
        <w:pStyle w:val="Header"/>
      </w:pPr>
    </w:p>
    <w:p w:rsidR="005E64F5" w:rsidRPr="006B210C" w:rsidRDefault="005E64F5" w:rsidP="005E64F5">
      <w:pPr>
        <w:jc w:val="center"/>
        <w:rPr>
          <w:b/>
        </w:rPr>
      </w:pPr>
      <w:r w:rsidRPr="006B210C">
        <w:rPr>
          <w:b/>
        </w:rPr>
        <w:t>SUPREME COURT OF CANADA</w:t>
      </w:r>
    </w:p>
    <w:p w:rsidR="005E64F5" w:rsidRDefault="005E64F5" w:rsidP="005E64F5">
      <w:pPr>
        <w:pStyle w:val="Heade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6768"/>
        <w:gridCol w:w="2808"/>
      </w:tblGrid>
      <w:tr w:rsidR="005E64F5" w:rsidRPr="006B210C" w:rsidTr="00981F34">
        <w:trPr>
          <w:cantSplit/>
        </w:trPr>
        <w:tc>
          <w:tcPr>
            <w:tcW w:w="6768" w:type="dxa"/>
          </w:tcPr>
          <w:p w:rsidR="005E64F5" w:rsidRPr="005E64F5" w:rsidRDefault="005E64F5" w:rsidP="00981F34">
            <w:pPr>
              <w:rPr>
                <w:lang w:val="en-US"/>
              </w:rPr>
            </w:pPr>
            <w:r w:rsidRPr="005E64F5">
              <w:rPr>
                <w:b/>
                <w:smallCaps/>
                <w:lang w:val="en-US"/>
              </w:rPr>
              <w:t xml:space="preserve">Citation </w:t>
            </w:r>
            <w:r w:rsidRPr="005E64F5">
              <w:rPr>
                <w:lang w:val="en-US"/>
              </w:rPr>
              <w:t xml:space="preserve">: R. </w:t>
            </w:r>
            <w:r w:rsidRPr="005E64F5">
              <w:rPr>
                <w:i/>
                <w:lang w:val="en-US"/>
              </w:rPr>
              <w:t>v.</w:t>
            </w:r>
            <w:r w:rsidRPr="005E64F5">
              <w:rPr>
                <w:lang w:val="en-US"/>
              </w:rPr>
              <w:t xml:space="preserve"> </w:t>
            </w:r>
            <w:proofErr w:type="spellStart"/>
            <w:r w:rsidRPr="005E64F5">
              <w:rPr>
                <w:lang w:val="en-US"/>
              </w:rPr>
              <w:t>Eastgaard</w:t>
            </w:r>
            <w:proofErr w:type="spellEnd"/>
            <w:r w:rsidRPr="005E64F5">
              <w:rPr>
                <w:rStyle w:val="SCCRespondentForIndexChar"/>
                <w:rFonts w:eastAsiaTheme="minorHAnsi"/>
                <w:lang w:val="en-US"/>
              </w:rPr>
              <w:t xml:space="preserve">, </w:t>
            </w:r>
            <w:r>
              <w:rPr>
                <w:rStyle w:val="SCCAppellantForIndexChar"/>
                <w:b w:val="0"/>
                <w:szCs w:val="24"/>
              </w:rPr>
              <w:t>2012 SCC 11, [2012] 1 S.C.R. 393</w:t>
            </w:r>
          </w:p>
        </w:tc>
        <w:tc>
          <w:tcPr>
            <w:tcW w:w="2808" w:type="dxa"/>
          </w:tcPr>
          <w:p w:rsidR="005E64F5" w:rsidRPr="006B210C" w:rsidRDefault="005E64F5" w:rsidP="00981F34">
            <w:r w:rsidRPr="006B210C">
              <w:rPr>
                <w:b/>
                <w:smallCaps/>
              </w:rPr>
              <w:t xml:space="preserve">Date </w:t>
            </w:r>
            <w:r w:rsidRPr="006B210C">
              <w:t xml:space="preserve">: </w:t>
            </w:r>
            <w:r>
              <w:t>20120319</w:t>
            </w:r>
          </w:p>
          <w:p w:rsidR="005E64F5" w:rsidRPr="006B210C" w:rsidRDefault="005E64F5" w:rsidP="00981F34">
            <w:r w:rsidRPr="006B210C">
              <w:rPr>
                <w:b/>
                <w:smallCaps/>
              </w:rPr>
              <w:t xml:space="preserve">Docket </w:t>
            </w:r>
            <w:r w:rsidRPr="006B210C">
              <w:t xml:space="preserve">: </w:t>
            </w:r>
            <w:r>
              <w:t>34337</w:t>
            </w:r>
          </w:p>
        </w:tc>
      </w:tr>
    </w:tbl>
    <w:p w:rsidR="005E64F5" w:rsidRPr="006B210C" w:rsidRDefault="005E64F5" w:rsidP="005E64F5"/>
    <w:p w:rsidR="005E64F5" w:rsidRDefault="005E64F5" w:rsidP="005E64F5">
      <w:pPr>
        <w:pStyle w:val="SCCLsocPrefix"/>
      </w:pPr>
      <w:r>
        <w:t>Between:</w:t>
      </w:r>
    </w:p>
    <w:p w:rsidR="005E64F5" w:rsidRDefault="005E64F5" w:rsidP="005E64F5">
      <w:pPr>
        <w:pStyle w:val="SCCLsocParty"/>
        <w:jc w:val="center"/>
      </w:pPr>
      <w:r>
        <w:t xml:space="preserve">Hans Jason </w:t>
      </w:r>
      <w:proofErr w:type="spellStart"/>
      <w:r>
        <w:t>Eastgaard</w:t>
      </w:r>
      <w:proofErr w:type="spellEnd"/>
    </w:p>
    <w:p w:rsidR="005E64F5" w:rsidRDefault="005E64F5" w:rsidP="005E64F5">
      <w:pPr>
        <w:pStyle w:val="SCCLsocPartyRole"/>
      </w:pPr>
      <w:r>
        <w:t>Appellant</w:t>
      </w:r>
    </w:p>
    <w:p w:rsidR="005E64F5" w:rsidRPr="005E64F5" w:rsidRDefault="005E64F5" w:rsidP="005E64F5">
      <w:pPr>
        <w:pStyle w:val="SCCLsocVersus"/>
        <w:jc w:val="center"/>
        <w:rPr>
          <w:i w:val="0"/>
        </w:rPr>
      </w:pPr>
      <w:proofErr w:type="gramStart"/>
      <w:r w:rsidRPr="005E64F5">
        <w:rPr>
          <w:i w:val="0"/>
        </w:rPr>
        <w:t>and</w:t>
      </w:r>
      <w:proofErr w:type="gramEnd"/>
    </w:p>
    <w:p w:rsidR="005E64F5" w:rsidRDefault="005E64F5" w:rsidP="005E64F5">
      <w:pPr>
        <w:pStyle w:val="SCCLsocParty"/>
        <w:jc w:val="center"/>
      </w:pPr>
      <w:r>
        <w:t xml:space="preserve">Her Majesty </w:t>
      </w:r>
      <w:proofErr w:type="gramStart"/>
      <w:r>
        <w:t>The</w:t>
      </w:r>
      <w:proofErr w:type="gramEnd"/>
      <w:r>
        <w:t xml:space="preserve"> Queen</w:t>
      </w:r>
    </w:p>
    <w:p w:rsidR="005E64F5" w:rsidRDefault="005E64F5" w:rsidP="005E64F5">
      <w:pPr>
        <w:pStyle w:val="SCCLsocPartyRole"/>
      </w:pPr>
      <w:r>
        <w:t>Respondent</w:t>
      </w:r>
    </w:p>
    <w:p w:rsidR="005E64F5" w:rsidRDefault="005E64F5" w:rsidP="005E64F5"/>
    <w:p w:rsidR="005E64F5" w:rsidRPr="006B210C" w:rsidRDefault="005E64F5" w:rsidP="005E64F5"/>
    <w:p w:rsidR="005E64F5" w:rsidRPr="006B210C" w:rsidRDefault="005E64F5" w:rsidP="005E64F5">
      <w:proofErr w:type="gramStart"/>
      <w:r w:rsidRPr="006B210C">
        <w:rPr>
          <w:b/>
          <w:smallCaps/>
        </w:rPr>
        <w:t xml:space="preserve">Coram </w:t>
      </w:r>
      <w:r w:rsidRPr="0030615B">
        <w:rPr>
          <w:b/>
        </w:rPr>
        <w:t>:</w:t>
      </w:r>
      <w:proofErr w:type="gramEnd"/>
      <w:r>
        <w:t xml:space="preserve"> </w:t>
      </w:r>
      <w:proofErr w:type="spellStart"/>
      <w:r>
        <w:t>McLachlin</w:t>
      </w:r>
      <w:proofErr w:type="spellEnd"/>
      <w:r>
        <w:t xml:space="preserve"> C.J. and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Cromwell and </w:t>
      </w:r>
      <w:proofErr w:type="spellStart"/>
      <w:r>
        <w:t>Moldaver</w:t>
      </w:r>
      <w:proofErr w:type="spellEnd"/>
      <w:r>
        <w:t> JJ.</w:t>
      </w:r>
    </w:p>
    <w:p w:rsidR="005E64F5" w:rsidRPr="006B210C" w:rsidRDefault="005E64F5" w:rsidP="005E64F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3618"/>
        <w:gridCol w:w="5958"/>
      </w:tblGrid>
      <w:tr w:rsidR="005E64F5" w:rsidRPr="006B210C" w:rsidTr="00981F34">
        <w:trPr>
          <w:cantSplit/>
        </w:trPr>
        <w:tc>
          <w:tcPr>
            <w:tcW w:w="3618" w:type="dxa"/>
          </w:tcPr>
          <w:p w:rsidR="005E64F5" w:rsidRDefault="005E64F5" w:rsidP="00981F34">
            <w:r w:rsidRPr="006B210C">
              <w:rPr>
                <w:b/>
                <w:smallCaps/>
              </w:rPr>
              <w:t>Reasons for Judgment</w:t>
            </w:r>
            <w:r w:rsidRPr="006B210C">
              <w:t xml:space="preserve"> :</w:t>
            </w:r>
          </w:p>
          <w:p w:rsidR="005E64F5" w:rsidRDefault="005E64F5" w:rsidP="00981F34">
            <w:r>
              <w:t>(</w:t>
            </w:r>
            <w:proofErr w:type="spellStart"/>
            <w:r>
              <w:t>para</w:t>
            </w:r>
            <w:proofErr w:type="spellEnd"/>
            <w:r>
              <w:t>. 1)</w:t>
            </w:r>
          </w:p>
          <w:p w:rsidR="005E64F5" w:rsidRPr="00391779" w:rsidRDefault="005E64F5" w:rsidP="00981F34"/>
        </w:tc>
        <w:tc>
          <w:tcPr>
            <w:tcW w:w="5958" w:type="dxa"/>
          </w:tcPr>
          <w:p w:rsidR="005E64F5" w:rsidRDefault="005E64F5" w:rsidP="00981F34">
            <w:proofErr w:type="spellStart"/>
            <w:r>
              <w:t>McLachlin</w:t>
            </w:r>
            <w:proofErr w:type="spellEnd"/>
            <w:r>
              <w:t xml:space="preserve"> C.J. (</w:t>
            </w:r>
            <w:proofErr w:type="spellStart"/>
            <w:r>
              <w:t>LeBel</w:t>
            </w:r>
            <w:proofErr w:type="spellEnd"/>
            <w:r>
              <w:t xml:space="preserve">, </w:t>
            </w:r>
            <w:proofErr w:type="spellStart"/>
            <w:r>
              <w:t>Deschamps</w:t>
            </w:r>
            <w:proofErr w:type="spellEnd"/>
            <w:r>
              <w:t xml:space="preserve">, Fish, </w:t>
            </w:r>
            <w:proofErr w:type="spellStart"/>
            <w:r>
              <w:t>Abella</w:t>
            </w:r>
            <w:proofErr w:type="spellEnd"/>
            <w:r>
              <w:t xml:space="preserve">, Cromwell and </w:t>
            </w:r>
            <w:proofErr w:type="spellStart"/>
            <w:r>
              <w:t>Moldaver</w:t>
            </w:r>
            <w:proofErr w:type="spellEnd"/>
            <w:r>
              <w:t> JJ concurring)</w:t>
            </w:r>
          </w:p>
          <w:p w:rsidR="005E64F5" w:rsidRDefault="005E64F5" w:rsidP="00981F34"/>
          <w:p w:rsidR="005E64F5" w:rsidRPr="006B210C" w:rsidRDefault="005E64F5" w:rsidP="00981F34">
            <w:r>
              <w:t xml:space="preserve"> </w:t>
            </w:r>
          </w:p>
        </w:tc>
      </w:tr>
    </w:tbl>
    <w:p w:rsidR="005E64F5" w:rsidRPr="006B210C" w:rsidRDefault="005E64F5" w:rsidP="005E64F5">
      <w:r w:rsidRPr="00B314DC">
        <w:rPr>
          <w:noProof/>
          <w:lang w:eastAsia="en-US"/>
        </w:rPr>
        <w:pict>
          <v:shapetype id="_x0000_t32" coordsize="21600,21600" o:spt="32" o:oned="t" path="m,l21600,21600e" filled="f">
            <v:path arrowok="t" fillok="f" o:connecttype="none"/>
            <o:lock v:ext="edit" shapetype="t"/>
          </v:shapetype>
          <v:shape id="_x0000_s1026" type="#_x0000_t32" style="position:absolute;margin-left:126.75pt;margin-top:14.5pt;width:197.25pt;height:0;z-index:251660288;mso-position-horizontal-relative:text;mso-position-vertical-relative:text" o:connectortype="straight"/>
        </w:pict>
      </w:r>
    </w:p>
    <w:p w:rsidR="005E64F5" w:rsidRDefault="005E64F5">
      <w:pPr>
        <w:spacing w:after="200" w:line="276" w:lineRule="auto"/>
        <w:rPr>
          <w:rStyle w:val="SCCAppellantForIndexChar"/>
          <w:b w:val="0"/>
          <w:szCs w:val="24"/>
        </w:rPr>
      </w:pPr>
      <w:r>
        <w:rPr>
          <w:rStyle w:val="SCCAppellantForIndexChar"/>
          <w:b w:val="0"/>
          <w:szCs w:val="24"/>
        </w:rPr>
        <w:br w:type="page"/>
      </w:r>
    </w:p>
    <w:p w:rsidR="00B63285" w:rsidRPr="00B63285" w:rsidRDefault="00B63285" w:rsidP="001B0197">
      <w:pPr>
        <w:spacing w:after="720"/>
        <w:jc w:val="both"/>
        <w:rPr>
          <w:rStyle w:val="SCCRespondentForRunningHeadChar"/>
          <w:b/>
          <w:szCs w:val="24"/>
          <w:lang w:val="en-US"/>
        </w:rPr>
      </w:pPr>
      <w:r w:rsidRPr="00B63285">
        <w:rPr>
          <w:rStyle w:val="SCCAppellantForIndexChar"/>
          <w:b w:val="0"/>
          <w:szCs w:val="24"/>
        </w:rPr>
        <w:lastRenderedPageBreak/>
        <w:t xml:space="preserve">R. </w:t>
      </w:r>
      <w:r w:rsidRPr="00B63285">
        <w:rPr>
          <w:rStyle w:val="SCCAppellantForIndexChar"/>
          <w:b w:val="0"/>
          <w:i/>
          <w:szCs w:val="24"/>
        </w:rPr>
        <w:t xml:space="preserve">v. </w:t>
      </w:r>
      <w:proofErr w:type="spellStart"/>
      <w:r w:rsidRPr="00B63285">
        <w:rPr>
          <w:rStyle w:val="SCCAppellantForIndexChar"/>
          <w:b w:val="0"/>
          <w:szCs w:val="24"/>
        </w:rPr>
        <w:t>Eastgaard</w:t>
      </w:r>
      <w:proofErr w:type="spellEnd"/>
      <w:r>
        <w:rPr>
          <w:rStyle w:val="SCCAppellantForIndexChar"/>
          <w:b w:val="0"/>
          <w:szCs w:val="24"/>
        </w:rPr>
        <w:t>, 2012 SCC 11, [2012] 1 S.C.R. 393</w:t>
      </w:r>
    </w:p>
    <w:p w:rsidR="001B0197" w:rsidRPr="00674688" w:rsidRDefault="007E1CD8" w:rsidP="000A2AF6">
      <w:pPr>
        <w:pStyle w:val="SCCLsocParty"/>
        <w:tabs>
          <w:tab w:val="right" w:pos="8280"/>
        </w:tabs>
        <w:spacing w:after="720"/>
        <w:rPr>
          <w:b w:val="0"/>
          <w:i/>
          <w:szCs w:val="24"/>
          <w:lang w:val="en-US"/>
        </w:rPr>
      </w:pPr>
      <w:r w:rsidRPr="00674688">
        <w:rPr>
          <w:szCs w:val="24"/>
          <w:lang w:val="en-US"/>
        </w:rPr>
        <w:t xml:space="preserve">Hans Jason </w:t>
      </w:r>
      <w:r w:rsidR="00A46C8F">
        <w:rPr>
          <w:szCs w:val="24"/>
          <w:lang w:val="en-US"/>
        </w:rPr>
        <w:t>Eastgaard</w:t>
      </w:r>
      <w:r w:rsidR="001B0197" w:rsidRPr="00674688">
        <w:rPr>
          <w:szCs w:val="24"/>
          <w:lang w:val="en-US"/>
        </w:rPr>
        <w:tab/>
      </w:r>
      <w:r w:rsidR="001B0197" w:rsidRPr="00674688">
        <w:rPr>
          <w:b w:val="0"/>
          <w:i/>
          <w:szCs w:val="24"/>
          <w:lang w:val="en-US"/>
        </w:rPr>
        <w:t>Appellant</w:t>
      </w:r>
    </w:p>
    <w:p w:rsidR="001B0197" w:rsidRPr="00674688" w:rsidRDefault="001B0197" w:rsidP="001B0197">
      <w:pPr>
        <w:pStyle w:val="SCCLsocVersus"/>
        <w:spacing w:after="720"/>
        <w:jc w:val="both"/>
        <w:rPr>
          <w:szCs w:val="24"/>
          <w:lang w:val="en-US"/>
        </w:rPr>
      </w:pPr>
      <w:proofErr w:type="gramStart"/>
      <w:r w:rsidRPr="00674688">
        <w:rPr>
          <w:szCs w:val="24"/>
          <w:lang w:val="en-US"/>
        </w:rPr>
        <w:t>v</w:t>
      </w:r>
      <w:proofErr w:type="gramEnd"/>
      <w:r w:rsidRPr="00674688">
        <w:rPr>
          <w:szCs w:val="24"/>
          <w:lang w:val="en-US"/>
        </w:rPr>
        <w:t>.</w:t>
      </w:r>
    </w:p>
    <w:p w:rsidR="001B0197" w:rsidRPr="00707917" w:rsidRDefault="001B0197" w:rsidP="001B0197">
      <w:pPr>
        <w:pStyle w:val="SCCLsocParty"/>
        <w:tabs>
          <w:tab w:val="right" w:pos="8280"/>
        </w:tabs>
        <w:spacing w:after="720"/>
        <w:rPr>
          <w:b w:val="0"/>
          <w:i/>
          <w:szCs w:val="24"/>
        </w:rPr>
      </w:pPr>
      <w:r w:rsidRPr="00707917">
        <w:rPr>
          <w:szCs w:val="24"/>
        </w:rPr>
        <w:t xml:space="preserve">Her Majesty </w:t>
      </w:r>
      <w:proofErr w:type="gramStart"/>
      <w:r w:rsidRPr="00707917">
        <w:rPr>
          <w:szCs w:val="24"/>
        </w:rPr>
        <w:t>The</w:t>
      </w:r>
      <w:proofErr w:type="gramEnd"/>
      <w:r w:rsidRPr="00707917">
        <w:rPr>
          <w:szCs w:val="24"/>
        </w:rPr>
        <w:t xml:space="preserve"> Queen</w:t>
      </w:r>
      <w:r w:rsidRPr="00707917">
        <w:rPr>
          <w:szCs w:val="24"/>
        </w:rPr>
        <w:tab/>
      </w:r>
      <w:r w:rsidRPr="00707917">
        <w:rPr>
          <w:b w:val="0"/>
          <w:i/>
          <w:szCs w:val="24"/>
        </w:rPr>
        <w:t>Respondent</w:t>
      </w:r>
    </w:p>
    <w:p w:rsidR="001B0197" w:rsidRPr="00707917" w:rsidRDefault="001B0197" w:rsidP="001B0197">
      <w:pPr>
        <w:spacing w:after="720"/>
        <w:jc w:val="both"/>
        <w:rPr>
          <w:b/>
          <w:szCs w:val="24"/>
        </w:rPr>
      </w:pPr>
      <w:r w:rsidRPr="00707917">
        <w:rPr>
          <w:b/>
          <w:szCs w:val="24"/>
        </w:rPr>
        <w:t xml:space="preserve">Indexed as:  </w:t>
      </w:r>
      <w:r w:rsidRPr="00707917">
        <w:rPr>
          <w:rStyle w:val="SCCAppellantForIndexChar"/>
          <w:szCs w:val="24"/>
        </w:rPr>
        <w:t xml:space="preserve">R. </w:t>
      </w:r>
      <w:r w:rsidR="00545A5B" w:rsidRPr="00707917">
        <w:rPr>
          <w:rStyle w:val="SCCAppellantForIndexChar"/>
          <w:i/>
          <w:szCs w:val="24"/>
        </w:rPr>
        <w:t xml:space="preserve">v. </w:t>
      </w:r>
      <w:proofErr w:type="spellStart"/>
      <w:r w:rsidR="00545A5B" w:rsidRPr="00707917">
        <w:rPr>
          <w:rStyle w:val="SCCAppellantForIndexChar"/>
          <w:szCs w:val="24"/>
        </w:rPr>
        <w:t>Eastgaard</w:t>
      </w:r>
      <w:proofErr w:type="spellEnd"/>
    </w:p>
    <w:p w:rsidR="001B0197" w:rsidRPr="00707917" w:rsidRDefault="007E1CD8" w:rsidP="001B0197">
      <w:pPr>
        <w:pStyle w:val="SCCSystemYear"/>
        <w:spacing w:after="720"/>
        <w:jc w:val="both"/>
        <w:rPr>
          <w:szCs w:val="24"/>
        </w:rPr>
      </w:pPr>
      <w:r w:rsidRPr="00707917">
        <w:rPr>
          <w:szCs w:val="24"/>
        </w:rPr>
        <w:t>2012 SCC </w:t>
      </w:r>
      <w:r w:rsidR="000D75CD" w:rsidRPr="00707917">
        <w:rPr>
          <w:szCs w:val="24"/>
        </w:rPr>
        <w:t>11</w:t>
      </w:r>
    </w:p>
    <w:p w:rsidR="001B0197" w:rsidRPr="00707917" w:rsidRDefault="007E1CD8" w:rsidP="001B0197">
      <w:pPr>
        <w:spacing w:after="720"/>
        <w:jc w:val="both"/>
        <w:rPr>
          <w:szCs w:val="24"/>
        </w:rPr>
      </w:pPr>
      <w:r w:rsidRPr="00707917">
        <w:rPr>
          <w:szCs w:val="24"/>
        </w:rPr>
        <w:t>File No</w:t>
      </w:r>
      <w:r w:rsidR="001B0197" w:rsidRPr="00707917">
        <w:rPr>
          <w:szCs w:val="24"/>
        </w:rPr>
        <w:t xml:space="preserve">.:  </w:t>
      </w:r>
      <w:r w:rsidRPr="00707917">
        <w:rPr>
          <w:szCs w:val="24"/>
        </w:rPr>
        <w:t>34337</w:t>
      </w:r>
      <w:r w:rsidR="00E63650" w:rsidRPr="00707917">
        <w:rPr>
          <w:szCs w:val="24"/>
        </w:rPr>
        <w:t>.</w:t>
      </w:r>
    </w:p>
    <w:p w:rsidR="001B0197" w:rsidRPr="00707917" w:rsidRDefault="00E63650" w:rsidP="001B0197">
      <w:pPr>
        <w:spacing w:after="720"/>
        <w:jc w:val="both"/>
        <w:rPr>
          <w:szCs w:val="24"/>
        </w:rPr>
      </w:pPr>
      <w:r w:rsidRPr="00707917">
        <w:rPr>
          <w:szCs w:val="24"/>
        </w:rPr>
        <w:t>2012:  March 19.</w:t>
      </w:r>
    </w:p>
    <w:p w:rsidR="001B0197" w:rsidRPr="00707917" w:rsidRDefault="001B0197" w:rsidP="001B0197">
      <w:pPr>
        <w:spacing w:after="720"/>
        <w:jc w:val="both"/>
        <w:rPr>
          <w:szCs w:val="24"/>
        </w:rPr>
      </w:pPr>
      <w:r w:rsidRPr="00707917">
        <w:rPr>
          <w:szCs w:val="24"/>
        </w:rPr>
        <w:t>Present:  McLachlin C.J. an</w:t>
      </w:r>
      <w:r w:rsidR="002B692C" w:rsidRPr="00707917">
        <w:rPr>
          <w:szCs w:val="24"/>
        </w:rPr>
        <w:t>d LeBel, Deschamps, Fish, Abella, Cromwell and Moldaver JJ</w:t>
      </w:r>
      <w:r w:rsidRPr="00707917">
        <w:rPr>
          <w:szCs w:val="24"/>
        </w:rPr>
        <w:t>.</w:t>
      </w:r>
    </w:p>
    <w:p w:rsidR="001B0197" w:rsidRPr="00707917" w:rsidRDefault="001B0197" w:rsidP="001B0197">
      <w:pPr>
        <w:pStyle w:val="SCCLowerCourtNameLowercase"/>
        <w:spacing w:after="480"/>
        <w:rPr>
          <w:szCs w:val="24"/>
        </w:rPr>
      </w:pPr>
      <w:r w:rsidRPr="00707917">
        <w:rPr>
          <w:szCs w:val="24"/>
        </w:rPr>
        <w:t>o</w:t>
      </w:r>
      <w:r w:rsidR="002B692C" w:rsidRPr="00707917">
        <w:rPr>
          <w:szCs w:val="24"/>
        </w:rPr>
        <w:t>n appeal from the court</w:t>
      </w:r>
      <w:r w:rsidRPr="00707917">
        <w:rPr>
          <w:szCs w:val="24"/>
        </w:rPr>
        <w:t xml:space="preserve"> of appeal for </w:t>
      </w:r>
      <w:r w:rsidR="002B692C" w:rsidRPr="00707917">
        <w:rPr>
          <w:szCs w:val="24"/>
        </w:rPr>
        <w:t>alberta</w:t>
      </w:r>
    </w:p>
    <w:p w:rsidR="001B0197" w:rsidRPr="00707917" w:rsidRDefault="001B0197" w:rsidP="001B0197">
      <w:pPr>
        <w:pStyle w:val="SCCNormalDoubleSpacing"/>
        <w:spacing w:after="480"/>
        <w:rPr>
          <w:szCs w:val="24"/>
        </w:rPr>
      </w:pPr>
      <w:r w:rsidRPr="00707917">
        <w:rPr>
          <w:i/>
          <w:szCs w:val="24"/>
        </w:rPr>
        <w:tab/>
      </w:r>
      <w:r w:rsidR="00184EC2" w:rsidRPr="00707917">
        <w:rPr>
          <w:i/>
          <w:szCs w:val="24"/>
        </w:rPr>
        <w:t>Criminal law —</w:t>
      </w:r>
      <w:r w:rsidR="009679CB" w:rsidRPr="00707917">
        <w:rPr>
          <w:i/>
          <w:szCs w:val="24"/>
        </w:rPr>
        <w:t xml:space="preserve"> Firearms</w:t>
      </w:r>
      <w:r w:rsidR="00184EC2" w:rsidRPr="00707917">
        <w:rPr>
          <w:i/>
          <w:szCs w:val="24"/>
        </w:rPr>
        <w:t xml:space="preserve"> —</w:t>
      </w:r>
      <w:r w:rsidR="009679CB" w:rsidRPr="00707917">
        <w:rPr>
          <w:i/>
          <w:szCs w:val="24"/>
        </w:rPr>
        <w:t xml:space="preserve"> Possession of prohibited or rest</w:t>
      </w:r>
      <w:r w:rsidR="00184EC2" w:rsidRPr="00707917">
        <w:rPr>
          <w:i/>
          <w:szCs w:val="24"/>
        </w:rPr>
        <w:t>ricted firearm with ammunition — Elements of offence — Mens rea —</w:t>
      </w:r>
      <w:r w:rsidR="009679CB" w:rsidRPr="00707917">
        <w:rPr>
          <w:i/>
          <w:szCs w:val="24"/>
        </w:rPr>
        <w:t xml:space="preserve"> Trial judge inferring from circumstances of case that accused had knowledge that firearm was loaded </w:t>
      </w:r>
      <w:r w:rsidR="00184EC2" w:rsidRPr="00707917">
        <w:rPr>
          <w:i/>
          <w:szCs w:val="24"/>
        </w:rPr>
        <w:t>—</w:t>
      </w:r>
      <w:r w:rsidR="009679CB" w:rsidRPr="00707917">
        <w:rPr>
          <w:i/>
          <w:szCs w:val="24"/>
        </w:rPr>
        <w:t xml:space="preserve"> Conviction based on inference drawn from circumstan</w:t>
      </w:r>
      <w:r w:rsidR="00184EC2" w:rsidRPr="00707917">
        <w:rPr>
          <w:i/>
          <w:szCs w:val="24"/>
        </w:rPr>
        <w:t>tial evidence not unreasonable —</w:t>
      </w:r>
      <w:r w:rsidR="009679CB" w:rsidRPr="00707917">
        <w:rPr>
          <w:i/>
          <w:szCs w:val="24"/>
        </w:rPr>
        <w:t xml:space="preserve"> Criminal</w:t>
      </w:r>
      <w:r w:rsidR="007F36E1" w:rsidRPr="00707917">
        <w:rPr>
          <w:i/>
          <w:szCs w:val="24"/>
        </w:rPr>
        <w:t xml:space="preserve"> Code, R.S.C. 1985, c. C-</w:t>
      </w:r>
      <w:r w:rsidR="00184EC2" w:rsidRPr="00707917">
        <w:rPr>
          <w:i/>
          <w:szCs w:val="24"/>
        </w:rPr>
        <w:t>46, s. </w:t>
      </w:r>
      <w:r w:rsidR="009679CB" w:rsidRPr="00707917">
        <w:rPr>
          <w:i/>
          <w:szCs w:val="24"/>
        </w:rPr>
        <w:t>95</w:t>
      </w:r>
      <w:r w:rsidR="009679CB" w:rsidRPr="00707917">
        <w:rPr>
          <w:szCs w:val="24"/>
        </w:rPr>
        <w:t>.</w:t>
      </w:r>
    </w:p>
    <w:p w:rsidR="001B0197" w:rsidRPr="00707917" w:rsidRDefault="001B0197" w:rsidP="008C6C16">
      <w:pPr>
        <w:pStyle w:val="SCCNormalDoubleSpacing"/>
        <w:spacing w:after="480"/>
        <w:rPr>
          <w:szCs w:val="24"/>
        </w:rPr>
      </w:pPr>
      <w:r w:rsidRPr="00707917">
        <w:rPr>
          <w:szCs w:val="24"/>
        </w:rPr>
        <w:lastRenderedPageBreak/>
        <w:tab/>
        <w:t xml:space="preserve">APPEAL from a judgment of the </w:t>
      </w:r>
      <w:r w:rsidR="000A2AF6" w:rsidRPr="00707917">
        <w:rPr>
          <w:szCs w:val="24"/>
        </w:rPr>
        <w:t>Alberta</w:t>
      </w:r>
      <w:r w:rsidRPr="00707917">
        <w:rPr>
          <w:szCs w:val="24"/>
        </w:rPr>
        <w:t xml:space="preserve"> Court of Appeal </w:t>
      </w:r>
      <w:r w:rsidR="00131F18" w:rsidRPr="00707917">
        <w:rPr>
          <w:szCs w:val="24"/>
        </w:rPr>
        <w:fldChar w:fldCharType="begin"/>
      </w:r>
      <w:r w:rsidRPr="00707917">
        <w:rPr>
          <w:szCs w:val="24"/>
        </w:rPr>
        <w:instrText xml:space="preserve"> SEQ CHAPTER \h \r 1</w:instrText>
      </w:r>
      <w:r w:rsidR="00131F18" w:rsidRPr="00707917">
        <w:rPr>
          <w:szCs w:val="24"/>
        </w:rPr>
        <w:fldChar w:fldCharType="end"/>
      </w:r>
      <w:r w:rsidR="000A2AF6" w:rsidRPr="00707917">
        <w:rPr>
          <w:szCs w:val="24"/>
        </w:rPr>
        <w:t>(Ritter and Bielby JJ.A. and Phillips J. (</w:t>
      </w:r>
      <w:r w:rsidR="000A2AF6" w:rsidRPr="00707917">
        <w:rPr>
          <w:i/>
          <w:szCs w:val="24"/>
        </w:rPr>
        <w:t>ad hoc</w:t>
      </w:r>
      <w:r w:rsidR="000A2AF6" w:rsidRPr="00707917">
        <w:rPr>
          <w:szCs w:val="24"/>
        </w:rPr>
        <w:t>)</w:t>
      </w:r>
      <w:r w:rsidRPr="00707917">
        <w:rPr>
          <w:szCs w:val="24"/>
        </w:rPr>
        <w:t xml:space="preserve">), </w:t>
      </w:r>
      <w:r w:rsidR="00131F18" w:rsidRPr="00707917">
        <w:rPr>
          <w:szCs w:val="24"/>
        </w:rPr>
        <w:fldChar w:fldCharType="begin"/>
      </w:r>
      <w:r w:rsidRPr="00707917">
        <w:rPr>
          <w:szCs w:val="24"/>
        </w:rPr>
        <w:instrText xml:space="preserve"> SEQ CHAPTER \h \r 1</w:instrText>
      </w:r>
      <w:r w:rsidR="00131F18" w:rsidRPr="00707917">
        <w:rPr>
          <w:szCs w:val="24"/>
        </w:rPr>
        <w:fldChar w:fldCharType="end"/>
      </w:r>
      <w:r w:rsidR="00E2622E" w:rsidRPr="00707917">
        <w:rPr>
          <w:szCs w:val="24"/>
        </w:rPr>
        <w:t>2011 ABCA 152</w:t>
      </w:r>
      <w:r w:rsidRPr="00707917">
        <w:rPr>
          <w:szCs w:val="24"/>
        </w:rPr>
        <w:t>,</w:t>
      </w:r>
      <w:r w:rsidR="006A5165" w:rsidRPr="00707917">
        <w:rPr>
          <w:szCs w:val="24"/>
        </w:rPr>
        <w:t xml:space="preserve"> 50 Alta. L.</w:t>
      </w:r>
      <w:r w:rsidR="00887483" w:rsidRPr="00707917">
        <w:rPr>
          <w:szCs w:val="24"/>
        </w:rPr>
        <w:t>R. (5th) 196,</w:t>
      </w:r>
      <w:r w:rsidRPr="00707917">
        <w:rPr>
          <w:szCs w:val="24"/>
        </w:rPr>
        <w:t xml:space="preserve"> </w:t>
      </w:r>
      <w:r w:rsidR="00E2622E" w:rsidRPr="00707917">
        <w:rPr>
          <w:szCs w:val="24"/>
        </w:rPr>
        <w:t>510 A.R. 117</w:t>
      </w:r>
      <w:r w:rsidRPr="00707917">
        <w:rPr>
          <w:szCs w:val="24"/>
        </w:rPr>
        <w:t>,</w:t>
      </w:r>
      <w:r w:rsidR="00AA24B0" w:rsidRPr="00707917">
        <w:rPr>
          <w:szCs w:val="24"/>
        </w:rPr>
        <w:t xml:space="preserve"> </w:t>
      </w:r>
      <w:r w:rsidR="00674688">
        <w:rPr>
          <w:szCs w:val="24"/>
        </w:rPr>
        <w:t xml:space="preserve">276 C.C.C. (3d) 432, </w:t>
      </w:r>
      <w:r w:rsidR="00AA24B0" w:rsidRPr="00707917">
        <w:rPr>
          <w:szCs w:val="24"/>
        </w:rPr>
        <w:t>527 W.A.C. 117,</w:t>
      </w:r>
      <w:r w:rsidRPr="00707917">
        <w:rPr>
          <w:szCs w:val="24"/>
        </w:rPr>
        <w:t xml:space="preserve"> </w:t>
      </w:r>
      <w:r w:rsidR="00E2622E" w:rsidRPr="00707917">
        <w:rPr>
          <w:szCs w:val="24"/>
        </w:rPr>
        <w:t>[2011] A.J. No. 591 (QL), 2011 CarswellAlta 886</w:t>
      </w:r>
      <w:r w:rsidRPr="00707917">
        <w:rPr>
          <w:szCs w:val="24"/>
        </w:rPr>
        <w:t xml:space="preserve">, affirming </w:t>
      </w:r>
      <w:r w:rsidR="009679CB" w:rsidRPr="00707917">
        <w:rPr>
          <w:szCs w:val="24"/>
        </w:rPr>
        <w:t xml:space="preserve">a conviction entered by </w:t>
      </w:r>
      <w:r w:rsidR="00E2622E" w:rsidRPr="00707917">
        <w:rPr>
          <w:szCs w:val="24"/>
        </w:rPr>
        <w:t>Hawco J.</w:t>
      </w:r>
      <w:r w:rsidRPr="00707917">
        <w:rPr>
          <w:szCs w:val="24"/>
        </w:rPr>
        <w:t xml:space="preserve">, </w:t>
      </w:r>
      <w:r w:rsidR="00131F18" w:rsidRPr="00707917">
        <w:rPr>
          <w:szCs w:val="24"/>
        </w:rPr>
        <w:fldChar w:fldCharType="begin"/>
      </w:r>
      <w:r w:rsidRPr="00707917">
        <w:rPr>
          <w:szCs w:val="24"/>
        </w:rPr>
        <w:instrText xml:space="preserve"> SEQ CHAPTER \h \r 1</w:instrText>
      </w:r>
      <w:r w:rsidR="00131F18" w:rsidRPr="00707917">
        <w:rPr>
          <w:szCs w:val="24"/>
        </w:rPr>
        <w:fldChar w:fldCharType="end"/>
      </w:r>
      <w:r w:rsidRPr="00707917">
        <w:rPr>
          <w:szCs w:val="24"/>
        </w:rPr>
        <w:t>2009 Carswell</w:t>
      </w:r>
      <w:r w:rsidR="00E2622E" w:rsidRPr="00707917">
        <w:rPr>
          <w:szCs w:val="24"/>
        </w:rPr>
        <w:t>Alta 2348</w:t>
      </w:r>
      <w:r w:rsidRPr="00707917">
        <w:rPr>
          <w:szCs w:val="24"/>
        </w:rPr>
        <w:t xml:space="preserve">.  Appeal </w:t>
      </w:r>
      <w:r w:rsidR="00B62EED" w:rsidRPr="00707917">
        <w:rPr>
          <w:szCs w:val="24"/>
        </w:rPr>
        <w:t>dismissed</w:t>
      </w:r>
      <w:r w:rsidR="00E2622E" w:rsidRPr="00707917">
        <w:rPr>
          <w:szCs w:val="24"/>
        </w:rPr>
        <w:t>.</w:t>
      </w:r>
    </w:p>
    <w:p w:rsidR="001B0197" w:rsidRPr="00707917" w:rsidRDefault="001B0197" w:rsidP="001B0197">
      <w:pPr>
        <w:pStyle w:val="SCCNormalDoubleSpacing"/>
        <w:spacing w:after="480"/>
        <w:rPr>
          <w:szCs w:val="24"/>
        </w:rPr>
      </w:pPr>
      <w:r w:rsidRPr="00707917">
        <w:rPr>
          <w:rStyle w:val="SCCCounselNameChar"/>
          <w:szCs w:val="24"/>
        </w:rPr>
        <w:tab/>
      </w:r>
      <w:proofErr w:type="gramStart"/>
      <w:r w:rsidR="001469D1" w:rsidRPr="00707917">
        <w:rPr>
          <w:rStyle w:val="SCCCounselNameChar"/>
          <w:szCs w:val="24"/>
        </w:rPr>
        <w:t>Jennifer Ruttan</w:t>
      </w:r>
      <w:r w:rsidR="001469D1" w:rsidRPr="00707917">
        <w:rPr>
          <w:rStyle w:val="SCCCounselNameChar"/>
          <w:i w:val="0"/>
          <w:szCs w:val="24"/>
        </w:rPr>
        <w:t xml:space="preserve"> and</w:t>
      </w:r>
      <w:r w:rsidR="001469D1" w:rsidRPr="00707917">
        <w:rPr>
          <w:rStyle w:val="SCCCounselNameChar"/>
          <w:szCs w:val="24"/>
        </w:rPr>
        <w:t xml:space="preserve"> Michael Bates</w:t>
      </w:r>
      <w:r w:rsidRPr="00707917">
        <w:rPr>
          <w:rStyle w:val="SCCCounselPartyRoleChar"/>
          <w:szCs w:val="24"/>
        </w:rPr>
        <w:t>, for the appellant.</w:t>
      </w:r>
      <w:proofErr w:type="gramEnd"/>
    </w:p>
    <w:p w:rsidR="001B0197" w:rsidRPr="00707917" w:rsidRDefault="001B0197" w:rsidP="001B0197">
      <w:pPr>
        <w:pStyle w:val="SCCNormalDoubleSpacing"/>
        <w:spacing w:after="480"/>
        <w:rPr>
          <w:rStyle w:val="SCCCounselPartyRoleChar"/>
          <w:szCs w:val="24"/>
        </w:rPr>
      </w:pPr>
      <w:r w:rsidRPr="00707917">
        <w:rPr>
          <w:rStyle w:val="SCCCounselNameChar"/>
          <w:szCs w:val="24"/>
        </w:rPr>
        <w:tab/>
      </w:r>
      <w:r w:rsidR="001469D1" w:rsidRPr="00707917">
        <w:rPr>
          <w:rStyle w:val="SCCCounselNameChar"/>
          <w:szCs w:val="24"/>
        </w:rPr>
        <w:t>Goran Tomljanovic</w:t>
      </w:r>
      <w:r w:rsidR="001469D1" w:rsidRPr="00707917">
        <w:rPr>
          <w:rStyle w:val="SCCCounselNameChar"/>
          <w:i w:val="0"/>
          <w:szCs w:val="24"/>
        </w:rPr>
        <w:t xml:space="preserve">, </w:t>
      </w:r>
      <w:r w:rsidR="001469D1" w:rsidRPr="00707917">
        <w:rPr>
          <w:rStyle w:val="SCCCounselNameChar"/>
          <w:szCs w:val="24"/>
        </w:rPr>
        <w:t>Q.C.</w:t>
      </w:r>
      <w:r w:rsidRPr="00707917">
        <w:rPr>
          <w:rStyle w:val="SCCCounselPartyRoleChar"/>
          <w:szCs w:val="24"/>
        </w:rPr>
        <w:t>, for the respondent.</w:t>
      </w:r>
    </w:p>
    <w:p w:rsidR="00370100" w:rsidRPr="00707917" w:rsidRDefault="00184EC2" w:rsidP="001B0197">
      <w:pPr>
        <w:pStyle w:val="SCCNormalDoubleSpacing"/>
        <w:spacing w:after="480"/>
        <w:rPr>
          <w:szCs w:val="24"/>
        </w:rPr>
      </w:pPr>
      <w:r w:rsidRPr="00707917">
        <w:rPr>
          <w:szCs w:val="24"/>
        </w:rPr>
        <w:tab/>
      </w:r>
      <w:r w:rsidR="006F3F54" w:rsidRPr="00707917">
        <w:rPr>
          <w:szCs w:val="24"/>
        </w:rPr>
        <w:t>T</w:t>
      </w:r>
      <w:r w:rsidR="00370100" w:rsidRPr="00707917">
        <w:rPr>
          <w:szCs w:val="24"/>
        </w:rPr>
        <w:t>he judgment of the Court</w:t>
      </w:r>
      <w:r w:rsidR="006F3F54" w:rsidRPr="00707917">
        <w:rPr>
          <w:szCs w:val="24"/>
        </w:rPr>
        <w:t xml:space="preserve"> was</w:t>
      </w:r>
      <w:r w:rsidR="00370100" w:rsidRPr="00707917">
        <w:rPr>
          <w:szCs w:val="24"/>
        </w:rPr>
        <w:t xml:space="preserve"> delivered orally by</w:t>
      </w:r>
    </w:p>
    <w:p w:rsidR="00683D77" w:rsidRPr="00707917" w:rsidRDefault="00D87E96" w:rsidP="001B0197">
      <w:pPr>
        <w:pStyle w:val="SCCNormalDoubleSpacing"/>
        <w:spacing w:after="480"/>
        <w:rPr>
          <w:szCs w:val="24"/>
        </w:rPr>
      </w:pPr>
      <w:r w:rsidRPr="00707917">
        <w:rPr>
          <w:szCs w:val="24"/>
        </w:rPr>
        <w:t>[1</w:t>
      </w:r>
      <w:r w:rsidR="00683D77" w:rsidRPr="00707917">
        <w:rPr>
          <w:szCs w:val="24"/>
        </w:rPr>
        <w:t>]</w:t>
      </w:r>
      <w:r w:rsidRPr="00707917">
        <w:rPr>
          <w:szCs w:val="24"/>
        </w:rPr>
        <w:tab/>
      </w:r>
      <w:r w:rsidR="00184EC2" w:rsidRPr="00707917">
        <w:rPr>
          <w:smallCaps/>
          <w:szCs w:val="24"/>
        </w:rPr>
        <w:t>T</w:t>
      </w:r>
      <w:r w:rsidRPr="00707917">
        <w:rPr>
          <w:smallCaps/>
          <w:szCs w:val="24"/>
        </w:rPr>
        <w:t xml:space="preserve">he </w:t>
      </w:r>
      <w:r w:rsidR="00184EC2" w:rsidRPr="00707917">
        <w:rPr>
          <w:smallCaps/>
          <w:szCs w:val="24"/>
        </w:rPr>
        <w:t>Chief J</w:t>
      </w:r>
      <w:r w:rsidRPr="00707917">
        <w:rPr>
          <w:smallCaps/>
          <w:szCs w:val="24"/>
        </w:rPr>
        <w:t>ustice</w:t>
      </w:r>
      <w:r w:rsidRPr="00707917">
        <w:rPr>
          <w:szCs w:val="24"/>
        </w:rPr>
        <w:t xml:space="preserve"> — </w:t>
      </w:r>
      <w:proofErr w:type="gramStart"/>
      <w:r w:rsidRPr="00707917">
        <w:rPr>
          <w:szCs w:val="24"/>
        </w:rPr>
        <w:t>Despite</w:t>
      </w:r>
      <w:proofErr w:type="gramEnd"/>
      <w:r w:rsidRPr="00707917">
        <w:rPr>
          <w:szCs w:val="24"/>
        </w:rPr>
        <w:t xml:space="preserve"> the very complete and able argument of counsel for the appellant, we agree with the majority of the Court of Appeal that the verdict was not unreasonable. The appeal accordingly is dismissed.</w:t>
      </w:r>
    </w:p>
    <w:p w:rsidR="00683D77" w:rsidRPr="00707917" w:rsidRDefault="00683D77" w:rsidP="001B0197">
      <w:pPr>
        <w:pStyle w:val="SCCNormalDoubleSpacing"/>
        <w:spacing w:after="480"/>
        <w:rPr>
          <w:szCs w:val="24"/>
        </w:rPr>
      </w:pPr>
      <w:r w:rsidRPr="00707917">
        <w:rPr>
          <w:i/>
          <w:szCs w:val="24"/>
        </w:rPr>
        <w:tab/>
      </w:r>
      <w:proofErr w:type="gramStart"/>
      <w:r w:rsidR="009512BB" w:rsidRPr="00707917">
        <w:rPr>
          <w:i/>
          <w:szCs w:val="24"/>
        </w:rPr>
        <w:t>Judgment accordingly</w:t>
      </w:r>
      <w:r w:rsidRPr="00707917">
        <w:rPr>
          <w:i/>
          <w:szCs w:val="24"/>
        </w:rPr>
        <w:t>.</w:t>
      </w:r>
      <w:proofErr w:type="gramEnd"/>
    </w:p>
    <w:p w:rsidR="001B0197" w:rsidRPr="00707917" w:rsidRDefault="001B0197" w:rsidP="001B0197">
      <w:pPr>
        <w:pStyle w:val="SCCLawFirm"/>
        <w:spacing w:after="480"/>
        <w:rPr>
          <w:szCs w:val="24"/>
        </w:rPr>
      </w:pPr>
      <w:r w:rsidRPr="00707917">
        <w:rPr>
          <w:szCs w:val="24"/>
        </w:rPr>
        <w:tab/>
        <w:t>Solicitor</w:t>
      </w:r>
      <w:r w:rsidR="0074668C" w:rsidRPr="00707917">
        <w:rPr>
          <w:szCs w:val="24"/>
        </w:rPr>
        <w:t>s</w:t>
      </w:r>
      <w:r w:rsidRPr="00707917">
        <w:rPr>
          <w:szCs w:val="24"/>
        </w:rPr>
        <w:t xml:space="preserve"> for the appellant:  </w:t>
      </w:r>
      <w:r w:rsidR="00E71ACD" w:rsidRPr="00707917">
        <w:rPr>
          <w:szCs w:val="24"/>
        </w:rPr>
        <w:t>Ruttan Bates, Calgary</w:t>
      </w:r>
      <w:r w:rsidRPr="00707917">
        <w:rPr>
          <w:i w:val="0"/>
          <w:szCs w:val="24"/>
        </w:rPr>
        <w:t>.</w:t>
      </w:r>
    </w:p>
    <w:p w:rsidR="00F577AF" w:rsidRPr="00707917" w:rsidRDefault="001B0197" w:rsidP="008E7AF4">
      <w:pPr>
        <w:pStyle w:val="SCCLawFirm"/>
        <w:spacing w:after="480"/>
      </w:pPr>
      <w:r w:rsidRPr="00707917">
        <w:rPr>
          <w:szCs w:val="24"/>
        </w:rPr>
        <w:tab/>
        <w:t xml:space="preserve">Solicitor for the respondent:  Attorney General of </w:t>
      </w:r>
      <w:r w:rsidR="00634805" w:rsidRPr="00707917">
        <w:rPr>
          <w:szCs w:val="24"/>
        </w:rPr>
        <w:t>Alberta</w:t>
      </w:r>
      <w:r w:rsidRPr="00707917">
        <w:rPr>
          <w:szCs w:val="24"/>
        </w:rPr>
        <w:t xml:space="preserve">, </w:t>
      </w:r>
      <w:r w:rsidR="00634805" w:rsidRPr="00707917">
        <w:rPr>
          <w:szCs w:val="24"/>
        </w:rPr>
        <w:t>Calgary</w:t>
      </w:r>
      <w:r w:rsidR="003C1CB3" w:rsidRPr="00707917">
        <w:rPr>
          <w:i w:val="0"/>
          <w:szCs w:val="24"/>
        </w:rPr>
        <w:t>.</w:t>
      </w:r>
    </w:p>
    <w:sectPr w:rsidR="00F577AF" w:rsidRPr="00707917" w:rsidSect="00184EC2">
      <w:headerReference w:type="default" r:id="rId8"/>
      <w:pgSz w:w="12240" w:h="15840" w:code="1"/>
      <w:pgMar w:top="1267" w:right="2160" w:bottom="720" w:left="1800" w:header="144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01C6" w:rsidRDefault="007F01C6" w:rsidP="004E2A99">
      <w:r>
        <w:separator/>
      </w:r>
    </w:p>
  </w:endnote>
  <w:endnote w:type="continuationSeparator" w:id="0">
    <w:p w:rsidR="007F01C6" w:rsidRDefault="007F01C6" w:rsidP="004E2A9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01C6" w:rsidRDefault="007F01C6" w:rsidP="004E2A99">
      <w:r>
        <w:separator/>
      </w:r>
    </w:p>
  </w:footnote>
  <w:footnote w:type="continuationSeparator" w:id="0">
    <w:p w:rsidR="007F01C6" w:rsidRDefault="007F01C6" w:rsidP="004E2A9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0977"/>
      <w:docPartObj>
        <w:docPartGallery w:val="Page Numbers (Top of Page)"/>
        <w:docPartUnique/>
      </w:docPartObj>
    </w:sdtPr>
    <w:sdtContent>
      <w:p w:rsidR="00184EC2" w:rsidRDefault="00184EC2">
        <w:pPr>
          <w:pStyle w:val="Header"/>
          <w:jc w:val="center"/>
        </w:pPr>
        <w:r>
          <w:t xml:space="preserve">- </w:t>
        </w:r>
        <w:fldSimple w:instr=" PAGE   \* MERGEFORMAT ">
          <w:r w:rsidR="005E64F5">
            <w:rPr>
              <w:noProof/>
            </w:rPr>
            <w:t>2</w:t>
          </w:r>
        </w:fldSimple>
        <w:r>
          <w:t xml:space="preserve"> -</w:t>
        </w:r>
      </w:p>
    </w:sdtContent>
  </w:sdt>
  <w:p w:rsidR="00184EC2" w:rsidRDefault="00184EC2">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20"/>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1B0197"/>
    <w:rsid w:val="00001D26"/>
    <w:rsid w:val="000A2AF6"/>
    <w:rsid w:val="000D75CD"/>
    <w:rsid w:val="00131F18"/>
    <w:rsid w:val="001469D1"/>
    <w:rsid w:val="00184EC2"/>
    <w:rsid w:val="00187021"/>
    <w:rsid w:val="001B0197"/>
    <w:rsid w:val="001E19E7"/>
    <w:rsid w:val="002879EC"/>
    <w:rsid w:val="002A466C"/>
    <w:rsid w:val="002B692C"/>
    <w:rsid w:val="00332ABD"/>
    <w:rsid w:val="00370100"/>
    <w:rsid w:val="003C1CB3"/>
    <w:rsid w:val="004322EF"/>
    <w:rsid w:val="00446A3B"/>
    <w:rsid w:val="00480300"/>
    <w:rsid w:val="004E2A99"/>
    <w:rsid w:val="00545A5B"/>
    <w:rsid w:val="00546CD6"/>
    <w:rsid w:val="005E64F5"/>
    <w:rsid w:val="006130A6"/>
    <w:rsid w:val="00634805"/>
    <w:rsid w:val="00674688"/>
    <w:rsid w:val="00683D77"/>
    <w:rsid w:val="006A3CF8"/>
    <w:rsid w:val="006A5165"/>
    <w:rsid w:val="006F3F54"/>
    <w:rsid w:val="00706658"/>
    <w:rsid w:val="00707917"/>
    <w:rsid w:val="00716501"/>
    <w:rsid w:val="0074668C"/>
    <w:rsid w:val="00791BBE"/>
    <w:rsid w:val="007B5CFA"/>
    <w:rsid w:val="007E1CD8"/>
    <w:rsid w:val="007F01C6"/>
    <w:rsid w:val="007F36E1"/>
    <w:rsid w:val="00826F1F"/>
    <w:rsid w:val="00880F36"/>
    <w:rsid w:val="00887483"/>
    <w:rsid w:val="008C6C16"/>
    <w:rsid w:val="008E7AF4"/>
    <w:rsid w:val="00913F99"/>
    <w:rsid w:val="009512BB"/>
    <w:rsid w:val="009679CB"/>
    <w:rsid w:val="00992791"/>
    <w:rsid w:val="009C32DE"/>
    <w:rsid w:val="00A46C8F"/>
    <w:rsid w:val="00A952DD"/>
    <w:rsid w:val="00AA24B0"/>
    <w:rsid w:val="00B118A7"/>
    <w:rsid w:val="00B62EED"/>
    <w:rsid w:val="00B63285"/>
    <w:rsid w:val="00BA5C09"/>
    <w:rsid w:val="00CE0424"/>
    <w:rsid w:val="00D519DB"/>
    <w:rsid w:val="00D87E96"/>
    <w:rsid w:val="00DA0701"/>
    <w:rsid w:val="00E2622E"/>
    <w:rsid w:val="00E63650"/>
    <w:rsid w:val="00E71ACD"/>
    <w:rsid w:val="00E73EFA"/>
    <w:rsid w:val="00E817B5"/>
    <w:rsid w:val="00EF0B6F"/>
    <w:rsid w:val="00F3135A"/>
    <w:rsid w:val="00F577AF"/>
    <w:rsid w:val="00FD58B6"/>
    <w:rsid w:val="00FF7C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197"/>
    <w:pPr>
      <w:spacing w:after="0" w:line="240" w:lineRule="auto"/>
    </w:pPr>
    <w:rPr>
      <w:rFonts w:ascii="Times New Roman" w:eastAsia="Times New Roman" w:hAnsi="Times New Roman" w:cs="Times New Roman"/>
      <w:sz w:val="24"/>
      <w:szCs w:val="20"/>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CNormalDoubleSpacing">
    <w:name w:val="SCC.Normal.DoubleSpacing"/>
    <w:basedOn w:val="Normal"/>
    <w:link w:val="SCCNormalDoubleSpacingChar"/>
    <w:rsid w:val="001B0197"/>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B0197"/>
    <w:rPr>
      <w:rFonts w:ascii="Times New Roman" w:eastAsia="Times New Roman" w:hAnsi="Times New Roman" w:cs="Times New Roman"/>
      <w:sz w:val="24"/>
      <w:szCs w:val="20"/>
      <w:lang w:val="en-CA" w:eastAsia="en-CA"/>
    </w:rPr>
  </w:style>
  <w:style w:type="paragraph" w:styleId="Quote">
    <w:name w:val="Quote"/>
    <w:basedOn w:val="Normal"/>
    <w:next w:val="Normal"/>
    <w:link w:val="QuoteChar"/>
    <w:uiPriority w:val="29"/>
    <w:qFormat/>
    <w:rsid w:val="001B0197"/>
    <w:rPr>
      <w:i/>
      <w:iCs/>
      <w:color w:val="000000" w:themeColor="text1"/>
    </w:rPr>
  </w:style>
  <w:style w:type="character" w:customStyle="1" w:styleId="QuoteChar">
    <w:name w:val="Quote Char"/>
    <w:basedOn w:val="DefaultParagraphFont"/>
    <w:link w:val="Quote"/>
    <w:uiPriority w:val="29"/>
    <w:rsid w:val="001B0197"/>
    <w:rPr>
      <w:rFonts w:ascii="Times New Roman" w:eastAsia="Times New Roman" w:hAnsi="Times New Roman" w:cs="Times New Roman"/>
      <w:i/>
      <w:iCs/>
      <w:color w:val="000000" w:themeColor="text1"/>
      <w:sz w:val="24"/>
      <w:szCs w:val="20"/>
      <w:lang w:val="en-CA" w:eastAsia="en-CA"/>
    </w:rPr>
  </w:style>
  <w:style w:type="paragraph" w:styleId="Header">
    <w:name w:val="header"/>
    <w:basedOn w:val="Normal"/>
    <w:link w:val="HeaderChar"/>
    <w:uiPriority w:val="99"/>
    <w:unhideWhenUsed/>
    <w:rsid w:val="001B0197"/>
    <w:pPr>
      <w:tabs>
        <w:tab w:val="center" w:pos="4680"/>
        <w:tab w:val="right" w:pos="9360"/>
      </w:tabs>
    </w:pPr>
  </w:style>
  <w:style w:type="character" w:customStyle="1" w:styleId="HeaderChar">
    <w:name w:val="Header Char"/>
    <w:basedOn w:val="DefaultParagraphFont"/>
    <w:link w:val="Header"/>
    <w:uiPriority w:val="99"/>
    <w:rsid w:val="001B0197"/>
    <w:rPr>
      <w:rFonts w:ascii="Times New Roman" w:eastAsia="Times New Roman" w:hAnsi="Times New Roman" w:cs="Times New Roman"/>
      <w:sz w:val="24"/>
      <w:szCs w:val="20"/>
      <w:lang w:val="en-CA" w:eastAsia="en-CA"/>
    </w:rPr>
  </w:style>
  <w:style w:type="paragraph" w:customStyle="1" w:styleId="SCCLsocParty">
    <w:name w:val="SCC.Lsoc.Party"/>
    <w:basedOn w:val="Normal"/>
    <w:next w:val="Normal"/>
    <w:link w:val="SCCLsocPartyChar"/>
    <w:rsid w:val="001B0197"/>
    <w:pPr>
      <w:jc w:val="both"/>
    </w:pPr>
    <w:rPr>
      <w:b/>
    </w:rPr>
  </w:style>
  <w:style w:type="character" w:customStyle="1" w:styleId="SCCLsocPartyChar">
    <w:name w:val="SCC.Lsoc.Party Char"/>
    <w:basedOn w:val="DefaultParagraphFont"/>
    <w:link w:val="SCCLsocParty"/>
    <w:rsid w:val="001B0197"/>
    <w:rPr>
      <w:rFonts w:ascii="Times New Roman" w:eastAsia="Times New Roman" w:hAnsi="Times New Roman" w:cs="Times New Roman"/>
      <w:b/>
      <w:sz w:val="24"/>
      <w:szCs w:val="20"/>
      <w:lang w:val="en-CA" w:eastAsia="en-CA"/>
    </w:rPr>
  </w:style>
  <w:style w:type="paragraph" w:customStyle="1" w:styleId="SCCLsocVersus">
    <w:name w:val="SCC.Lsoc.Versus"/>
    <w:basedOn w:val="Normal"/>
    <w:next w:val="Normal"/>
    <w:link w:val="SCCLsocVersusChar"/>
    <w:rsid w:val="001B0197"/>
    <w:rPr>
      <w:i/>
    </w:rPr>
  </w:style>
  <w:style w:type="character" w:customStyle="1" w:styleId="SCCLsocVersusChar">
    <w:name w:val="SCC.Lsoc.Versus Char"/>
    <w:basedOn w:val="DefaultParagraphFont"/>
    <w:link w:val="SCCLsocVersus"/>
    <w:rsid w:val="001B0197"/>
    <w:rPr>
      <w:rFonts w:ascii="Times New Roman" w:eastAsia="Times New Roman" w:hAnsi="Times New Roman" w:cs="Times New Roman"/>
      <w:i/>
      <w:sz w:val="24"/>
      <w:szCs w:val="20"/>
      <w:lang w:val="en-CA" w:eastAsia="en-CA"/>
    </w:rPr>
  </w:style>
  <w:style w:type="paragraph" w:customStyle="1" w:styleId="SCCLsocOtherPartySeparator">
    <w:name w:val="SCC.Lsoc.OtherPartySeparator"/>
    <w:basedOn w:val="Normal"/>
    <w:next w:val="Normal"/>
    <w:link w:val="SCCLsocOtherPartySeparatorChar"/>
    <w:rsid w:val="001B0197"/>
  </w:style>
  <w:style w:type="character" w:customStyle="1" w:styleId="SCCLsocOtherPartySeparatorChar">
    <w:name w:val="SCC.Lsoc.OtherPartySeparator Char"/>
    <w:basedOn w:val="DefaultParagraphFont"/>
    <w:link w:val="SCCLsocOtherPartySeparator"/>
    <w:rsid w:val="001B0197"/>
    <w:rPr>
      <w:rFonts w:ascii="Times New Roman" w:eastAsia="Times New Roman" w:hAnsi="Times New Roman" w:cs="Times New Roman"/>
      <w:sz w:val="24"/>
      <w:szCs w:val="20"/>
      <w:lang w:val="en-CA" w:eastAsia="en-CA"/>
    </w:rPr>
  </w:style>
  <w:style w:type="paragraph" w:customStyle="1" w:styleId="SCCAppellantForRunningHead">
    <w:name w:val="SCC.AppellantForRunningHead"/>
    <w:basedOn w:val="Normal"/>
    <w:next w:val="Normal"/>
    <w:link w:val="SCCAppellantForRunningHeadChar"/>
    <w:rsid w:val="001B0197"/>
    <w:rPr>
      <w:smallCaps/>
    </w:rPr>
  </w:style>
  <w:style w:type="character" w:customStyle="1" w:styleId="SCCAppellantForRunningHeadChar">
    <w:name w:val="SCC.AppellantForRunningHead Char"/>
    <w:basedOn w:val="DefaultParagraphFont"/>
    <w:link w:val="SCCAppellantForRunningHead"/>
    <w:rsid w:val="001B0197"/>
    <w:rPr>
      <w:rFonts w:ascii="Times New Roman" w:eastAsia="Times New Roman" w:hAnsi="Times New Roman" w:cs="Times New Roman"/>
      <w:smallCaps/>
      <w:sz w:val="24"/>
      <w:szCs w:val="20"/>
      <w:lang w:val="en-CA" w:eastAsia="en-CA"/>
    </w:rPr>
  </w:style>
  <w:style w:type="paragraph" w:customStyle="1" w:styleId="SCCRespondentForRunningHead">
    <w:name w:val="SCC.RespondentForRunningHead"/>
    <w:basedOn w:val="Normal"/>
    <w:next w:val="Normal"/>
    <w:link w:val="SCCRespondentForRunningHeadChar"/>
    <w:rsid w:val="001B0197"/>
    <w:rPr>
      <w:smallCaps/>
    </w:rPr>
  </w:style>
  <w:style w:type="character" w:customStyle="1" w:styleId="SCCRespondentForRunningHeadChar">
    <w:name w:val="SCC.RespondentForRunningHead Char"/>
    <w:basedOn w:val="DefaultParagraphFont"/>
    <w:link w:val="SCCRespondentForRunningHead"/>
    <w:rsid w:val="001B0197"/>
    <w:rPr>
      <w:rFonts w:ascii="Times New Roman" w:eastAsia="Times New Roman" w:hAnsi="Times New Roman" w:cs="Times New Roman"/>
      <w:smallCaps/>
      <w:sz w:val="24"/>
      <w:szCs w:val="20"/>
      <w:lang w:val="en-CA" w:eastAsia="en-CA"/>
    </w:rPr>
  </w:style>
  <w:style w:type="paragraph" w:customStyle="1" w:styleId="SCCAppellantForIndex">
    <w:name w:val="SCC.AppellantForIndex"/>
    <w:basedOn w:val="Normal"/>
    <w:next w:val="Normal"/>
    <w:link w:val="SCCAppellantForIndexChar"/>
    <w:rsid w:val="001B0197"/>
    <w:rPr>
      <w:b/>
    </w:rPr>
  </w:style>
  <w:style w:type="character" w:customStyle="1" w:styleId="SCCAppellantForIndexChar">
    <w:name w:val="SCC.AppellantForIndex Char"/>
    <w:basedOn w:val="DefaultParagraphFont"/>
    <w:link w:val="SCCAppellantForIndex"/>
    <w:rsid w:val="001B0197"/>
    <w:rPr>
      <w:rFonts w:ascii="Times New Roman" w:eastAsia="Times New Roman" w:hAnsi="Times New Roman" w:cs="Times New Roman"/>
      <w:b/>
      <w:sz w:val="24"/>
      <w:szCs w:val="20"/>
      <w:lang w:val="en-CA" w:eastAsia="en-CA"/>
    </w:rPr>
  </w:style>
  <w:style w:type="paragraph" w:customStyle="1" w:styleId="SCCSystemYear">
    <w:name w:val="SCC.SystemYear"/>
    <w:basedOn w:val="Normal"/>
    <w:next w:val="Normal"/>
    <w:link w:val="SCCSystemYearChar"/>
    <w:rsid w:val="001B0197"/>
    <w:rPr>
      <w:b/>
    </w:rPr>
  </w:style>
  <w:style w:type="character" w:customStyle="1" w:styleId="SCCSystemYearChar">
    <w:name w:val="SCC.SystemYear Char"/>
    <w:basedOn w:val="DefaultParagraphFont"/>
    <w:link w:val="SCCSystemYear"/>
    <w:rsid w:val="001B0197"/>
    <w:rPr>
      <w:rFonts w:ascii="Times New Roman" w:eastAsia="Times New Roman" w:hAnsi="Times New Roman" w:cs="Times New Roman"/>
      <w:b/>
      <w:sz w:val="24"/>
      <w:szCs w:val="20"/>
      <w:lang w:val="en-CA" w:eastAsia="en-CA"/>
    </w:rPr>
  </w:style>
  <w:style w:type="paragraph" w:customStyle="1" w:styleId="SCCLowerCourtNameLowercase">
    <w:name w:val="SCC.LowerCourtNameLowercase"/>
    <w:basedOn w:val="SCCNormalDoubleSpacing"/>
    <w:next w:val="SCCNormalDoubleSpacing"/>
    <w:rsid w:val="001B0197"/>
    <w:rPr>
      <w:smallCaps/>
    </w:rPr>
  </w:style>
  <w:style w:type="paragraph" w:customStyle="1" w:styleId="SCCCounselName">
    <w:name w:val="SCC.CounselName"/>
    <w:basedOn w:val="SCCNormalDoubleSpacing"/>
    <w:next w:val="SCCNormalDoubleSpacing"/>
    <w:link w:val="SCCCounselNameChar"/>
    <w:rsid w:val="001B0197"/>
    <w:rPr>
      <w:i/>
    </w:rPr>
  </w:style>
  <w:style w:type="character" w:customStyle="1" w:styleId="SCCCounselNameChar">
    <w:name w:val="SCC.CounselName Char"/>
    <w:basedOn w:val="SCCNormalDoubleSpacingChar"/>
    <w:link w:val="SCCCounselName"/>
    <w:rsid w:val="001B0197"/>
    <w:rPr>
      <w:i/>
    </w:rPr>
  </w:style>
  <w:style w:type="paragraph" w:customStyle="1" w:styleId="SCCAppellantForCitation">
    <w:name w:val="SCC.AppellantForCitation"/>
    <w:basedOn w:val="Normal"/>
    <w:next w:val="Normal"/>
    <w:link w:val="SCCAppellantForCitationChar"/>
    <w:rsid w:val="001B0197"/>
    <w:rPr>
      <w:i/>
    </w:rPr>
  </w:style>
  <w:style w:type="character" w:customStyle="1" w:styleId="SCCAppellantForCitationChar">
    <w:name w:val="SCC.AppellantForCitation Char"/>
    <w:basedOn w:val="DefaultParagraphFont"/>
    <w:link w:val="SCCAppellantForCitation"/>
    <w:rsid w:val="001B0197"/>
    <w:rPr>
      <w:rFonts w:ascii="Times New Roman" w:eastAsia="Times New Roman" w:hAnsi="Times New Roman" w:cs="Times New Roman"/>
      <w:i/>
      <w:sz w:val="24"/>
      <w:szCs w:val="20"/>
      <w:lang w:val="en-CA" w:eastAsia="en-CA"/>
    </w:rPr>
  </w:style>
  <w:style w:type="paragraph" w:customStyle="1" w:styleId="SCCCounselSeparator">
    <w:name w:val="SCC.CounselSeparator"/>
    <w:basedOn w:val="SCCNormalDoubleSpacing"/>
    <w:next w:val="SCCNormalDoubleSpacing"/>
    <w:link w:val="SCCCounselSeparatorChar"/>
    <w:rsid w:val="001B0197"/>
  </w:style>
  <w:style w:type="character" w:customStyle="1" w:styleId="SCCCounselSeparatorChar">
    <w:name w:val="SCC.CounselSeparator Char"/>
    <w:basedOn w:val="SCCNormalDoubleSpacingChar"/>
    <w:link w:val="SCCCounselSeparator"/>
    <w:rsid w:val="001B0197"/>
  </w:style>
  <w:style w:type="paragraph" w:customStyle="1" w:styleId="SCCLawFirm">
    <w:name w:val="SCC.LawFirm"/>
    <w:basedOn w:val="SCCNormalDoubleSpacing"/>
    <w:next w:val="SCCNormalDoubleSpacing"/>
    <w:link w:val="SCCLawFirmChar"/>
    <w:rsid w:val="001B0197"/>
    <w:rPr>
      <w:i/>
    </w:rPr>
  </w:style>
  <w:style w:type="character" w:customStyle="1" w:styleId="SCCLawFirmChar">
    <w:name w:val="SCC.LawFirm Char"/>
    <w:basedOn w:val="SCCNormalDoubleSpacingChar"/>
    <w:link w:val="SCCLawFirm"/>
    <w:rsid w:val="001B0197"/>
    <w:rPr>
      <w:i/>
    </w:rPr>
  </w:style>
  <w:style w:type="paragraph" w:customStyle="1" w:styleId="SCCCounselPartyRole">
    <w:name w:val="SCC.CounselPartyRole"/>
    <w:basedOn w:val="SCCNormalDoubleSpacing"/>
    <w:next w:val="SCCNormalDoubleSpacing"/>
    <w:link w:val="SCCCounselPartyRoleChar"/>
    <w:rsid w:val="001B0197"/>
  </w:style>
  <w:style w:type="character" w:customStyle="1" w:styleId="SCCCounselPartyRoleChar">
    <w:name w:val="SCC.CounselPartyRole Char"/>
    <w:basedOn w:val="SCCNormalDoubleSpacingChar"/>
    <w:link w:val="SCCCounselPartyRole"/>
    <w:rsid w:val="001B0197"/>
  </w:style>
  <w:style w:type="paragraph" w:styleId="Footer">
    <w:name w:val="footer"/>
    <w:basedOn w:val="Normal"/>
    <w:link w:val="FooterChar"/>
    <w:uiPriority w:val="99"/>
    <w:semiHidden/>
    <w:unhideWhenUsed/>
    <w:rsid w:val="004E2A99"/>
    <w:pPr>
      <w:tabs>
        <w:tab w:val="center" w:pos="4680"/>
        <w:tab w:val="right" w:pos="9360"/>
      </w:tabs>
    </w:pPr>
  </w:style>
  <w:style w:type="character" w:customStyle="1" w:styleId="FooterChar">
    <w:name w:val="Footer Char"/>
    <w:basedOn w:val="DefaultParagraphFont"/>
    <w:link w:val="Footer"/>
    <w:uiPriority w:val="99"/>
    <w:semiHidden/>
    <w:rsid w:val="004E2A99"/>
    <w:rPr>
      <w:rFonts w:ascii="Times New Roman" w:eastAsia="Times New Roman" w:hAnsi="Times New Roman" w:cs="Times New Roman"/>
      <w:sz w:val="24"/>
      <w:szCs w:val="20"/>
      <w:lang w:val="en-CA" w:eastAsia="en-CA"/>
    </w:rPr>
  </w:style>
  <w:style w:type="table" w:styleId="TableGrid">
    <w:name w:val="Table Grid"/>
    <w:basedOn w:val="TableNormal"/>
    <w:uiPriority w:val="59"/>
    <w:rsid w:val="005E64F5"/>
    <w:pPr>
      <w:spacing w:after="0" w:line="240" w:lineRule="auto"/>
    </w:pPr>
    <w:rPr>
      <w:rFonts w:ascii="Times New Roman" w:hAnsi="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socPartyRole">
    <w:name w:val="SCC.Lsoc.PartyRole"/>
    <w:basedOn w:val="Normal"/>
    <w:next w:val="Normal"/>
    <w:link w:val="SCCLsocPartyRoleChar"/>
    <w:rsid w:val="005E64F5"/>
    <w:pPr>
      <w:jc w:val="center"/>
    </w:pPr>
    <w:rPr>
      <w:rFonts w:eastAsiaTheme="minorHAnsi" w:cstheme="minorBidi"/>
      <w:szCs w:val="24"/>
      <w:lang w:eastAsia="en-US"/>
    </w:rPr>
  </w:style>
  <w:style w:type="character" w:customStyle="1" w:styleId="SCCLsocPartyRoleChar">
    <w:name w:val="SCC.Lsoc.PartyRole Char"/>
    <w:basedOn w:val="DefaultParagraphFont"/>
    <w:link w:val="SCCLsocPartyRole"/>
    <w:rsid w:val="005E64F5"/>
    <w:rPr>
      <w:rFonts w:ascii="Times New Roman" w:hAnsi="Times New Roman"/>
      <w:sz w:val="24"/>
      <w:szCs w:val="24"/>
      <w:lang w:val="en-CA"/>
    </w:rPr>
  </w:style>
  <w:style w:type="paragraph" w:customStyle="1" w:styleId="SCCLsocPrefix">
    <w:name w:val="SCC.Lsoc.Prefix"/>
    <w:basedOn w:val="Normal"/>
    <w:next w:val="Normal"/>
    <w:link w:val="SCCLsocPrefixChar"/>
    <w:rsid w:val="005E64F5"/>
    <w:rPr>
      <w:rFonts w:eastAsiaTheme="minorHAnsi" w:cstheme="minorBidi"/>
      <w:b/>
      <w:smallCaps/>
      <w:szCs w:val="24"/>
      <w:lang w:eastAsia="en-US"/>
    </w:rPr>
  </w:style>
  <w:style w:type="character" w:customStyle="1" w:styleId="SCCLsocPrefixChar">
    <w:name w:val="SCC.Lsoc.Prefix Char"/>
    <w:basedOn w:val="DefaultParagraphFont"/>
    <w:link w:val="SCCLsocPrefix"/>
    <w:rsid w:val="005E64F5"/>
    <w:rPr>
      <w:rFonts w:ascii="Times New Roman" w:hAnsi="Times New Roman"/>
      <w:b/>
      <w:smallCaps/>
      <w:sz w:val="24"/>
      <w:szCs w:val="24"/>
      <w:lang w:val="en-CA"/>
    </w:rPr>
  </w:style>
  <w:style w:type="paragraph" w:customStyle="1" w:styleId="SCCRespondentForIndex">
    <w:name w:val="SCC.RespondentForIndex"/>
    <w:basedOn w:val="Normal"/>
    <w:next w:val="Normal"/>
    <w:link w:val="SCCRespondentForIndexChar"/>
    <w:rsid w:val="005E64F5"/>
    <w:rPr>
      <w:b/>
    </w:rPr>
  </w:style>
  <w:style w:type="character" w:customStyle="1" w:styleId="SCCRespondentForIndexChar">
    <w:name w:val="SCC.RespondentForIndex Char"/>
    <w:basedOn w:val="DefaultParagraphFont"/>
    <w:link w:val="SCCRespondentForIndex"/>
    <w:rsid w:val="005E64F5"/>
    <w:rPr>
      <w:rFonts w:ascii="Times New Roman" w:eastAsia="Times New Roman" w:hAnsi="Times New Roman" w:cs="Times New Roman"/>
      <w:b/>
      <w:sz w:val="24"/>
      <w:szCs w:val="20"/>
      <w:lang w:val="en-CA"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316</Words>
  <Characters>1743</Characters>
  <Application>Microsoft Office Word</Application>
  <DocSecurity>0</DocSecurity>
  <Lines>14</Lines>
  <Paragraphs>4</Paragraphs>
  <ScaleCrop>false</ScaleCrop>
  <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2012-05-02T14:37:00Z</dcterms:created>
  <dcterms:modified xsi:type="dcterms:W3CDTF">2012-09-14T16:52:00Z</dcterms:modified>
</cp:coreProperties>
</file>