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50" w:rsidRDefault="00D91F50" w:rsidP="00D91F50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7" o:title=""/>
          </v:shape>
          <o:OLEObject Type="Embed" ProgID="Presentations.Drawing.13" ShapeID="_x0000_i1025" DrawAspect="Content" ObjectID="_1408797080" r:id="rId8"/>
        </w:object>
      </w:r>
      <w:r>
        <w:t xml:space="preserve"> </w:t>
      </w:r>
      <w:r>
        <w:ptab w:relativeTo="margin" w:alignment="right" w:leader="none"/>
      </w:r>
    </w:p>
    <w:p w:rsidR="00D91F50" w:rsidRDefault="00D91F50" w:rsidP="00D91F50">
      <w:pPr>
        <w:pStyle w:val="Header"/>
      </w:pPr>
    </w:p>
    <w:p w:rsidR="00D91F50" w:rsidRPr="006B210C" w:rsidRDefault="00D91F50" w:rsidP="00D91F50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D91F50" w:rsidRDefault="00D91F50" w:rsidP="00D91F50">
      <w:pPr>
        <w:pStyle w:val="Header"/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D91F50" w:rsidRPr="006B210C" w:rsidTr="00563911">
        <w:trPr>
          <w:cantSplit/>
        </w:trPr>
        <w:tc>
          <w:tcPr>
            <w:tcW w:w="6768" w:type="dxa"/>
          </w:tcPr>
          <w:p w:rsidR="00D91F50" w:rsidRPr="002B646A" w:rsidRDefault="00D91F50" w:rsidP="00563911">
            <w:pPr>
              <w:rPr>
                <w:rStyle w:val="SCCRespondentForIndexChar"/>
                <w:b w:val="0"/>
                <w:lang w:val="fr-CA"/>
              </w:rPr>
            </w:pPr>
            <w:r w:rsidRPr="002B646A">
              <w:rPr>
                <w:b/>
                <w:smallCaps/>
                <w:lang w:val="fr-CA"/>
              </w:rPr>
              <w:t xml:space="preserve">Citation </w:t>
            </w:r>
            <w:r w:rsidRPr="002B646A">
              <w:rPr>
                <w:b/>
                <w:lang w:val="fr-CA"/>
              </w:rPr>
              <w:t>:</w:t>
            </w:r>
            <w:r w:rsidRPr="002B646A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R </w:t>
            </w:r>
            <w:r w:rsidRPr="00C46AE7">
              <w:rPr>
                <w:i/>
                <w:lang w:val="fr-CA"/>
              </w:rPr>
              <w:t>v</w:t>
            </w:r>
            <w:r>
              <w:rPr>
                <w:lang w:val="fr-CA"/>
              </w:rPr>
              <w:t>. T.L.M.</w:t>
            </w:r>
            <w:r w:rsidRPr="002B646A">
              <w:rPr>
                <w:rStyle w:val="SCCRespondentForIndexChar"/>
                <w:lang w:val="fr-CA"/>
              </w:rPr>
              <w:t>,</w:t>
            </w:r>
          </w:p>
          <w:p w:rsidR="00D91F50" w:rsidRPr="00D91F50" w:rsidRDefault="00D91F50" w:rsidP="00563911">
            <w:pPr>
              <w:rPr>
                <w:b/>
              </w:rPr>
            </w:pPr>
            <w:r w:rsidRPr="00D91F50">
              <w:rPr>
                <w:rStyle w:val="SCCRespondentForIndexChar"/>
                <w:b w:val="0"/>
              </w:rPr>
              <w:t>2012 SCC 6, [2012] 1 S.C.R. 233</w:t>
            </w:r>
          </w:p>
        </w:tc>
        <w:tc>
          <w:tcPr>
            <w:tcW w:w="2808" w:type="dxa"/>
          </w:tcPr>
          <w:p w:rsidR="00D91F50" w:rsidRPr="006B210C" w:rsidRDefault="00D91F50" w:rsidP="00563911">
            <w:r w:rsidRPr="006B210C">
              <w:rPr>
                <w:b/>
                <w:smallCaps/>
              </w:rPr>
              <w:t xml:space="preserve">Date </w:t>
            </w:r>
            <w:r w:rsidRPr="006B210C">
              <w:t xml:space="preserve">: </w:t>
            </w:r>
            <w:r>
              <w:t>20120214</w:t>
            </w:r>
          </w:p>
          <w:p w:rsidR="00D91F50" w:rsidRPr="006B210C" w:rsidRDefault="00D91F50" w:rsidP="00563911">
            <w:r w:rsidRPr="006B210C">
              <w:rPr>
                <w:b/>
                <w:smallCaps/>
              </w:rPr>
              <w:t xml:space="preserve">Docket </w:t>
            </w:r>
            <w:r w:rsidRPr="006B210C">
              <w:t xml:space="preserve">: </w:t>
            </w:r>
            <w:r>
              <w:t>34288</w:t>
            </w:r>
          </w:p>
        </w:tc>
      </w:tr>
    </w:tbl>
    <w:p w:rsidR="00D91F50" w:rsidRPr="006B210C" w:rsidRDefault="00D91F50" w:rsidP="00D91F50"/>
    <w:p w:rsidR="00D91F50" w:rsidRDefault="00D91F50" w:rsidP="00D91F50">
      <w:pPr>
        <w:pStyle w:val="SCCLsocPrefix"/>
      </w:pPr>
      <w:r>
        <w:t>Between:</w:t>
      </w:r>
    </w:p>
    <w:p w:rsidR="00D91F50" w:rsidRDefault="00D91F50" w:rsidP="00D91F50">
      <w:pPr>
        <w:pStyle w:val="SCCLsocParty"/>
        <w:tabs>
          <w:tab w:val="right" w:pos="8280"/>
        </w:tabs>
        <w:jc w:val="center"/>
      </w:pPr>
      <w:proofErr w:type="spellStart"/>
      <w:r>
        <w:rPr>
          <w:lang w:val="fr-CA"/>
        </w:rPr>
        <w:t>Her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Majesty</w:t>
      </w:r>
      <w:proofErr w:type="spellEnd"/>
      <w:r>
        <w:rPr>
          <w:lang w:val="fr-CA"/>
        </w:rPr>
        <w:t xml:space="preserve"> The </w:t>
      </w:r>
      <w:proofErr w:type="spellStart"/>
      <w:r>
        <w:rPr>
          <w:lang w:val="fr-CA"/>
        </w:rPr>
        <w:t>Queen</w:t>
      </w:r>
      <w:proofErr w:type="spellEnd"/>
    </w:p>
    <w:p w:rsidR="00D91F50" w:rsidRDefault="00D91F50" w:rsidP="00D91F50">
      <w:pPr>
        <w:pStyle w:val="SCCLsocPartyRole"/>
      </w:pPr>
      <w:r>
        <w:t>Appellant</w:t>
      </w:r>
    </w:p>
    <w:p w:rsidR="00D91F50" w:rsidRDefault="00D91F50" w:rsidP="00D91F50">
      <w:pPr>
        <w:pStyle w:val="SCCLsocVersus"/>
        <w:jc w:val="center"/>
      </w:pPr>
      <w:proofErr w:type="gramStart"/>
      <w:r>
        <w:t>and</w:t>
      </w:r>
      <w:proofErr w:type="gramEnd"/>
    </w:p>
    <w:p w:rsidR="00D91F50" w:rsidRDefault="00D91F50" w:rsidP="00D91F50">
      <w:pPr>
        <w:pStyle w:val="SCCLsocParty"/>
        <w:jc w:val="center"/>
      </w:pPr>
      <w:r>
        <w:rPr>
          <w:lang w:val="fr-CA"/>
        </w:rPr>
        <w:t>T.L.M.</w:t>
      </w:r>
    </w:p>
    <w:p w:rsidR="00D91F50" w:rsidRDefault="00D91F50" w:rsidP="00D91F50">
      <w:pPr>
        <w:pStyle w:val="SCCLsocPartyRole"/>
      </w:pPr>
      <w:r>
        <w:t>Respondent</w:t>
      </w:r>
    </w:p>
    <w:p w:rsidR="00D91F50" w:rsidRDefault="00D91F50" w:rsidP="00D91F50"/>
    <w:p w:rsidR="00D91F50" w:rsidRPr="006B210C" w:rsidRDefault="00D91F50" w:rsidP="00D91F50">
      <w:proofErr w:type="gramStart"/>
      <w:r w:rsidRPr="006B210C">
        <w:rPr>
          <w:b/>
          <w:smallCaps/>
        </w:rPr>
        <w:t xml:space="preserve">Coram </w:t>
      </w:r>
      <w:r w:rsidRPr="006B210C">
        <w:t>:</w:t>
      </w:r>
      <w:proofErr w:type="gramEnd"/>
      <w:r w:rsidRPr="006B210C">
        <w:t xml:space="preserve"> </w:t>
      </w:r>
      <w:proofErr w:type="spellStart"/>
      <w:r>
        <w:t>Deschamps</w:t>
      </w:r>
      <w:proofErr w:type="spellEnd"/>
      <w:r>
        <w:t xml:space="preserve">, Fish, </w:t>
      </w:r>
      <w:proofErr w:type="spellStart"/>
      <w:r>
        <w:t>Abella</w:t>
      </w:r>
      <w:proofErr w:type="spellEnd"/>
      <w:r>
        <w:t xml:space="preserve">, Rothstein, Cromwell, </w:t>
      </w:r>
      <w:proofErr w:type="spellStart"/>
      <w:r>
        <w:t>Moldaver</w:t>
      </w:r>
      <w:proofErr w:type="spellEnd"/>
      <w:r>
        <w:t xml:space="preserve"> and </w:t>
      </w:r>
      <w:proofErr w:type="spellStart"/>
      <w:r>
        <w:t>Karakatsanis</w:t>
      </w:r>
      <w:proofErr w:type="spellEnd"/>
      <w:r>
        <w:t xml:space="preserve"> JJ.</w:t>
      </w:r>
    </w:p>
    <w:p w:rsidR="00D91F50" w:rsidRPr="006B210C" w:rsidRDefault="00D91F50" w:rsidP="00D91F5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D91F50" w:rsidRPr="006B210C" w:rsidTr="00563911">
        <w:trPr>
          <w:cantSplit/>
        </w:trPr>
        <w:tc>
          <w:tcPr>
            <w:tcW w:w="3618" w:type="dxa"/>
          </w:tcPr>
          <w:p w:rsidR="00D91F50" w:rsidRDefault="00D91F50" w:rsidP="00563911">
            <w:r w:rsidRPr="006B210C">
              <w:rPr>
                <w:b/>
                <w:smallCaps/>
              </w:rPr>
              <w:t>Reasons for Judgment</w:t>
            </w:r>
            <w:r w:rsidRPr="006B210C">
              <w:t xml:space="preserve"> :</w:t>
            </w:r>
          </w:p>
          <w:p w:rsidR="00D91F50" w:rsidRPr="006B210C" w:rsidRDefault="00D91F50" w:rsidP="00563911">
            <w:r>
              <w:t>(</w:t>
            </w:r>
            <w:proofErr w:type="spellStart"/>
            <w:r>
              <w:t>paras</w:t>
            </w:r>
            <w:proofErr w:type="spellEnd"/>
            <w:r>
              <w:t>. 1 to 2)</w:t>
            </w:r>
          </w:p>
        </w:tc>
        <w:tc>
          <w:tcPr>
            <w:tcW w:w="5958" w:type="dxa"/>
          </w:tcPr>
          <w:p w:rsidR="00D91F50" w:rsidRPr="006B210C" w:rsidRDefault="00D91F50" w:rsidP="00563911">
            <w:proofErr w:type="spellStart"/>
            <w:r>
              <w:t>Deschamps</w:t>
            </w:r>
            <w:proofErr w:type="spellEnd"/>
            <w:r>
              <w:t xml:space="preserve"> J. (Fish, </w:t>
            </w:r>
            <w:proofErr w:type="spellStart"/>
            <w:r>
              <w:t>Abella</w:t>
            </w:r>
            <w:proofErr w:type="spellEnd"/>
            <w:r>
              <w:t xml:space="preserve">, Rothstein, Cromwell, </w:t>
            </w:r>
            <w:proofErr w:type="spellStart"/>
            <w:r>
              <w:t>Moldaver</w:t>
            </w:r>
            <w:proofErr w:type="spellEnd"/>
            <w:r>
              <w:t xml:space="preserve"> and </w:t>
            </w:r>
            <w:proofErr w:type="spellStart"/>
            <w:r>
              <w:t>Karakatsanis</w:t>
            </w:r>
            <w:proofErr w:type="spellEnd"/>
            <w:r>
              <w:t xml:space="preserve"> JJ. concurring)</w:t>
            </w:r>
          </w:p>
        </w:tc>
      </w:tr>
    </w:tbl>
    <w:p w:rsidR="00D91F50" w:rsidRPr="006B210C" w:rsidRDefault="00D91F50" w:rsidP="00D91F50">
      <w:r w:rsidRPr="000919A1"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60288;mso-position-horizontal-relative:text;mso-position-vertical-relative:text" o:connectortype="straight"/>
        </w:pict>
      </w:r>
    </w:p>
    <w:p w:rsidR="00D91F50" w:rsidRDefault="00D91F50">
      <w:r>
        <w:br w:type="page"/>
      </w:r>
    </w:p>
    <w:p w:rsidR="00D920A0" w:rsidRPr="00AE0E14" w:rsidRDefault="00AE0E14" w:rsidP="00D920A0">
      <w:pPr>
        <w:spacing w:line="480" w:lineRule="auto"/>
        <w:jc w:val="both"/>
      </w:pPr>
      <w:r w:rsidRPr="00AE0E14">
        <w:lastRenderedPageBreak/>
        <w:t>R.</w:t>
      </w:r>
      <w:r w:rsidRPr="00AE0E14">
        <w:rPr>
          <w:i/>
        </w:rPr>
        <w:t xml:space="preserve"> v</w:t>
      </w:r>
      <w:r w:rsidRPr="00AE0E14">
        <w:t>. T.L.M.</w:t>
      </w:r>
      <w:r>
        <w:t>, 2012 SCC 6, [2012] 1 S.C.R. 233</w:t>
      </w:r>
    </w:p>
    <w:p w:rsidR="00AE0E14" w:rsidRPr="00DC2134" w:rsidRDefault="00AE0E14" w:rsidP="00D920A0">
      <w:pPr>
        <w:spacing w:line="480" w:lineRule="auto"/>
        <w:jc w:val="both"/>
        <w:rPr>
          <w:rStyle w:val="SCCRespondentForRunningHeadChar"/>
          <w:lang w:val="en-US"/>
        </w:rPr>
      </w:pPr>
    </w:p>
    <w:p w:rsidR="00D920A0" w:rsidRPr="00DC2134" w:rsidRDefault="00AB7CA8" w:rsidP="00D920A0">
      <w:pPr>
        <w:pStyle w:val="SCCLsocParty"/>
        <w:tabs>
          <w:tab w:val="right" w:pos="8280"/>
        </w:tabs>
        <w:spacing w:line="480" w:lineRule="auto"/>
        <w:rPr>
          <w:lang w:val="en-US"/>
        </w:rPr>
      </w:pPr>
      <w:r w:rsidRPr="00DC2134">
        <w:rPr>
          <w:lang w:val="en-US"/>
        </w:rPr>
        <w:t xml:space="preserve">Her Majesty </w:t>
      </w:r>
      <w:proofErr w:type="gramStart"/>
      <w:r w:rsidRPr="00DC2134">
        <w:rPr>
          <w:lang w:val="en-US"/>
        </w:rPr>
        <w:t>The</w:t>
      </w:r>
      <w:proofErr w:type="gramEnd"/>
      <w:r w:rsidRPr="00DC2134">
        <w:rPr>
          <w:lang w:val="en-US"/>
        </w:rPr>
        <w:t xml:space="preserve"> Queen</w:t>
      </w:r>
      <w:r w:rsidR="00D920A0" w:rsidRPr="00DC2134">
        <w:rPr>
          <w:lang w:val="en-US"/>
        </w:rPr>
        <w:tab/>
      </w:r>
      <w:r w:rsidR="00D920A0" w:rsidRPr="00DC2134">
        <w:rPr>
          <w:b w:val="0"/>
          <w:i/>
          <w:lang w:val="en-US"/>
        </w:rPr>
        <w:t>Appellant</w:t>
      </w:r>
    </w:p>
    <w:p w:rsidR="00D920A0" w:rsidRPr="00DC2134" w:rsidRDefault="00D920A0" w:rsidP="00D920A0">
      <w:pPr>
        <w:pStyle w:val="SCCLsocParty"/>
        <w:tabs>
          <w:tab w:val="right" w:pos="8280"/>
        </w:tabs>
        <w:spacing w:line="480" w:lineRule="auto"/>
        <w:rPr>
          <w:lang w:val="en-US"/>
        </w:rPr>
      </w:pPr>
    </w:p>
    <w:p w:rsidR="00D920A0" w:rsidRPr="00DC2134" w:rsidRDefault="00D920A0" w:rsidP="00AB7CA8">
      <w:pPr>
        <w:pStyle w:val="SCCLsocVersus"/>
        <w:spacing w:after="480" w:line="480" w:lineRule="auto"/>
      </w:pPr>
      <w:proofErr w:type="gramStart"/>
      <w:r w:rsidRPr="00DC2134">
        <w:t>v</w:t>
      </w:r>
      <w:proofErr w:type="gramEnd"/>
      <w:r w:rsidRPr="00DC2134">
        <w:t>.</w:t>
      </w:r>
    </w:p>
    <w:p w:rsidR="00D920A0" w:rsidRPr="00DC2134" w:rsidRDefault="00AB7CA8" w:rsidP="00D920A0">
      <w:pPr>
        <w:pStyle w:val="SCCLsocParty"/>
        <w:tabs>
          <w:tab w:val="right" w:pos="8280"/>
        </w:tabs>
        <w:spacing w:line="480" w:lineRule="auto"/>
      </w:pPr>
      <w:r w:rsidRPr="00DC2134">
        <w:t>T.L.M.</w:t>
      </w:r>
      <w:r w:rsidR="00D920A0" w:rsidRPr="00DC2134">
        <w:tab/>
      </w:r>
      <w:r w:rsidR="00D920A0" w:rsidRPr="00DC2134">
        <w:rPr>
          <w:b w:val="0"/>
          <w:i/>
        </w:rPr>
        <w:t>Respondent</w:t>
      </w:r>
    </w:p>
    <w:p w:rsidR="00D920A0" w:rsidRPr="00DC2134" w:rsidRDefault="00D920A0" w:rsidP="00D920A0">
      <w:pPr>
        <w:spacing w:line="480" w:lineRule="auto"/>
        <w:jc w:val="both"/>
      </w:pPr>
    </w:p>
    <w:p w:rsidR="00D920A0" w:rsidRPr="00DC2134" w:rsidRDefault="00D920A0" w:rsidP="00D920A0">
      <w:pPr>
        <w:spacing w:line="480" w:lineRule="auto"/>
        <w:jc w:val="both"/>
        <w:rPr>
          <w:b/>
        </w:rPr>
      </w:pPr>
      <w:proofErr w:type="gramStart"/>
      <w:r w:rsidRPr="00DC2134">
        <w:rPr>
          <w:b/>
        </w:rPr>
        <w:t>Indexed as:  </w:t>
      </w:r>
      <w:r w:rsidR="00AB7CA8" w:rsidRPr="00DC2134">
        <w:rPr>
          <w:b/>
        </w:rPr>
        <w:t>R.</w:t>
      </w:r>
      <w:r w:rsidRPr="00DC2134">
        <w:rPr>
          <w:b/>
          <w:i/>
        </w:rPr>
        <w:t xml:space="preserve"> v</w:t>
      </w:r>
      <w:r w:rsidRPr="00DC2134">
        <w:rPr>
          <w:b/>
        </w:rPr>
        <w:t xml:space="preserve">. </w:t>
      </w:r>
      <w:r w:rsidR="00AB7CA8" w:rsidRPr="00DC2134">
        <w:rPr>
          <w:b/>
        </w:rPr>
        <w:t>T.L.M.</w:t>
      </w:r>
      <w:proofErr w:type="gramEnd"/>
    </w:p>
    <w:p w:rsidR="00D920A0" w:rsidRPr="00DC2134" w:rsidRDefault="00D920A0" w:rsidP="00D920A0">
      <w:pPr>
        <w:spacing w:line="480" w:lineRule="auto"/>
        <w:jc w:val="both"/>
      </w:pPr>
    </w:p>
    <w:p w:rsidR="00D920A0" w:rsidRPr="00DC2134" w:rsidRDefault="00037473" w:rsidP="00D920A0">
      <w:pPr>
        <w:pStyle w:val="SCCSystemYear"/>
        <w:spacing w:line="480" w:lineRule="auto"/>
        <w:jc w:val="both"/>
      </w:pPr>
      <w:r w:rsidRPr="00DC2134">
        <w:t>2012 SCC 6</w:t>
      </w:r>
    </w:p>
    <w:p w:rsidR="00D920A0" w:rsidRPr="00DC2134" w:rsidRDefault="00D920A0" w:rsidP="00D920A0">
      <w:pPr>
        <w:spacing w:line="480" w:lineRule="auto"/>
        <w:jc w:val="both"/>
      </w:pPr>
    </w:p>
    <w:p w:rsidR="00D920A0" w:rsidRPr="00DC2134" w:rsidRDefault="00D920A0" w:rsidP="00D920A0">
      <w:pPr>
        <w:spacing w:line="480" w:lineRule="auto"/>
        <w:jc w:val="both"/>
      </w:pPr>
      <w:r w:rsidRPr="00DC2134">
        <w:t>File No.:  3</w:t>
      </w:r>
      <w:r w:rsidR="00795ACC" w:rsidRPr="00DC2134">
        <w:t>4288</w:t>
      </w:r>
      <w:r w:rsidRPr="00DC2134">
        <w:t>.</w:t>
      </w:r>
    </w:p>
    <w:p w:rsidR="00D920A0" w:rsidRPr="00DC2134" w:rsidRDefault="00D920A0" w:rsidP="00D920A0">
      <w:pPr>
        <w:spacing w:line="480" w:lineRule="auto"/>
        <w:jc w:val="both"/>
      </w:pPr>
    </w:p>
    <w:p w:rsidR="00D920A0" w:rsidRPr="00DC2134" w:rsidRDefault="00D920A0" w:rsidP="00D920A0">
      <w:pPr>
        <w:spacing w:line="480" w:lineRule="auto"/>
        <w:jc w:val="both"/>
      </w:pPr>
      <w:r w:rsidRPr="00DC2134">
        <w:t>2012:  </w:t>
      </w:r>
      <w:r w:rsidR="009C0578" w:rsidRPr="00DC2134">
        <w:t>February 14</w:t>
      </w:r>
      <w:r w:rsidRPr="00DC2134">
        <w:t>.</w:t>
      </w:r>
    </w:p>
    <w:p w:rsidR="00D920A0" w:rsidRPr="00DC2134" w:rsidRDefault="00D920A0" w:rsidP="00D920A0">
      <w:pPr>
        <w:spacing w:line="480" w:lineRule="auto"/>
        <w:jc w:val="both"/>
      </w:pPr>
    </w:p>
    <w:p w:rsidR="00D920A0" w:rsidRPr="00DC2134" w:rsidRDefault="00D920A0" w:rsidP="00D920A0">
      <w:pPr>
        <w:jc w:val="both"/>
      </w:pPr>
      <w:r w:rsidRPr="00DC2134">
        <w:t xml:space="preserve">Present:  Deschamps, </w:t>
      </w:r>
      <w:r w:rsidR="00263E69" w:rsidRPr="00DC2134">
        <w:t xml:space="preserve">Fish, </w:t>
      </w:r>
      <w:r w:rsidRPr="00DC2134">
        <w:t>Abella, Rothstein, Cromwell, Moldaver and Karakatsanis JJ.</w:t>
      </w:r>
    </w:p>
    <w:p w:rsidR="00D920A0" w:rsidRPr="00DC2134" w:rsidRDefault="00D920A0" w:rsidP="00D920A0">
      <w:pPr>
        <w:spacing w:line="480" w:lineRule="auto"/>
        <w:jc w:val="both"/>
        <w:rPr>
          <w:szCs w:val="24"/>
        </w:rPr>
      </w:pPr>
    </w:p>
    <w:p w:rsidR="00D920A0" w:rsidRPr="00DC2134" w:rsidRDefault="00D920A0" w:rsidP="00D920A0">
      <w:pPr>
        <w:spacing w:line="480" w:lineRule="auto"/>
        <w:jc w:val="both"/>
        <w:rPr>
          <w:smallCaps/>
          <w:szCs w:val="24"/>
        </w:rPr>
      </w:pPr>
      <w:r w:rsidRPr="00DC2134">
        <w:rPr>
          <w:smallCaps/>
          <w:szCs w:val="24"/>
        </w:rPr>
        <w:t>on appeal from the court of appeal</w:t>
      </w:r>
      <w:r w:rsidR="000315CA" w:rsidRPr="00DC2134">
        <w:rPr>
          <w:smallCaps/>
          <w:szCs w:val="24"/>
        </w:rPr>
        <w:t xml:space="preserve"> for </w:t>
      </w:r>
      <w:proofErr w:type="spellStart"/>
      <w:r w:rsidR="000315CA" w:rsidRPr="00DC2134">
        <w:rPr>
          <w:smallCaps/>
          <w:szCs w:val="24"/>
        </w:rPr>
        <w:t>newfoundland</w:t>
      </w:r>
      <w:proofErr w:type="spellEnd"/>
      <w:r w:rsidR="000315CA" w:rsidRPr="00DC2134">
        <w:rPr>
          <w:smallCaps/>
          <w:szCs w:val="24"/>
        </w:rPr>
        <w:t xml:space="preserve"> and </w:t>
      </w:r>
      <w:proofErr w:type="spellStart"/>
      <w:r w:rsidR="000315CA" w:rsidRPr="00DC2134">
        <w:rPr>
          <w:smallCaps/>
          <w:szCs w:val="24"/>
        </w:rPr>
        <w:t>labrador</w:t>
      </w:r>
      <w:proofErr w:type="spellEnd"/>
    </w:p>
    <w:p w:rsidR="00D920A0" w:rsidRPr="00DC2134" w:rsidRDefault="00D920A0" w:rsidP="00D920A0">
      <w:pPr>
        <w:pStyle w:val="SCCNormalDoubleSpacing"/>
        <w:rPr>
          <w:szCs w:val="24"/>
        </w:rPr>
      </w:pPr>
    </w:p>
    <w:p w:rsidR="000F7C15" w:rsidRPr="00DC2134" w:rsidRDefault="00D920A0" w:rsidP="000F7C15">
      <w:pPr>
        <w:pStyle w:val="SCCNormalDoubleSpacing"/>
        <w:tabs>
          <w:tab w:val="left" w:pos="1170"/>
        </w:tabs>
        <w:rPr>
          <w:i/>
          <w:szCs w:val="24"/>
        </w:rPr>
      </w:pPr>
      <w:r w:rsidRPr="00DC2134">
        <w:rPr>
          <w:szCs w:val="24"/>
        </w:rPr>
        <w:tab/>
      </w:r>
      <w:r w:rsidR="00A41ABD" w:rsidRPr="00DC2134">
        <w:rPr>
          <w:i/>
          <w:szCs w:val="24"/>
        </w:rPr>
        <w:t>Criminal law — Evidence — Similar fact evidence —</w:t>
      </w:r>
      <w:r w:rsidR="000F7C15" w:rsidRPr="00DC2134">
        <w:rPr>
          <w:i/>
          <w:szCs w:val="24"/>
        </w:rPr>
        <w:t xml:space="preserve"> Admissibility of similar fact evidence relating to previous conviction of </w:t>
      </w:r>
      <w:r w:rsidR="00A41ABD" w:rsidRPr="00DC2134">
        <w:rPr>
          <w:i/>
          <w:szCs w:val="24"/>
        </w:rPr>
        <w:t>the accused for sexual assault —</w:t>
      </w:r>
      <w:r w:rsidR="000F7C15" w:rsidRPr="00DC2134">
        <w:rPr>
          <w:i/>
          <w:szCs w:val="24"/>
        </w:rPr>
        <w:t xml:space="preserve"> Trial judge did not err in admitting similar fact evidence.</w:t>
      </w:r>
    </w:p>
    <w:p w:rsidR="00D920A0" w:rsidRPr="00DC2134" w:rsidRDefault="00D920A0" w:rsidP="00D920A0">
      <w:pPr>
        <w:pStyle w:val="SCCNormalDoubleSpacing"/>
        <w:tabs>
          <w:tab w:val="left" w:pos="1170"/>
        </w:tabs>
        <w:rPr>
          <w:i/>
          <w:szCs w:val="24"/>
        </w:rPr>
      </w:pPr>
    </w:p>
    <w:p w:rsidR="00D920A0" w:rsidRPr="00DC2134" w:rsidRDefault="00D920A0" w:rsidP="00D920A0">
      <w:pPr>
        <w:pStyle w:val="SCCNormalDoubleSpacing"/>
        <w:tabs>
          <w:tab w:val="left" w:pos="1170"/>
        </w:tabs>
        <w:spacing w:after="480"/>
      </w:pPr>
      <w:r w:rsidRPr="00DC2134">
        <w:lastRenderedPageBreak/>
        <w:tab/>
        <w:t xml:space="preserve">APPEAL from a judgment of </w:t>
      </w:r>
      <w:r w:rsidR="00E8132D" w:rsidRPr="00DC2134">
        <w:t>the Newfoundland and Labrador Court of Appeal (Welsh, Rowe</w:t>
      </w:r>
      <w:r w:rsidRPr="00DC2134">
        <w:t xml:space="preserve"> and </w:t>
      </w:r>
      <w:proofErr w:type="spellStart"/>
      <w:r w:rsidR="00E8132D" w:rsidRPr="00DC2134">
        <w:t>Hoegg</w:t>
      </w:r>
      <w:proofErr w:type="spellEnd"/>
      <w:r w:rsidR="0007718D" w:rsidRPr="00DC2134">
        <w:t xml:space="preserve"> JJ.A.), 2011</w:t>
      </w:r>
      <w:r w:rsidR="000B1598" w:rsidRPr="00DC2134">
        <w:t xml:space="preserve"> NLCA 24</w:t>
      </w:r>
      <w:r w:rsidRPr="00DC2134">
        <w:t xml:space="preserve">, </w:t>
      </w:r>
      <w:r w:rsidR="000B1598" w:rsidRPr="00DC2134">
        <w:t>307 Nfld. &amp; P.E.I.R. 262</w:t>
      </w:r>
      <w:r w:rsidRPr="00DC2134">
        <w:t xml:space="preserve">, </w:t>
      </w:r>
      <w:r w:rsidR="00D71B8E" w:rsidRPr="00DC2134">
        <w:t xml:space="preserve">954 A.P.R. 262, </w:t>
      </w:r>
      <w:r w:rsidR="00DC6D42" w:rsidRPr="00DC2134">
        <w:t xml:space="preserve">271 C.C.C. (3d) 148, </w:t>
      </w:r>
      <w:r w:rsidR="000B1598" w:rsidRPr="00DC2134">
        <w:t>85 C.R. (6</w:t>
      </w:r>
      <w:r w:rsidR="00DC6D42" w:rsidRPr="00DC2134">
        <w:t>th)</w:t>
      </w:r>
      <w:r w:rsidR="000B1598" w:rsidRPr="00DC2134">
        <w:t xml:space="preserve"> 170, </w:t>
      </w:r>
      <w:r w:rsidR="00DC6D42" w:rsidRPr="00DC2134">
        <w:t>[2011</w:t>
      </w:r>
      <w:r w:rsidRPr="00DC2134">
        <w:t>]</w:t>
      </w:r>
      <w:r w:rsidR="00DC6D42" w:rsidRPr="00DC2134">
        <w:t xml:space="preserve"> N.J. No. 11</w:t>
      </w:r>
      <w:r w:rsidRPr="00DC2134">
        <w:t>8 (QL), 201</w:t>
      </w:r>
      <w:r w:rsidR="00DC6D42" w:rsidRPr="00DC2134">
        <w:t>1</w:t>
      </w:r>
      <w:r w:rsidRPr="00DC2134">
        <w:t xml:space="preserve"> </w:t>
      </w:r>
      <w:proofErr w:type="spellStart"/>
      <w:r w:rsidRPr="00DC2134">
        <w:t>CarswellN</w:t>
      </w:r>
      <w:r w:rsidR="0007718D" w:rsidRPr="00DC2134">
        <w:t>fld</w:t>
      </w:r>
      <w:proofErr w:type="spellEnd"/>
      <w:r w:rsidR="00DC6D42" w:rsidRPr="00DC2134">
        <w:t xml:space="preserve"> 115</w:t>
      </w:r>
      <w:r w:rsidRPr="00DC2134">
        <w:t xml:space="preserve">, </w:t>
      </w:r>
      <w:r w:rsidR="00DC6D42" w:rsidRPr="00DC2134">
        <w:t>setting aside conviction</w:t>
      </w:r>
      <w:r w:rsidR="00AA2ACB" w:rsidRPr="00DC2134">
        <w:t>s</w:t>
      </w:r>
      <w:r w:rsidR="00DC6D42" w:rsidRPr="00DC2134">
        <w:t xml:space="preserve"> entered by Adams J., </w:t>
      </w:r>
      <w:r w:rsidR="008C0875" w:rsidRPr="00DC2134">
        <w:t>2010 NLTD 12</w:t>
      </w:r>
      <w:r w:rsidRPr="00DC2134">
        <w:t xml:space="preserve">, </w:t>
      </w:r>
      <w:r w:rsidR="008C0875" w:rsidRPr="00DC2134">
        <w:t>294 Nfld. &amp; P.E.I.R. 308</w:t>
      </w:r>
      <w:r w:rsidRPr="00DC2134">
        <w:t xml:space="preserve">, </w:t>
      </w:r>
      <w:r w:rsidR="00D71B8E" w:rsidRPr="00DC2134">
        <w:t xml:space="preserve">908 A.P.R. 308, </w:t>
      </w:r>
      <w:r w:rsidRPr="00DC2134">
        <w:t>[2009]</w:t>
      </w:r>
      <w:r w:rsidR="008C0875" w:rsidRPr="00DC2134">
        <w:t xml:space="preserve"> N.J. No. 374</w:t>
      </w:r>
      <w:r w:rsidR="00D71B8E" w:rsidRPr="00DC2134">
        <w:t xml:space="preserve"> (QL), 2009 </w:t>
      </w:r>
      <w:proofErr w:type="spellStart"/>
      <w:r w:rsidR="00D71B8E" w:rsidRPr="00DC2134">
        <w:t>CarswellNfld</w:t>
      </w:r>
      <w:proofErr w:type="spellEnd"/>
      <w:r w:rsidR="00D71B8E" w:rsidRPr="00DC2134">
        <w:t xml:space="preserve"> 356</w:t>
      </w:r>
      <w:r w:rsidRPr="00DC2134">
        <w:t xml:space="preserve">. Appeal </w:t>
      </w:r>
      <w:r w:rsidR="00250871" w:rsidRPr="00DC2134">
        <w:t>allowed</w:t>
      </w:r>
      <w:r w:rsidRPr="00DC2134">
        <w:t>.</w:t>
      </w:r>
    </w:p>
    <w:p w:rsidR="00D920A0" w:rsidRPr="00DC2134" w:rsidRDefault="00D920A0" w:rsidP="00D920A0">
      <w:pPr>
        <w:pStyle w:val="SCCNormalDoubleSpacing"/>
        <w:tabs>
          <w:tab w:val="left" w:pos="1170"/>
        </w:tabs>
        <w:spacing w:after="480"/>
        <w:rPr>
          <w:rStyle w:val="SCCCounselPartyRoleChar"/>
        </w:rPr>
      </w:pPr>
      <w:r w:rsidRPr="00DC2134">
        <w:rPr>
          <w:rStyle w:val="SCCCounselNameChar"/>
        </w:rPr>
        <w:tab/>
      </w:r>
      <w:proofErr w:type="gramStart"/>
      <w:r w:rsidR="00833CB5" w:rsidRPr="00DC2134">
        <w:rPr>
          <w:rStyle w:val="SCCCounselNameChar"/>
        </w:rPr>
        <w:t>Stephen R. Dawson</w:t>
      </w:r>
      <w:r w:rsidRPr="00DC2134">
        <w:rPr>
          <w:rStyle w:val="SCCCounselPartyRoleChar"/>
        </w:rPr>
        <w:t>, for the appellant.</w:t>
      </w:r>
      <w:proofErr w:type="gramEnd"/>
    </w:p>
    <w:p w:rsidR="00D920A0" w:rsidRPr="00DC2134" w:rsidRDefault="00D920A0" w:rsidP="00D920A0">
      <w:pPr>
        <w:pStyle w:val="SCCNormalDoubleSpacing"/>
        <w:tabs>
          <w:tab w:val="left" w:pos="1170"/>
        </w:tabs>
        <w:spacing w:after="480"/>
        <w:rPr>
          <w:rStyle w:val="SCCCounselPartyRoleChar"/>
        </w:rPr>
      </w:pPr>
      <w:r w:rsidRPr="00DC2134">
        <w:rPr>
          <w:rStyle w:val="SCCCounselPartyRoleChar"/>
        </w:rPr>
        <w:tab/>
      </w:r>
      <w:proofErr w:type="gramStart"/>
      <w:r w:rsidR="00833CB5" w:rsidRPr="00DC2134">
        <w:rPr>
          <w:rStyle w:val="SCCCounselPartyRoleChar"/>
          <w:i/>
        </w:rPr>
        <w:t>Derek Hogan</w:t>
      </w:r>
      <w:r w:rsidRPr="00DC2134">
        <w:rPr>
          <w:rStyle w:val="SCCCounselPartyRoleChar"/>
        </w:rPr>
        <w:t>, for the respondent.</w:t>
      </w:r>
      <w:proofErr w:type="gramEnd"/>
    </w:p>
    <w:p w:rsidR="00D920A0" w:rsidRPr="00DC2134" w:rsidRDefault="00D920A0" w:rsidP="00840677">
      <w:pPr>
        <w:pStyle w:val="SCCNormalDoubleSpacing"/>
        <w:tabs>
          <w:tab w:val="left" w:pos="1170"/>
        </w:tabs>
        <w:spacing w:after="480"/>
        <w:rPr>
          <w:szCs w:val="24"/>
        </w:rPr>
      </w:pPr>
      <w:r w:rsidRPr="00DC2134">
        <w:rPr>
          <w:szCs w:val="24"/>
        </w:rPr>
        <w:tab/>
      </w:r>
      <w:r w:rsidR="00263E69" w:rsidRPr="00DC2134">
        <w:rPr>
          <w:szCs w:val="24"/>
        </w:rPr>
        <w:t xml:space="preserve">The judgment </w:t>
      </w:r>
      <w:r w:rsidR="00B63ACD" w:rsidRPr="00DC2134">
        <w:rPr>
          <w:szCs w:val="24"/>
        </w:rPr>
        <w:t xml:space="preserve">of the Court </w:t>
      </w:r>
      <w:r w:rsidR="00263E69" w:rsidRPr="00DC2134">
        <w:rPr>
          <w:szCs w:val="24"/>
        </w:rPr>
        <w:t>was delivered orally by</w:t>
      </w:r>
    </w:p>
    <w:p w:rsidR="00840677" w:rsidRPr="00DC2134" w:rsidRDefault="00840677" w:rsidP="00904A48">
      <w:pPr>
        <w:pStyle w:val="ParaNoNdepar-AltN"/>
        <w:tabs>
          <w:tab w:val="clear" w:pos="1512"/>
          <w:tab w:val="num" w:pos="1152"/>
        </w:tabs>
        <w:ind w:left="0"/>
      </w:pPr>
      <w:r w:rsidRPr="00DC2134">
        <w:rPr>
          <w:smallCaps/>
        </w:rPr>
        <w:t>Deschamps J.</w:t>
      </w:r>
      <w:r w:rsidR="005D5B7A" w:rsidRPr="00DC2134">
        <w:t xml:space="preserve"> </w:t>
      </w:r>
      <w:r w:rsidR="005D5B7A" w:rsidRPr="00DC2134">
        <w:rPr>
          <w:rFonts w:cs="Times New Roman"/>
        </w:rPr>
        <w:t>—</w:t>
      </w:r>
      <w:r w:rsidRPr="00DC2134">
        <w:t xml:space="preserve"> </w:t>
      </w:r>
      <w:proofErr w:type="gramStart"/>
      <w:r w:rsidRPr="00DC2134">
        <w:t>We</w:t>
      </w:r>
      <w:proofErr w:type="gramEnd"/>
      <w:r w:rsidRPr="00DC2134">
        <w:t xml:space="preserve"> agree with </w:t>
      </w:r>
      <w:proofErr w:type="spellStart"/>
      <w:r w:rsidRPr="00DC2134">
        <w:t>Hoegg</w:t>
      </w:r>
      <w:proofErr w:type="spellEnd"/>
      <w:r w:rsidRPr="00DC2134">
        <w:t xml:space="preserve"> J.A., dissenting at the Court of Appeal, that the trial judge committed no reviewable error. Therefore, the appeal is allowed.</w:t>
      </w:r>
    </w:p>
    <w:p w:rsidR="00D920A0" w:rsidRPr="00DC2134" w:rsidRDefault="00840677" w:rsidP="00904A48">
      <w:pPr>
        <w:pStyle w:val="ParaNoNdepar-AltN"/>
        <w:tabs>
          <w:tab w:val="clear" w:pos="1512"/>
          <w:tab w:val="num" w:pos="1152"/>
        </w:tabs>
        <w:ind w:left="0"/>
      </w:pPr>
      <w:r w:rsidRPr="00DC2134">
        <w:t>Having heard the parties, we also agree with</w:t>
      </w:r>
      <w:r w:rsidR="007B6010">
        <w:t xml:space="preserve"> the dissenting judge that c</w:t>
      </w:r>
      <w:r w:rsidRPr="00DC2134">
        <w:t>ount No. 1 should be stayed and tha</w:t>
      </w:r>
      <w:r w:rsidR="007B6010">
        <w:t>t the convictions on the other c</w:t>
      </w:r>
      <w:r w:rsidRPr="00DC2134">
        <w:t>ounts should be restored.</w:t>
      </w:r>
    </w:p>
    <w:p w:rsidR="00D920A0" w:rsidRPr="00DC2134" w:rsidRDefault="00D920A0" w:rsidP="00840677">
      <w:pPr>
        <w:pStyle w:val="SCCNormalDoubleSpacing"/>
        <w:tabs>
          <w:tab w:val="left" w:pos="1170"/>
        </w:tabs>
        <w:spacing w:after="480"/>
        <w:rPr>
          <w:rStyle w:val="SCCCounselPartyRoleChar"/>
          <w:i/>
        </w:rPr>
      </w:pPr>
      <w:r w:rsidRPr="00DC2134">
        <w:rPr>
          <w:i/>
        </w:rPr>
        <w:tab/>
      </w:r>
      <w:proofErr w:type="gramStart"/>
      <w:r w:rsidRPr="00DC2134">
        <w:rPr>
          <w:i/>
        </w:rPr>
        <w:t>Judgment accordingly.</w:t>
      </w:r>
      <w:proofErr w:type="gramEnd"/>
    </w:p>
    <w:p w:rsidR="00D920A0" w:rsidRPr="00DC2134" w:rsidRDefault="00D920A0" w:rsidP="00D920A0">
      <w:pPr>
        <w:pStyle w:val="SCCNormalDoubleSpacing"/>
        <w:tabs>
          <w:tab w:val="left" w:pos="1170"/>
        </w:tabs>
        <w:spacing w:after="480"/>
      </w:pPr>
      <w:r w:rsidRPr="00DC2134">
        <w:tab/>
      </w:r>
      <w:r w:rsidR="00CE329E" w:rsidRPr="00DC2134">
        <w:rPr>
          <w:i/>
        </w:rPr>
        <w:t>Solicitor</w:t>
      </w:r>
      <w:r w:rsidRPr="00DC2134">
        <w:rPr>
          <w:i/>
        </w:rPr>
        <w:t xml:space="preserve"> for the appellant:  </w:t>
      </w:r>
      <w:r w:rsidR="005E0EAA" w:rsidRPr="00DC2134">
        <w:rPr>
          <w:i/>
        </w:rPr>
        <w:t>Attorney General of Newfoundland and Labrador</w:t>
      </w:r>
      <w:r w:rsidRPr="00DC2134">
        <w:rPr>
          <w:i/>
        </w:rPr>
        <w:t xml:space="preserve">, </w:t>
      </w:r>
      <w:r w:rsidR="005E0EAA" w:rsidRPr="00DC2134">
        <w:rPr>
          <w:i/>
        </w:rPr>
        <w:t>St. </w:t>
      </w:r>
      <w:r w:rsidR="00CE329E" w:rsidRPr="00DC2134">
        <w:rPr>
          <w:i/>
        </w:rPr>
        <w:t>John’s</w:t>
      </w:r>
      <w:r w:rsidRPr="00DC2134">
        <w:rPr>
          <w:i/>
        </w:rPr>
        <w:t>.</w:t>
      </w:r>
    </w:p>
    <w:p w:rsidR="00E005E9" w:rsidRPr="00DC2134" w:rsidRDefault="00D920A0" w:rsidP="00D920A0">
      <w:pPr>
        <w:pStyle w:val="SCCNormalDoubleSpacing"/>
        <w:tabs>
          <w:tab w:val="left" w:pos="1170"/>
        </w:tabs>
        <w:spacing w:after="480"/>
        <w:rPr>
          <w:lang w:val="en-US"/>
        </w:rPr>
      </w:pPr>
      <w:r w:rsidRPr="00DC2134">
        <w:tab/>
      </w:r>
      <w:r w:rsidRPr="00DC2134">
        <w:rPr>
          <w:i/>
          <w:lang w:val="en-US"/>
        </w:rPr>
        <w:t xml:space="preserve">Solicitor for the </w:t>
      </w:r>
      <w:r w:rsidRPr="00DC2134">
        <w:rPr>
          <w:i/>
        </w:rPr>
        <w:t>respondent</w:t>
      </w:r>
      <w:r w:rsidRPr="00DC2134">
        <w:rPr>
          <w:i/>
          <w:lang w:val="en-US"/>
        </w:rPr>
        <w:t>:  </w:t>
      </w:r>
      <w:r w:rsidR="005E0EAA" w:rsidRPr="00DC2134">
        <w:rPr>
          <w:i/>
          <w:lang w:val="en-US"/>
        </w:rPr>
        <w:t>Newfoundland and Labrador Legal Aid Commission, St. John’s.</w:t>
      </w:r>
    </w:p>
    <w:sectPr w:rsidR="00E005E9" w:rsidRPr="00DC2134" w:rsidSect="00E32D0E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0E" w:rsidRDefault="00E32D0E" w:rsidP="00E32D0E">
      <w:r>
        <w:separator/>
      </w:r>
    </w:p>
  </w:endnote>
  <w:endnote w:type="continuationSeparator" w:id="0">
    <w:p w:rsidR="00E32D0E" w:rsidRDefault="00E32D0E" w:rsidP="00E32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0E" w:rsidRDefault="00E32D0E" w:rsidP="00E32D0E">
      <w:r>
        <w:separator/>
      </w:r>
    </w:p>
  </w:footnote>
  <w:footnote w:type="continuationSeparator" w:id="0">
    <w:p w:rsidR="00E32D0E" w:rsidRDefault="00E32D0E" w:rsidP="00E32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541"/>
      <w:docPartObj>
        <w:docPartGallery w:val="Page Numbers (Top of Page)"/>
        <w:docPartUnique/>
      </w:docPartObj>
    </w:sdtPr>
    <w:sdtContent>
      <w:p w:rsidR="00E32D0E" w:rsidRDefault="00E32D0E">
        <w:pPr>
          <w:pStyle w:val="Header"/>
          <w:jc w:val="center"/>
        </w:pPr>
        <w:r>
          <w:t xml:space="preserve">- </w:t>
        </w:r>
        <w:fldSimple w:instr=" PAGE   \* MERGEFORMAT ">
          <w:r w:rsidR="00D91F50">
            <w:rPr>
              <w:noProof/>
            </w:rPr>
            <w:t>2</w:t>
          </w:r>
        </w:fldSimple>
        <w:r>
          <w:t xml:space="preserve"> -</w:t>
        </w:r>
      </w:p>
    </w:sdtContent>
  </w:sdt>
  <w:p w:rsidR="00E32D0E" w:rsidRDefault="00E32D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EE8"/>
    <w:multiLevelType w:val="multilevel"/>
    <w:tmpl w:val="05C00208"/>
    <w:lvl w:ilvl="0">
      <w:start w:val="1"/>
      <w:numFmt w:val="decimal"/>
      <w:pStyle w:val="ParaNoNdepar-AltN"/>
      <w:lvlText w:val="[%1]"/>
      <w:lvlJc w:val="left"/>
      <w:pPr>
        <w:tabs>
          <w:tab w:val="num" w:pos="1512"/>
        </w:tabs>
        <w:ind w:left="360" w:firstLine="0"/>
      </w:pPr>
      <w:rPr>
        <w:rFonts w:ascii="Times New Roman" w:hAnsi="Times New Roman" w:hint="default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0A0"/>
    <w:rsid w:val="000315CA"/>
    <w:rsid w:val="00037473"/>
    <w:rsid w:val="0007718D"/>
    <w:rsid w:val="000B1598"/>
    <w:rsid w:val="000F7C15"/>
    <w:rsid w:val="00250871"/>
    <w:rsid w:val="00263E69"/>
    <w:rsid w:val="002A0198"/>
    <w:rsid w:val="003B32EA"/>
    <w:rsid w:val="004A536D"/>
    <w:rsid w:val="004F78C4"/>
    <w:rsid w:val="0052355E"/>
    <w:rsid w:val="005D5B7A"/>
    <w:rsid w:val="005E0EAA"/>
    <w:rsid w:val="005F4CC2"/>
    <w:rsid w:val="0064778E"/>
    <w:rsid w:val="0070745F"/>
    <w:rsid w:val="00795ACC"/>
    <w:rsid w:val="007B6010"/>
    <w:rsid w:val="007F3C12"/>
    <w:rsid w:val="00833CB5"/>
    <w:rsid w:val="00840677"/>
    <w:rsid w:val="008A660E"/>
    <w:rsid w:val="008C0875"/>
    <w:rsid w:val="008E6D14"/>
    <w:rsid w:val="00904A48"/>
    <w:rsid w:val="009C0578"/>
    <w:rsid w:val="00A41ABD"/>
    <w:rsid w:val="00A643D4"/>
    <w:rsid w:val="00AA2ACB"/>
    <w:rsid w:val="00AB7CA8"/>
    <w:rsid w:val="00AE0E14"/>
    <w:rsid w:val="00B63ACD"/>
    <w:rsid w:val="00B80CE4"/>
    <w:rsid w:val="00BB6635"/>
    <w:rsid w:val="00C078BF"/>
    <w:rsid w:val="00C242FE"/>
    <w:rsid w:val="00CE329E"/>
    <w:rsid w:val="00D71B8E"/>
    <w:rsid w:val="00D91F50"/>
    <w:rsid w:val="00D920A0"/>
    <w:rsid w:val="00DC2134"/>
    <w:rsid w:val="00DC6D42"/>
    <w:rsid w:val="00E005E9"/>
    <w:rsid w:val="00E32D0E"/>
    <w:rsid w:val="00E8132D"/>
    <w:rsid w:val="00F13A9B"/>
    <w:rsid w:val="00F2380F"/>
    <w:rsid w:val="00F8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A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81AF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81AFB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81AFB"/>
    <w:rPr>
      <w:i/>
      <w:iCs/>
      <w:color w:val="000000" w:themeColor="text1"/>
      <w:sz w:val="24"/>
      <w:lang w:val="en-US"/>
    </w:rPr>
  </w:style>
  <w:style w:type="character" w:customStyle="1" w:styleId="SCCNormalDoubleSpacingChar">
    <w:name w:val="SCC.Normal.DoubleSpacing Char"/>
    <w:basedOn w:val="DefaultParagraphFont"/>
    <w:link w:val="SCCNormalDoubleSpacing"/>
    <w:locked/>
    <w:rsid w:val="00D920A0"/>
    <w:rPr>
      <w:sz w:val="24"/>
    </w:rPr>
  </w:style>
  <w:style w:type="paragraph" w:customStyle="1" w:styleId="SCCNormalDoubleSpacing">
    <w:name w:val="SCC.Normal.DoubleSpacing"/>
    <w:basedOn w:val="Normal"/>
    <w:link w:val="SCCNormalDoubleSpacingChar"/>
    <w:rsid w:val="00D920A0"/>
    <w:pPr>
      <w:spacing w:line="480" w:lineRule="auto"/>
      <w:jc w:val="both"/>
    </w:pPr>
  </w:style>
  <w:style w:type="character" w:customStyle="1" w:styleId="SCCLsocPartyChar">
    <w:name w:val="SCC.Lsoc.Party Char"/>
    <w:basedOn w:val="DefaultParagraphFont"/>
    <w:link w:val="SCCLsocParty"/>
    <w:locked/>
    <w:rsid w:val="00D920A0"/>
    <w:rPr>
      <w:b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D920A0"/>
    <w:pPr>
      <w:jc w:val="both"/>
    </w:pPr>
    <w:rPr>
      <w:b/>
    </w:rPr>
  </w:style>
  <w:style w:type="character" w:customStyle="1" w:styleId="SCCLsocVersusChar">
    <w:name w:val="SCC.Lsoc.Versus Char"/>
    <w:basedOn w:val="DefaultParagraphFont"/>
    <w:link w:val="SCCLsocVersus"/>
    <w:locked/>
    <w:rsid w:val="00D920A0"/>
    <w:rPr>
      <w:i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D920A0"/>
    <w:rPr>
      <w:i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locked/>
    <w:rsid w:val="00D920A0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D920A0"/>
    <w:rPr>
      <w:smallCaps/>
    </w:rPr>
  </w:style>
  <w:style w:type="character" w:customStyle="1" w:styleId="SCCSystemYearChar">
    <w:name w:val="SCC.SystemYear Char"/>
    <w:basedOn w:val="DefaultParagraphFont"/>
    <w:link w:val="SCCSystemYear"/>
    <w:locked/>
    <w:rsid w:val="00D920A0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D920A0"/>
    <w:rPr>
      <w:b/>
    </w:rPr>
  </w:style>
  <w:style w:type="character" w:customStyle="1" w:styleId="SCCCounselNameChar">
    <w:name w:val="SCC.CounselName Char"/>
    <w:basedOn w:val="SCCNormalDoubleSpacingChar"/>
    <w:link w:val="SCCCounselName"/>
    <w:locked/>
    <w:rsid w:val="00D920A0"/>
    <w:rPr>
      <w:i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D920A0"/>
    <w:rPr>
      <w:i/>
    </w:rPr>
  </w:style>
  <w:style w:type="character" w:customStyle="1" w:styleId="SCCCounselPartyRoleChar">
    <w:name w:val="SCC.CounselPartyRole Char"/>
    <w:basedOn w:val="SCCNormalDoubleSpacingChar"/>
    <w:link w:val="SCCCounselPartyRole"/>
    <w:locked/>
    <w:rsid w:val="00D920A0"/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920A0"/>
  </w:style>
  <w:style w:type="paragraph" w:customStyle="1" w:styleId="SCCLsocPrefix">
    <w:name w:val="SCC.Lsoc.Prefix"/>
    <w:basedOn w:val="Normal"/>
    <w:next w:val="Normal"/>
    <w:link w:val="SCCLsocPrefixChar"/>
    <w:rsid w:val="00840677"/>
    <w:rPr>
      <w:rFonts w:eastAsiaTheme="minorHAnsi" w:cstheme="minorBidi"/>
      <w:b/>
      <w:szCs w:val="22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840677"/>
    <w:rPr>
      <w:rFonts w:eastAsiaTheme="minorHAnsi" w:cstheme="minorBidi"/>
      <w:b/>
      <w:sz w:val="24"/>
      <w:szCs w:val="22"/>
      <w:lang w:eastAsia="en-US"/>
    </w:rPr>
  </w:style>
  <w:style w:type="paragraph" w:customStyle="1" w:styleId="ParaNoNdepar-AltN">
    <w:name w:val="Para. No. / Nº de par. - Alt N"/>
    <w:qFormat/>
    <w:rsid w:val="00904A48"/>
    <w:pPr>
      <w:numPr>
        <w:numId w:val="1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2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D0E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32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D0E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A41A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1F50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CLsocPartyRole">
    <w:name w:val="SCC.Lsoc.PartyRole"/>
    <w:basedOn w:val="Normal"/>
    <w:next w:val="Normal"/>
    <w:link w:val="SCCLsocPartyRoleChar"/>
    <w:rsid w:val="00D91F50"/>
    <w:pPr>
      <w:jc w:val="center"/>
    </w:pPr>
    <w:rPr>
      <w:rFonts w:eastAsiaTheme="minorHAnsi" w:cstheme="minorBidi"/>
      <w:szCs w:val="24"/>
      <w:lang w:eastAsia="en-US"/>
    </w:rPr>
  </w:style>
  <w:style w:type="character" w:customStyle="1" w:styleId="SCCLsocPartyRoleChar">
    <w:name w:val="SCC.Lsoc.PartyRole Char"/>
    <w:basedOn w:val="DefaultParagraphFont"/>
    <w:link w:val="SCCLsocPartyRole"/>
    <w:rsid w:val="00D91F50"/>
    <w:rPr>
      <w:rFonts w:eastAsiaTheme="minorHAnsi" w:cstheme="minorBidi"/>
      <w:sz w:val="24"/>
      <w:szCs w:val="24"/>
      <w:lang w:eastAsia="en-US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D91F50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D91F5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2012-04-13T14:08:00Z</dcterms:created>
  <dcterms:modified xsi:type="dcterms:W3CDTF">2012-09-10T19:45:00Z</dcterms:modified>
</cp:coreProperties>
</file>