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62" w:rsidRDefault="00096262" w:rsidP="0009626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2546923" r:id="rId9"/>
        </w:object>
      </w:r>
      <w:r>
        <w:t xml:space="preserve"> </w:t>
      </w:r>
      <w:r>
        <w:ptab w:relativeTo="margin" w:alignment="right" w:leader="none"/>
      </w:r>
    </w:p>
    <w:p w:rsidR="00096262" w:rsidRDefault="00096262" w:rsidP="00096262">
      <w:pPr>
        <w:pStyle w:val="Header"/>
      </w:pPr>
    </w:p>
    <w:p w:rsidR="00096262" w:rsidRPr="006B210C" w:rsidRDefault="00096262" w:rsidP="00096262">
      <w:pPr>
        <w:jc w:val="center"/>
        <w:rPr>
          <w:b/>
        </w:rPr>
      </w:pPr>
      <w:r w:rsidRPr="006B210C">
        <w:rPr>
          <w:b/>
        </w:rPr>
        <w:t>SUPREME COURT OF CANADA</w:t>
      </w:r>
    </w:p>
    <w:p w:rsidR="00096262" w:rsidRDefault="00096262" w:rsidP="00096262">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96262" w:rsidRPr="006B210C" w:rsidTr="009F785C">
        <w:trPr>
          <w:cantSplit/>
        </w:trPr>
        <w:tc>
          <w:tcPr>
            <w:tcW w:w="6768" w:type="dxa"/>
          </w:tcPr>
          <w:p w:rsidR="00096262" w:rsidRDefault="00096262" w:rsidP="009F785C">
            <w:pPr>
              <w:rPr>
                <w:lang w:val="en-US"/>
              </w:rPr>
            </w:pPr>
            <w:r w:rsidRPr="00EF74CF">
              <w:rPr>
                <w:b/>
                <w:smallCaps/>
                <w:lang w:val="en-US"/>
              </w:rPr>
              <w:t xml:space="preserve">Citation </w:t>
            </w:r>
            <w:r w:rsidRPr="00EF74CF">
              <w:rPr>
                <w:lang w:val="en-US"/>
              </w:rPr>
              <w:t xml:space="preserve">: Public Service Alliance of Canada </w:t>
            </w:r>
            <w:r w:rsidRPr="00EF74CF">
              <w:rPr>
                <w:i/>
                <w:lang w:val="en-US"/>
              </w:rPr>
              <w:t>v.</w:t>
            </w:r>
            <w:r w:rsidRPr="00EF74CF">
              <w:rPr>
                <w:lang w:val="en-US"/>
              </w:rPr>
              <w:t xml:space="preserve"> Canada Post Corp.</w:t>
            </w:r>
            <w:r w:rsidRPr="00EF74CF">
              <w:rPr>
                <w:rStyle w:val="SCCRespondentForIndexChar"/>
                <w:rFonts w:eastAsiaTheme="minorHAnsi"/>
                <w:lang w:val="en-US"/>
              </w:rPr>
              <w:t xml:space="preserve">, </w:t>
            </w:r>
            <w:r w:rsidRPr="00096262">
              <w:rPr>
                <w:rStyle w:val="SCCRespondentForIndexChar"/>
                <w:rFonts w:eastAsiaTheme="minorHAnsi"/>
                <w:b w:val="0"/>
                <w:lang w:val="en-US"/>
              </w:rPr>
              <w:t>2011 SCC 57, [2011] 3 S.C.R. 572</w:t>
            </w:r>
          </w:p>
          <w:p w:rsidR="00096262" w:rsidRPr="000B5729" w:rsidRDefault="00096262" w:rsidP="009F785C">
            <w:pPr>
              <w:tabs>
                <w:tab w:val="left" w:pos="2052"/>
              </w:tabs>
              <w:rPr>
                <w:lang w:val="en-US"/>
              </w:rPr>
            </w:pPr>
            <w:r>
              <w:rPr>
                <w:lang w:val="en-US"/>
              </w:rPr>
              <w:tab/>
            </w:r>
          </w:p>
        </w:tc>
        <w:tc>
          <w:tcPr>
            <w:tcW w:w="2808" w:type="dxa"/>
          </w:tcPr>
          <w:p w:rsidR="00096262" w:rsidRPr="006B210C" w:rsidRDefault="00096262" w:rsidP="009F785C">
            <w:r w:rsidRPr="006B210C">
              <w:rPr>
                <w:b/>
                <w:smallCaps/>
              </w:rPr>
              <w:t xml:space="preserve">Date </w:t>
            </w:r>
            <w:r w:rsidRPr="006B210C">
              <w:t xml:space="preserve">: </w:t>
            </w:r>
            <w:r>
              <w:t>20111117</w:t>
            </w:r>
          </w:p>
          <w:p w:rsidR="00096262" w:rsidRPr="006B210C" w:rsidRDefault="00096262" w:rsidP="009F785C">
            <w:r w:rsidRPr="006B210C">
              <w:rPr>
                <w:b/>
                <w:smallCaps/>
              </w:rPr>
              <w:t xml:space="preserve">Docket </w:t>
            </w:r>
            <w:r w:rsidRPr="006B210C">
              <w:t xml:space="preserve">: </w:t>
            </w:r>
            <w:r>
              <w:t>33668, 33669, 33670</w:t>
            </w:r>
          </w:p>
        </w:tc>
      </w:tr>
    </w:tbl>
    <w:p w:rsidR="00096262" w:rsidRPr="006B210C" w:rsidRDefault="00096262" w:rsidP="00096262"/>
    <w:p w:rsidR="00096262" w:rsidRDefault="00096262" w:rsidP="00096262">
      <w:pPr>
        <w:pStyle w:val="SCCLsocPrefix"/>
      </w:pPr>
      <w:r>
        <w:t>Between:</w:t>
      </w:r>
    </w:p>
    <w:p w:rsidR="00096262" w:rsidRDefault="00096262" w:rsidP="00096262">
      <w:pPr>
        <w:pStyle w:val="SCCLsocParty"/>
        <w:jc w:val="center"/>
      </w:pPr>
      <w:r>
        <w:t>Public Service Alliance of Canada</w:t>
      </w:r>
    </w:p>
    <w:p w:rsidR="00096262" w:rsidRDefault="00096262" w:rsidP="00096262">
      <w:pPr>
        <w:pStyle w:val="SCCLsocPartyRole"/>
      </w:pPr>
      <w:r>
        <w:t>Appellant</w:t>
      </w:r>
    </w:p>
    <w:p w:rsidR="00096262" w:rsidRDefault="00096262" w:rsidP="00096262">
      <w:pPr>
        <w:pStyle w:val="SCCLsocVersus"/>
        <w:jc w:val="center"/>
      </w:pPr>
      <w:proofErr w:type="gramStart"/>
      <w:r>
        <w:t>and</w:t>
      </w:r>
      <w:proofErr w:type="gramEnd"/>
    </w:p>
    <w:p w:rsidR="00096262" w:rsidRDefault="00096262" w:rsidP="00096262">
      <w:pPr>
        <w:pStyle w:val="SCCLsocParty"/>
        <w:jc w:val="center"/>
      </w:pPr>
      <w:r>
        <w:t>Canada Post Corporation and Canadian Human Rights Commission</w:t>
      </w:r>
    </w:p>
    <w:p w:rsidR="00096262" w:rsidRDefault="00096262" w:rsidP="00096262">
      <w:pPr>
        <w:pStyle w:val="SCCLsocPartyRole"/>
      </w:pPr>
      <w:r>
        <w:t>Respondent</w:t>
      </w:r>
    </w:p>
    <w:p w:rsidR="00096262" w:rsidRPr="00EF74CF" w:rsidRDefault="00096262" w:rsidP="00096262"/>
    <w:p w:rsidR="00096262" w:rsidRDefault="00096262" w:rsidP="00096262">
      <w:pPr>
        <w:pStyle w:val="SCCLsocPrefix"/>
      </w:pPr>
      <w:r>
        <w:t>And Between:</w:t>
      </w:r>
    </w:p>
    <w:p w:rsidR="00096262" w:rsidRDefault="00096262" w:rsidP="00096262">
      <w:pPr>
        <w:pStyle w:val="SCCLsocParty"/>
        <w:jc w:val="center"/>
      </w:pPr>
      <w:r>
        <w:t>Public Service Alliance of Canada</w:t>
      </w:r>
    </w:p>
    <w:p w:rsidR="00096262" w:rsidRDefault="00096262" w:rsidP="00096262">
      <w:pPr>
        <w:pStyle w:val="SCCLsocPartyRole"/>
      </w:pPr>
      <w:r>
        <w:t>Appellant</w:t>
      </w:r>
    </w:p>
    <w:p w:rsidR="00096262" w:rsidRDefault="00096262" w:rsidP="00096262">
      <w:pPr>
        <w:pStyle w:val="SCCLsocVersus"/>
        <w:jc w:val="center"/>
      </w:pPr>
      <w:proofErr w:type="gramStart"/>
      <w:r>
        <w:t>and</w:t>
      </w:r>
      <w:proofErr w:type="gramEnd"/>
    </w:p>
    <w:p w:rsidR="00096262" w:rsidRDefault="00096262" w:rsidP="00096262">
      <w:pPr>
        <w:pStyle w:val="SCCLsocParty"/>
        <w:jc w:val="center"/>
      </w:pPr>
      <w:r>
        <w:t>Canada Post Corporation and Canadian Human Rights Commission</w:t>
      </w:r>
    </w:p>
    <w:p w:rsidR="00096262" w:rsidRDefault="00096262" w:rsidP="00096262">
      <w:pPr>
        <w:pStyle w:val="SCCLsocPartyRole"/>
      </w:pPr>
      <w:r>
        <w:t>Respondent</w:t>
      </w:r>
    </w:p>
    <w:p w:rsidR="00096262" w:rsidRDefault="00096262" w:rsidP="00096262"/>
    <w:p w:rsidR="00096262" w:rsidRDefault="00096262" w:rsidP="00096262">
      <w:pPr>
        <w:pStyle w:val="SCCLsocPrefix"/>
      </w:pPr>
      <w:r>
        <w:t>And Between:</w:t>
      </w:r>
    </w:p>
    <w:p w:rsidR="00096262" w:rsidRDefault="00096262" w:rsidP="00096262">
      <w:pPr>
        <w:pStyle w:val="SCCLsocParty"/>
        <w:jc w:val="center"/>
      </w:pPr>
      <w:r>
        <w:t>Canadian Human Rights Commission</w:t>
      </w:r>
    </w:p>
    <w:p w:rsidR="00096262" w:rsidRDefault="00096262" w:rsidP="00096262">
      <w:pPr>
        <w:pStyle w:val="SCCLsocPartyRole"/>
      </w:pPr>
      <w:r>
        <w:t>Appellant</w:t>
      </w:r>
    </w:p>
    <w:p w:rsidR="00096262" w:rsidRDefault="00096262" w:rsidP="00096262">
      <w:pPr>
        <w:pStyle w:val="SCCLsocVersus"/>
        <w:jc w:val="center"/>
      </w:pPr>
      <w:proofErr w:type="gramStart"/>
      <w:r>
        <w:t>and</w:t>
      </w:r>
      <w:proofErr w:type="gramEnd"/>
    </w:p>
    <w:p w:rsidR="00096262" w:rsidRDefault="00096262" w:rsidP="00096262">
      <w:pPr>
        <w:pStyle w:val="SCCLsocParty"/>
        <w:jc w:val="center"/>
      </w:pPr>
      <w:r>
        <w:t>Canada Post Corporation and Public Service Alliance of Canada</w:t>
      </w:r>
    </w:p>
    <w:p w:rsidR="00096262" w:rsidRDefault="00096262" w:rsidP="00096262">
      <w:pPr>
        <w:pStyle w:val="SCCLsocPartyRole"/>
      </w:pPr>
      <w:r>
        <w:t>Respondent</w:t>
      </w:r>
    </w:p>
    <w:p w:rsidR="00096262" w:rsidRDefault="00096262" w:rsidP="00096262"/>
    <w:p w:rsidR="00096262" w:rsidRPr="006B210C" w:rsidRDefault="00096262" w:rsidP="00096262">
      <w:proofErr w:type="gramStart"/>
      <w:r w:rsidRPr="006B210C">
        <w:rPr>
          <w:b/>
          <w:smallCaps/>
        </w:rPr>
        <w:t xml:space="preserve">Coram </w:t>
      </w:r>
      <w:r w:rsidRPr="0030615B">
        <w:rPr>
          <w:b/>
        </w:rPr>
        <w:t>:</w:t>
      </w:r>
      <w:proofErr w:type="gramEnd"/>
      <w:r>
        <w:t xml:space="preserve"> </w:t>
      </w:r>
      <w:proofErr w:type="spellStart"/>
      <w:r>
        <w:t>McLachlin</w:t>
      </w:r>
      <w:proofErr w:type="spellEnd"/>
      <w:r>
        <w:t xml:space="preserve"> C.J. and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096262" w:rsidRPr="006B210C" w:rsidRDefault="00096262" w:rsidP="000962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96262" w:rsidRPr="006B210C" w:rsidTr="009F785C">
        <w:trPr>
          <w:cantSplit/>
        </w:trPr>
        <w:tc>
          <w:tcPr>
            <w:tcW w:w="3618" w:type="dxa"/>
          </w:tcPr>
          <w:p w:rsidR="00096262" w:rsidRDefault="00096262" w:rsidP="009F785C">
            <w:r w:rsidRPr="006B210C">
              <w:rPr>
                <w:b/>
                <w:smallCaps/>
              </w:rPr>
              <w:t>Reasons for Judgment</w:t>
            </w:r>
            <w:r w:rsidRPr="006B210C">
              <w:t xml:space="preserve"> :</w:t>
            </w:r>
          </w:p>
          <w:p w:rsidR="00096262" w:rsidRDefault="00096262" w:rsidP="009F785C">
            <w:r>
              <w:t>(</w:t>
            </w:r>
            <w:proofErr w:type="spellStart"/>
            <w:r>
              <w:t>paras</w:t>
            </w:r>
            <w:proofErr w:type="spellEnd"/>
            <w:r>
              <w:t>. 1 to 2)</w:t>
            </w:r>
          </w:p>
          <w:p w:rsidR="00096262" w:rsidRPr="00391779" w:rsidRDefault="00096262" w:rsidP="009F785C"/>
        </w:tc>
        <w:tc>
          <w:tcPr>
            <w:tcW w:w="5958" w:type="dxa"/>
          </w:tcPr>
          <w:p w:rsidR="00096262" w:rsidRDefault="00096262" w:rsidP="009F785C">
            <w:proofErr w:type="spellStart"/>
            <w:r>
              <w:t>McLachlin</w:t>
            </w:r>
            <w:proofErr w:type="spellEnd"/>
            <w:r>
              <w:t xml:space="preserve"> C.J.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 concurring)</w:t>
            </w:r>
          </w:p>
          <w:p w:rsidR="00096262" w:rsidRPr="006B210C" w:rsidRDefault="00096262" w:rsidP="009F785C"/>
        </w:tc>
      </w:tr>
    </w:tbl>
    <w:p w:rsidR="00096262" w:rsidRPr="006B210C" w:rsidRDefault="00096262" w:rsidP="00096262">
      <w:r w:rsidRPr="00D44E14">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096262" w:rsidRDefault="00096262">
      <w:pPr>
        <w:spacing w:after="200" w:line="276" w:lineRule="auto"/>
        <w:rPr>
          <w:lang w:val="en-US"/>
        </w:rPr>
      </w:pPr>
      <w:r>
        <w:rPr>
          <w:lang w:val="en-US"/>
        </w:rPr>
        <w:br w:type="page"/>
      </w:r>
    </w:p>
    <w:p w:rsidR="00B1425F" w:rsidRPr="00F11FE0" w:rsidRDefault="002D03F8" w:rsidP="009A3D8E">
      <w:pPr>
        <w:spacing w:after="480"/>
        <w:jc w:val="both"/>
        <w:rPr>
          <w:smallCaps/>
          <w:lang w:val="en-US"/>
        </w:rPr>
      </w:pPr>
      <w:r w:rsidRPr="002D03F8">
        <w:rPr>
          <w:lang w:val="en-US"/>
        </w:rPr>
        <w:lastRenderedPageBreak/>
        <w:t>Public Service Alliance of Canada</w:t>
      </w:r>
      <w:r w:rsidRPr="002D03F8">
        <w:rPr>
          <w:i/>
        </w:rPr>
        <w:t xml:space="preserve"> v</w:t>
      </w:r>
      <w:r w:rsidRPr="002D03F8">
        <w:t>. Canada Post Corp.</w:t>
      </w:r>
      <w:r w:rsidRPr="002D03F8">
        <w:rPr>
          <w:smallCaps/>
          <w:lang w:val="en-US"/>
        </w:rPr>
        <w:t>,</w:t>
      </w:r>
      <w:r>
        <w:rPr>
          <w:smallCaps/>
          <w:lang w:val="en-US"/>
        </w:rPr>
        <w:t xml:space="preserve"> </w:t>
      </w:r>
      <w:r>
        <w:t>2011 SCC 57, [2011] 3 S.C.R. 572</w:t>
      </w:r>
    </w:p>
    <w:p w:rsidR="00B1425F" w:rsidRPr="00F11FE0" w:rsidRDefault="00E01E7B" w:rsidP="00A10447">
      <w:pPr>
        <w:pStyle w:val="SCCLsocParty"/>
        <w:tabs>
          <w:tab w:val="right" w:pos="8280"/>
        </w:tabs>
        <w:spacing w:after="480" w:line="480" w:lineRule="auto"/>
        <w:rPr>
          <w:lang w:val="en-US"/>
        </w:rPr>
      </w:pPr>
      <w:r w:rsidRPr="00F11FE0">
        <w:rPr>
          <w:lang w:val="en-US"/>
        </w:rPr>
        <w:t>Public Service Alliance of Canada</w:t>
      </w:r>
      <w:r w:rsidR="00B1425F" w:rsidRPr="00F11FE0">
        <w:rPr>
          <w:lang w:val="en-US"/>
        </w:rPr>
        <w:tab/>
      </w:r>
      <w:r w:rsidR="00B1425F" w:rsidRPr="00F11FE0">
        <w:rPr>
          <w:b w:val="0"/>
          <w:i/>
        </w:rPr>
        <w:t>Appellant</w:t>
      </w:r>
    </w:p>
    <w:p w:rsidR="00B1425F" w:rsidRPr="00F11FE0" w:rsidRDefault="00B1425F" w:rsidP="000A51D8">
      <w:pPr>
        <w:pStyle w:val="SCCLsocVersus"/>
        <w:spacing w:after="480" w:line="480" w:lineRule="auto"/>
      </w:pPr>
      <w:proofErr w:type="gramStart"/>
      <w:r w:rsidRPr="00F11FE0">
        <w:t>v</w:t>
      </w:r>
      <w:proofErr w:type="gramEnd"/>
      <w:r w:rsidRPr="00F11FE0">
        <w:t>.</w:t>
      </w:r>
      <w:r w:rsidR="00A10447" w:rsidRPr="00F11FE0">
        <w:rPr>
          <w:i w:val="0"/>
        </w:rPr>
        <w:t xml:space="preserve"> </w:t>
      </w:r>
    </w:p>
    <w:p w:rsidR="000A51D8" w:rsidRDefault="00E01E7B" w:rsidP="000A51D8">
      <w:pPr>
        <w:pStyle w:val="SCCLsocParty"/>
        <w:tabs>
          <w:tab w:val="right" w:pos="8280"/>
        </w:tabs>
        <w:spacing w:after="240"/>
        <w:contextualSpacing/>
      </w:pPr>
      <w:r w:rsidRPr="00F11FE0">
        <w:t xml:space="preserve">Canada Post Corporation and </w:t>
      </w:r>
    </w:p>
    <w:p w:rsidR="00B1425F" w:rsidRPr="00F11FE0" w:rsidRDefault="00E01E7B" w:rsidP="000A51D8">
      <w:pPr>
        <w:pStyle w:val="SCCLsocParty"/>
        <w:tabs>
          <w:tab w:val="right" w:pos="8280"/>
        </w:tabs>
        <w:spacing w:after="720"/>
      </w:pPr>
      <w:r w:rsidRPr="00F11FE0">
        <w:t>Canadian Human Rights Commission</w:t>
      </w:r>
      <w:r w:rsidR="00B1425F" w:rsidRPr="00F11FE0">
        <w:rPr>
          <w:i/>
        </w:rPr>
        <w:tab/>
      </w:r>
      <w:r w:rsidR="00B1425F" w:rsidRPr="00F11FE0">
        <w:rPr>
          <w:b w:val="0"/>
          <w:i/>
        </w:rPr>
        <w:t>Respondent</w:t>
      </w:r>
      <w:r w:rsidRPr="00F11FE0">
        <w:rPr>
          <w:b w:val="0"/>
          <w:i/>
        </w:rPr>
        <w:t>s</w:t>
      </w:r>
    </w:p>
    <w:p w:rsidR="00AD1C51" w:rsidRPr="00F11FE0" w:rsidRDefault="0039184C" w:rsidP="00A10447">
      <w:pPr>
        <w:spacing w:after="480" w:line="480" w:lineRule="auto"/>
        <w:jc w:val="both"/>
      </w:pPr>
      <w:r w:rsidRPr="00F11FE0">
        <w:t xml:space="preserve">- </w:t>
      </w:r>
      <w:proofErr w:type="gramStart"/>
      <w:r w:rsidR="00AD1C51" w:rsidRPr="00F11FE0">
        <w:t>and</w:t>
      </w:r>
      <w:proofErr w:type="gramEnd"/>
      <w:r w:rsidRPr="00F11FE0">
        <w:t xml:space="preserve"> -</w:t>
      </w:r>
    </w:p>
    <w:p w:rsidR="00E41DA5" w:rsidRPr="00F11FE0" w:rsidRDefault="00E41DA5" w:rsidP="00A10447">
      <w:pPr>
        <w:pStyle w:val="SCCLsocParty"/>
        <w:tabs>
          <w:tab w:val="right" w:pos="8280"/>
        </w:tabs>
        <w:spacing w:after="480" w:line="480" w:lineRule="auto"/>
        <w:rPr>
          <w:lang w:val="en-US"/>
        </w:rPr>
      </w:pPr>
      <w:r w:rsidRPr="00F11FE0">
        <w:rPr>
          <w:lang w:val="en-US"/>
        </w:rPr>
        <w:t>Public Service Alliance of Canada</w:t>
      </w:r>
      <w:r w:rsidRPr="00F11FE0">
        <w:rPr>
          <w:lang w:val="en-US"/>
        </w:rPr>
        <w:tab/>
      </w:r>
      <w:r w:rsidRPr="00F11FE0">
        <w:rPr>
          <w:b w:val="0"/>
          <w:i/>
        </w:rPr>
        <w:t>Appellant</w:t>
      </w:r>
    </w:p>
    <w:p w:rsidR="00E41DA5" w:rsidRPr="00F11FE0" w:rsidRDefault="00E41DA5" w:rsidP="00A10447">
      <w:pPr>
        <w:pStyle w:val="SCCLsocVersus"/>
        <w:spacing w:after="480" w:line="480" w:lineRule="auto"/>
      </w:pPr>
      <w:proofErr w:type="gramStart"/>
      <w:r w:rsidRPr="00F11FE0">
        <w:t>v</w:t>
      </w:r>
      <w:proofErr w:type="gramEnd"/>
      <w:r w:rsidRPr="00F11FE0">
        <w:t>.</w:t>
      </w:r>
    </w:p>
    <w:p w:rsidR="00E41DA5" w:rsidRPr="00F11FE0" w:rsidRDefault="00E41DA5" w:rsidP="00A10447">
      <w:pPr>
        <w:pStyle w:val="SCCLsocParty"/>
        <w:tabs>
          <w:tab w:val="right" w:pos="8280"/>
        </w:tabs>
      </w:pPr>
      <w:r w:rsidRPr="00F11FE0">
        <w:t xml:space="preserve">Canada Post Corporation and </w:t>
      </w:r>
    </w:p>
    <w:p w:rsidR="00E41DA5" w:rsidRPr="00F11FE0" w:rsidRDefault="00E41DA5" w:rsidP="00A10447">
      <w:pPr>
        <w:pStyle w:val="SCCLsocParty"/>
        <w:tabs>
          <w:tab w:val="right" w:pos="8280"/>
        </w:tabs>
        <w:spacing w:after="720"/>
      </w:pPr>
      <w:r w:rsidRPr="00F11FE0">
        <w:t>Canadian Human Rights Commission</w:t>
      </w:r>
      <w:r w:rsidRPr="00F11FE0">
        <w:rPr>
          <w:i/>
        </w:rPr>
        <w:tab/>
      </w:r>
      <w:r w:rsidRPr="00F11FE0">
        <w:rPr>
          <w:b w:val="0"/>
          <w:i/>
        </w:rPr>
        <w:t>Respondents</w:t>
      </w:r>
    </w:p>
    <w:p w:rsidR="00E41DA5" w:rsidRPr="00F11FE0" w:rsidRDefault="00E41DA5" w:rsidP="00A10447">
      <w:pPr>
        <w:spacing w:after="480" w:line="480" w:lineRule="auto"/>
        <w:jc w:val="both"/>
      </w:pPr>
      <w:r w:rsidRPr="00F11FE0">
        <w:t xml:space="preserve">- </w:t>
      </w:r>
      <w:proofErr w:type="gramStart"/>
      <w:r w:rsidRPr="00F11FE0">
        <w:t>and</w:t>
      </w:r>
      <w:proofErr w:type="gramEnd"/>
      <w:r w:rsidRPr="00F11FE0">
        <w:t xml:space="preserve"> -</w:t>
      </w:r>
    </w:p>
    <w:p w:rsidR="00AD1C51" w:rsidRPr="00F11FE0" w:rsidRDefault="00AD1C51" w:rsidP="00A10447">
      <w:pPr>
        <w:pStyle w:val="SCCLsocParty"/>
        <w:tabs>
          <w:tab w:val="right" w:pos="8280"/>
        </w:tabs>
        <w:spacing w:after="480" w:line="480" w:lineRule="auto"/>
        <w:rPr>
          <w:lang w:val="en-US"/>
        </w:rPr>
      </w:pPr>
      <w:r w:rsidRPr="00F11FE0">
        <w:t>Canadian Human Rights Commission</w:t>
      </w:r>
      <w:r w:rsidRPr="00F11FE0">
        <w:rPr>
          <w:lang w:val="en-US"/>
        </w:rPr>
        <w:tab/>
      </w:r>
      <w:r w:rsidRPr="00F11FE0">
        <w:rPr>
          <w:b w:val="0"/>
          <w:i/>
        </w:rPr>
        <w:t>Appellant</w:t>
      </w:r>
    </w:p>
    <w:p w:rsidR="00AD1C51" w:rsidRPr="00F11FE0" w:rsidRDefault="00AD1C51" w:rsidP="00A10447">
      <w:pPr>
        <w:pStyle w:val="SCCLsocVersus"/>
        <w:spacing w:after="480" w:line="480" w:lineRule="auto"/>
      </w:pPr>
      <w:proofErr w:type="gramStart"/>
      <w:r w:rsidRPr="00F11FE0">
        <w:t>v</w:t>
      </w:r>
      <w:proofErr w:type="gramEnd"/>
      <w:r w:rsidRPr="00F11FE0">
        <w:t>.</w:t>
      </w:r>
    </w:p>
    <w:p w:rsidR="00AD1C51" w:rsidRPr="00F11FE0" w:rsidRDefault="00AD1C51" w:rsidP="000A51D8">
      <w:pPr>
        <w:pStyle w:val="SCCLsocParty"/>
        <w:tabs>
          <w:tab w:val="right" w:pos="8280"/>
        </w:tabs>
      </w:pPr>
      <w:r w:rsidRPr="00F11FE0">
        <w:t xml:space="preserve">Canada Post Corporation and </w:t>
      </w:r>
    </w:p>
    <w:p w:rsidR="00AD1C51" w:rsidRPr="00F11FE0" w:rsidRDefault="00AD1C51" w:rsidP="00A10447">
      <w:pPr>
        <w:pStyle w:val="SCCLsocParty"/>
        <w:tabs>
          <w:tab w:val="right" w:pos="8280"/>
        </w:tabs>
        <w:spacing w:after="480" w:line="480" w:lineRule="auto"/>
      </w:pPr>
      <w:r w:rsidRPr="00F11FE0">
        <w:rPr>
          <w:lang w:val="en-US"/>
        </w:rPr>
        <w:lastRenderedPageBreak/>
        <w:t>Public Service Alliance of Canada</w:t>
      </w:r>
      <w:r w:rsidRPr="00F11FE0">
        <w:rPr>
          <w:i/>
        </w:rPr>
        <w:tab/>
      </w:r>
      <w:r w:rsidRPr="00F11FE0">
        <w:rPr>
          <w:b w:val="0"/>
          <w:i/>
        </w:rPr>
        <w:t>Respondents</w:t>
      </w:r>
    </w:p>
    <w:p w:rsidR="00B1425F" w:rsidRPr="00F11FE0" w:rsidRDefault="00B1425F" w:rsidP="00A10447">
      <w:pPr>
        <w:spacing w:after="480" w:line="480" w:lineRule="auto"/>
        <w:jc w:val="both"/>
        <w:rPr>
          <w:b/>
        </w:rPr>
      </w:pPr>
      <w:proofErr w:type="gramStart"/>
      <w:r w:rsidRPr="00F11FE0">
        <w:rPr>
          <w:b/>
        </w:rPr>
        <w:t>Indexed as:  </w:t>
      </w:r>
      <w:r w:rsidR="00E01E7B" w:rsidRPr="00F11FE0">
        <w:rPr>
          <w:b/>
          <w:lang w:val="en-US"/>
        </w:rPr>
        <w:t>Public Service Alliance of Canada</w:t>
      </w:r>
      <w:r w:rsidR="00E01E7B" w:rsidRPr="00F11FE0">
        <w:rPr>
          <w:b/>
          <w:i/>
        </w:rPr>
        <w:t xml:space="preserve"> </w:t>
      </w:r>
      <w:r w:rsidR="00406E3D" w:rsidRPr="00F11FE0">
        <w:rPr>
          <w:b/>
          <w:i/>
        </w:rPr>
        <w:t>v</w:t>
      </w:r>
      <w:r w:rsidR="00406E3D" w:rsidRPr="00F11FE0">
        <w:rPr>
          <w:b/>
        </w:rPr>
        <w:t xml:space="preserve">. </w:t>
      </w:r>
      <w:r w:rsidR="00E01E7B" w:rsidRPr="00F11FE0">
        <w:rPr>
          <w:b/>
        </w:rPr>
        <w:t>Canada Post Corp.</w:t>
      </w:r>
      <w:proofErr w:type="gramEnd"/>
    </w:p>
    <w:p w:rsidR="00B1425F" w:rsidRPr="00F11FE0" w:rsidRDefault="00B1425F" w:rsidP="00A10447">
      <w:pPr>
        <w:pStyle w:val="SCCSystemYear"/>
        <w:spacing w:after="480" w:line="480" w:lineRule="auto"/>
        <w:jc w:val="both"/>
      </w:pPr>
      <w:r w:rsidRPr="00F11FE0">
        <w:t>2011 SCC </w:t>
      </w:r>
      <w:r w:rsidR="00E01E7B" w:rsidRPr="00F11FE0">
        <w:t>57</w:t>
      </w:r>
    </w:p>
    <w:p w:rsidR="00B1425F" w:rsidRPr="00F11FE0" w:rsidRDefault="00B1425F" w:rsidP="00A10447">
      <w:pPr>
        <w:spacing w:after="480" w:line="480" w:lineRule="auto"/>
        <w:jc w:val="both"/>
      </w:pPr>
      <w:r w:rsidRPr="00F11FE0">
        <w:t>File N</w:t>
      </w:r>
      <w:r w:rsidR="00F112FA">
        <w:t>o</w:t>
      </w:r>
      <w:r w:rsidR="00E01E7B" w:rsidRPr="00F11FE0">
        <w:t>s</w:t>
      </w:r>
      <w:r w:rsidRPr="00F11FE0">
        <w:t>.:  </w:t>
      </w:r>
      <w:r w:rsidR="00406E3D" w:rsidRPr="00F11FE0">
        <w:t>33</w:t>
      </w:r>
      <w:r w:rsidR="00E01E7B" w:rsidRPr="00F11FE0">
        <w:t>668, 33669, 33670</w:t>
      </w:r>
      <w:r w:rsidRPr="00F11FE0">
        <w:t>.</w:t>
      </w:r>
    </w:p>
    <w:p w:rsidR="00B1425F" w:rsidRPr="00F11FE0" w:rsidRDefault="00B1425F" w:rsidP="00A10447">
      <w:pPr>
        <w:spacing w:after="480" w:line="480" w:lineRule="auto"/>
        <w:jc w:val="both"/>
      </w:pPr>
      <w:r w:rsidRPr="00F11FE0">
        <w:t>2011:  </w:t>
      </w:r>
      <w:r w:rsidR="00E01E7B" w:rsidRPr="00F11FE0">
        <w:t>November 17</w:t>
      </w:r>
      <w:r w:rsidRPr="00F11FE0">
        <w:t>.</w:t>
      </w:r>
    </w:p>
    <w:p w:rsidR="00B1425F" w:rsidRPr="00F11FE0" w:rsidRDefault="00B1425F" w:rsidP="00A10447">
      <w:pPr>
        <w:spacing w:after="720"/>
        <w:jc w:val="both"/>
      </w:pPr>
      <w:r w:rsidRPr="00F11FE0">
        <w:t>Present:  </w:t>
      </w:r>
      <w:proofErr w:type="spellStart"/>
      <w:r w:rsidR="00E01E7B" w:rsidRPr="00F11FE0">
        <w:t>McLachlin</w:t>
      </w:r>
      <w:proofErr w:type="spellEnd"/>
      <w:r w:rsidR="00E01E7B" w:rsidRPr="00F11FE0">
        <w:t xml:space="preserve"> C.J. and </w:t>
      </w:r>
      <w:proofErr w:type="spellStart"/>
      <w:r w:rsidR="00E01E7B" w:rsidRPr="00F11FE0">
        <w:t>LeBel</w:t>
      </w:r>
      <w:proofErr w:type="spellEnd"/>
      <w:r w:rsidR="00E01E7B" w:rsidRPr="00F11FE0">
        <w:t xml:space="preserve">, </w:t>
      </w:r>
      <w:proofErr w:type="spellStart"/>
      <w:r w:rsidR="00E01E7B" w:rsidRPr="00F11FE0">
        <w:t>Deschamps</w:t>
      </w:r>
      <w:proofErr w:type="spellEnd"/>
      <w:r w:rsidR="00E01E7B" w:rsidRPr="00F11FE0">
        <w:t xml:space="preserve">, Fish, </w:t>
      </w:r>
      <w:proofErr w:type="spellStart"/>
      <w:r w:rsidR="00E01E7B" w:rsidRPr="00F11FE0">
        <w:t>Abella</w:t>
      </w:r>
      <w:proofErr w:type="spellEnd"/>
      <w:r w:rsidR="00E01E7B" w:rsidRPr="00F11FE0">
        <w:t>, Rothstein, Crom</w:t>
      </w:r>
      <w:r w:rsidR="00A10447" w:rsidRPr="00F11FE0">
        <w:t xml:space="preserve">well, </w:t>
      </w:r>
      <w:proofErr w:type="spellStart"/>
      <w:r w:rsidR="00A10447" w:rsidRPr="00F11FE0">
        <w:t>Moldaver</w:t>
      </w:r>
      <w:proofErr w:type="spellEnd"/>
      <w:r w:rsidR="00A10447" w:rsidRPr="00F11FE0">
        <w:t xml:space="preserve"> and </w:t>
      </w:r>
      <w:proofErr w:type="spellStart"/>
      <w:r w:rsidR="00A10447" w:rsidRPr="00F11FE0">
        <w:t>Karakatsanis</w:t>
      </w:r>
      <w:proofErr w:type="spellEnd"/>
      <w:r w:rsidR="00A10447" w:rsidRPr="00F11FE0">
        <w:t> </w:t>
      </w:r>
      <w:r w:rsidR="00E01E7B" w:rsidRPr="00F11FE0">
        <w:t>JJ.</w:t>
      </w:r>
    </w:p>
    <w:p w:rsidR="00B1425F" w:rsidRPr="00F11FE0" w:rsidRDefault="008056A4" w:rsidP="00A10447">
      <w:pPr>
        <w:spacing w:after="480" w:line="480" w:lineRule="auto"/>
        <w:jc w:val="both"/>
        <w:rPr>
          <w:smallCaps/>
          <w:szCs w:val="24"/>
        </w:rPr>
      </w:pPr>
      <w:r w:rsidRPr="00F11FE0">
        <w:rPr>
          <w:smallCaps/>
          <w:szCs w:val="24"/>
        </w:rPr>
        <w:t>o</w:t>
      </w:r>
      <w:r w:rsidR="0055063C" w:rsidRPr="00F11FE0">
        <w:rPr>
          <w:smallCaps/>
          <w:szCs w:val="24"/>
        </w:rPr>
        <w:t xml:space="preserve">n appeal from the </w:t>
      </w:r>
      <w:r w:rsidR="00E01E7B" w:rsidRPr="00F11FE0">
        <w:rPr>
          <w:smallCaps/>
          <w:szCs w:val="24"/>
        </w:rPr>
        <w:t xml:space="preserve">federal </w:t>
      </w:r>
      <w:r w:rsidRPr="00F11FE0">
        <w:rPr>
          <w:smallCaps/>
          <w:szCs w:val="24"/>
        </w:rPr>
        <w:t>court of appeal</w:t>
      </w:r>
    </w:p>
    <w:p w:rsidR="002544E5" w:rsidRPr="00F11FE0" w:rsidRDefault="00B1425F" w:rsidP="005111D9">
      <w:pPr>
        <w:pStyle w:val="SCCNormalDoubleSpacing"/>
        <w:tabs>
          <w:tab w:val="left" w:pos="1170"/>
        </w:tabs>
        <w:spacing w:after="480"/>
        <w:rPr>
          <w:i/>
        </w:rPr>
      </w:pPr>
      <w:r w:rsidRPr="00F11FE0">
        <w:tab/>
      </w:r>
      <w:r w:rsidR="005111D9" w:rsidRPr="00F11FE0">
        <w:rPr>
          <w:i/>
        </w:rPr>
        <w:t>Human rights</w:t>
      </w:r>
      <w:r w:rsidR="00F87C3F" w:rsidRPr="00F11FE0">
        <w:rPr>
          <w:i/>
        </w:rPr>
        <w:t xml:space="preserve"> — </w:t>
      </w:r>
      <w:r w:rsidR="005111D9" w:rsidRPr="00F11FE0">
        <w:rPr>
          <w:i/>
        </w:rPr>
        <w:t>Discriminatory practices</w:t>
      </w:r>
      <w:r w:rsidR="00BC6CAE" w:rsidRPr="00F11FE0">
        <w:rPr>
          <w:i/>
        </w:rPr>
        <w:t xml:space="preserve"> — </w:t>
      </w:r>
      <w:r w:rsidR="005111D9" w:rsidRPr="00F11FE0">
        <w:rPr>
          <w:i/>
        </w:rPr>
        <w:t>Equal wages</w:t>
      </w:r>
      <w:r w:rsidR="00351D11" w:rsidRPr="00F11FE0">
        <w:rPr>
          <w:i/>
        </w:rPr>
        <w:t xml:space="preserve"> </w:t>
      </w:r>
      <w:r w:rsidR="00710F87" w:rsidRPr="00F11FE0">
        <w:rPr>
          <w:i/>
        </w:rPr>
        <w:t>—</w:t>
      </w:r>
      <w:r w:rsidR="00351D11" w:rsidRPr="00F11FE0">
        <w:rPr>
          <w:i/>
        </w:rPr>
        <w:t xml:space="preserve"> </w:t>
      </w:r>
      <w:r w:rsidR="00640CE5" w:rsidRPr="00F11FE0">
        <w:rPr>
          <w:i/>
        </w:rPr>
        <w:t>Largely female group of employees receiving lower pay than largely male comparator group —</w:t>
      </w:r>
      <w:r w:rsidR="00710F87" w:rsidRPr="00F11FE0">
        <w:rPr>
          <w:i/>
        </w:rPr>
        <w:t xml:space="preserve"> </w:t>
      </w:r>
      <w:r w:rsidR="00886A76" w:rsidRPr="00F11FE0">
        <w:rPr>
          <w:i/>
        </w:rPr>
        <w:t xml:space="preserve">Canadian Human Rights </w:t>
      </w:r>
      <w:r w:rsidR="00640CE5" w:rsidRPr="00F11FE0">
        <w:rPr>
          <w:i/>
        </w:rPr>
        <w:t xml:space="preserve">Tribunal finding pay inequity — Finding overturned on judicial review </w:t>
      </w:r>
      <w:r w:rsidR="00351D11" w:rsidRPr="00F11FE0">
        <w:rPr>
          <w:i/>
        </w:rPr>
        <w:t xml:space="preserve">— Tribunal committed no reviewable error in finding </w:t>
      </w:r>
      <w:r w:rsidR="00886A76" w:rsidRPr="00F11FE0">
        <w:rPr>
          <w:i/>
        </w:rPr>
        <w:t xml:space="preserve">largely female </w:t>
      </w:r>
      <w:r w:rsidR="00351D11" w:rsidRPr="00F11FE0">
        <w:rPr>
          <w:i/>
        </w:rPr>
        <w:t xml:space="preserve">group paid less for work of equal value. </w:t>
      </w:r>
    </w:p>
    <w:p w:rsidR="00B1425F" w:rsidRPr="00F11FE0" w:rsidRDefault="002544E5" w:rsidP="007379F4">
      <w:pPr>
        <w:pStyle w:val="SCCNormalDoubleSpacing"/>
        <w:tabs>
          <w:tab w:val="left" w:pos="1170"/>
        </w:tabs>
        <w:spacing w:after="480"/>
      </w:pPr>
      <w:r w:rsidRPr="00F11FE0">
        <w:tab/>
      </w:r>
      <w:proofErr w:type="gramStart"/>
      <w:r w:rsidR="00865241" w:rsidRPr="00F11FE0">
        <w:t>APPEAL</w:t>
      </w:r>
      <w:r w:rsidR="00AD1C51" w:rsidRPr="00F11FE0">
        <w:t>S</w:t>
      </w:r>
      <w:r w:rsidR="00B1425F" w:rsidRPr="00F11FE0">
        <w:t xml:space="preserve"> </w:t>
      </w:r>
      <w:r w:rsidR="00865241" w:rsidRPr="00F11FE0">
        <w:t xml:space="preserve">from a judgment of the </w:t>
      </w:r>
      <w:r w:rsidR="00E01E7B" w:rsidRPr="00F11FE0">
        <w:t>Federal</w:t>
      </w:r>
      <w:r w:rsidR="00865241" w:rsidRPr="00F11FE0">
        <w:t xml:space="preserve"> Court of Appeal (</w:t>
      </w:r>
      <w:r w:rsidR="00AD1C51" w:rsidRPr="00F11FE0">
        <w:t>Sexton, Evans</w:t>
      </w:r>
      <w:r w:rsidR="00865241" w:rsidRPr="00F11FE0">
        <w:t xml:space="preserve"> and </w:t>
      </w:r>
      <w:proofErr w:type="spellStart"/>
      <w:r w:rsidR="00AD1C51" w:rsidRPr="00F11FE0">
        <w:t>Ryer</w:t>
      </w:r>
      <w:proofErr w:type="spellEnd"/>
      <w:r w:rsidR="00865241" w:rsidRPr="00F11FE0">
        <w:t xml:space="preserve"> JJ.A.)</w:t>
      </w:r>
      <w:r w:rsidR="00713495" w:rsidRPr="00F11FE0">
        <w:t xml:space="preserve">, </w:t>
      </w:r>
      <w:r w:rsidR="00AD1C51" w:rsidRPr="00F11FE0">
        <w:t>2010 FCA 56</w:t>
      </w:r>
      <w:r w:rsidR="00691CBB" w:rsidRPr="00F11FE0">
        <w:t xml:space="preserve">, </w:t>
      </w:r>
      <w:r w:rsidR="00FD35B0" w:rsidRPr="00F11FE0">
        <w:t>[2011] 2 F.C.R. 221, 399 N.R. 127, 15 Admin.</w:t>
      </w:r>
      <w:proofErr w:type="gramEnd"/>
      <w:r w:rsidR="00FD35B0" w:rsidRPr="00F11FE0">
        <w:t xml:space="preserve"> L.R. (5th) 157, </w:t>
      </w:r>
      <w:r w:rsidR="00406382" w:rsidRPr="00F11FE0">
        <w:t xml:space="preserve">2010 CLLC ¶230-015, </w:t>
      </w:r>
      <w:r w:rsidR="00FD35B0" w:rsidRPr="00F11FE0">
        <w:t xml:space="preserve">[2010] F.C.J. No. 272 (QL), 2010 </w:t>
      </w:r>
      <w:proofErr w:type="spellStart"/>
      <w:r w:rsidR="00FD35B0" w:rsidRPr="00F11FE0">
        <w:t>CarswellNat</w:t>
      </w:r>
      <w:proofErr w:type="spellEnd"/>
      <w:r w:rsidR="00FD35B0" w:rsidRPr="00F11FE0">
        <w:t xml:space="preserve"> </w:t>
      </w:r>
      <w:r w:rsidR="00FD35B0" w:rsidRPr="00F11FE0">
        <w:lastRenderedPageBreak/>
        <w:t>416</w:t>
      </w:r>
      <w:r w:rsidR="002B6171" w:rsidRPr="00F11FE0">
        <w:t xml:space="preserve">, </w:t>
      </w:r>
      <w:r w:rsidR="002E1621" w:rsidRPr="00F11FE0">
        <w:t xml:space="preserve">affirming </w:t>
      </w:r>
      <w:r w:rsidR="005B4F9B" w:rsidRPr="00F11FE0">
        <w:t>a</w:t>
      </w:r>
      <w:r w:rsidR="00AD1C51" w:rsidRPr="00F11FE0">
        <w:t xml:space="preserve"> decision of </w:t>
      </w:r>
      <w:proofErr w:type="spellStart"/>
      <w:r w:rsidR="00AD1C51" w:rsidRPr="00F11FE0">
        <w:t>Kelen</w:t>
      </w:r>
      <w:proofErr w:type="spellEnd"/>
      <w:r w:rsidR="00F44AD6" w:rsidRPr="00F11FE0">
        <w:t xml:space="preserve"> J., </w:t>
      </w:r>
      <w:r w:rsidR="00AD1C51" w:rsidRPr="00F11FE0">
        <w:t>2008 FC 223</w:t>
      </w:r>
      <w:r w:rsidR="00FD35B0" w:rsidRPr="00F11FE0">
        <w:t xml:space="preserve">, [2008] 4 F.C.R. 648, 321 F.T.R. 196, </w:t>
      </w:r>
      <w:r w:rsidR="00406382" w:rsidRPr="00F11FE0">
        <w:t xml:space="preserve">2008 CLLC ¶230-012, 62 C.H.R.R. D/378, </w:t>
      </w:r>
      <w:r w:rsidR="00FD35B0" w:rsidRPr="00F11FE0">
        <w:t xml:space="preserve">[2008] F.C.J. No. 273 (QL), 2008 </w:t>
      </w:r>
      <w:proofErr w:type="spellStart"/>
      <w:r w:rsidR="00FD35B0" w:rsidRPr="00F11FE0">
        <w:t>CarswellNat</w:t>
      </w:r>
      <w:proofErr w:type="spellEnd"/>
      <w:r w:rsidR="00FD35B0" w:rsidRPr="00F11FE0">
        <w:t xml:space="preserve"> 471</w:t>
      </w:r>
      <w:r w:rsidR="00CA60AA" w:rsidRPr="00F11FE0">
        <w:t xml:space="preserve">. </w:t>
      </w:r>
      <w:r w:rsidR="00865241" w:rsidRPr="00F11FE0">
        <w:t>Appeal</w:t>
      </w:r>
      <w:r w:rsidR="00E41DA5" w:rsidRPr="00F11FE0">
        <w:t>s 33668 and 33670</w:t>
      </w:r>
      <w:r w:rsidR="00865241" w:rsidRPr="00F11FE0">
        <w:t xml:space="preserve"> </w:t>
      </w:r>
      <w:r w:rsidR="00E01E7B" w:rsidRPr="00F11FE0">
        <w:t>allowed</w:t>
      </w:r>
      <w:r w:rsidR="00E41DA5" w:rsidRPr="00F11FE0">
        <w:t xml:space="preserve"> and </w:t>
      </w:r>
      <w:r w:rsidR="008531C8" w:rsidRPr="00F11FE0">
        <w:t xml:space="preserve">appeal </w:t>
      </w:r>
      <w:r w:rsidR="00E41DA5" w:rsidRPr="00F11FE0">
        <w:t>33669 dismissed</w:t>
      </w:r>
      <w:r w:rsidR="00B1425F" w:rsidRPr="00F11FE0">
        <w:t>.</w:t>
      </w:r>
    </w:p>
    <w:p w:rsidR="00B1425F" w:rsidRPr="00F11FE0" w:rsidRDefault="00B1425F" w:rsidP="00E63E36">
      <w:pPr>
        <w:pStyle w:val="SCCNormalDoubleSpacing"/>
        <w:tabs>
          <w:tab w:val="left" w:pos="1170"/>
        </w:tabs>
        <w:spacing w:after="480"/>
      </w:pPr>
      <w:r w:rsidRPr="00F11FE0">
        <w:rPr>
          <w:i/>
        </w:rPr>
        <w:tab/>
      </w:r>
      <w:proofErr w:type="gramStart"/>
      <w:r w:rsidR="00CF4502" w:rsidRPr="00F11FE0">
        <w:rPr>
          <w:i/>
        </w:rPr>
        <w:t xml:space="preserve">David </w:t>
      </w:r>
      <w:proofErr w:type="spellStart"/>
      <w:r w:rsidR="00CF4502" w:rsidRPr="00F11FE0">
        <w:rPr>
          <w:i/>
        </w:rPr>
        <w:t>Yazbeck</w:t>
      </w:r>
      <w:proofErr w:type="spellEnd"/>
      <w:r w:rsidR="00CF4502" w:rsidRPr="0056690A">
        <w:t>,</w:t>
      </w:r>
      <w:r w:rsidR="00C41DDD" w:rsidRPr="00F11FE0">
        <w:rPr>
          <w:i/>
        </w:rPr>
        <w:t xml:space="preserve"> </w:t>
      </w:r>
      <w:r w:rsidR="00CF4502" w:rsidRPr="00F11FE0">
        <w:rPr>
          <w:i/>
        </w:rPr>
        <w:t>James Cameron</w:t>
      </w:r>
      <w:r w:rsidR="00CF4502" w:rsidRPr="0056690A">
        <w:t>,</w:t>
      </w:r>
      <w:r w:rsidR="00CF4502" w:rsidRPr="00F11FE0">
        <w:rPr>
          <w:i/>
        </w:rPr>
        <w:t xml:space="preserve"> Andrew Raven </w:t>
      </w:r>
      <w:r w:rsidR="00CF4502" w:rsidRPr="0056690A">
        <w:t xml:space="preserve">and </w:t>
      </w:r>
      <w:r w:rsidR="00CF4502" w:rsidRPr="00F11FE0">
        <w:rPr>
          <w:i/>
        </w:rPr>
        <w:t xml:space="preserve">Andrew </w:t>
      </w:r>
      <w:proofErr w:type="spellStart"/>
      <w:r w:rsidR="00CF4502" w:rsidRPr="00F11FE0">
        <w:rPr>
          <w:i/>
        </w:rPr>
        <w:t>Astritis</w:t>
      </w:r>
      <w:proofErr w:type="spellEnd"/>
      <w:r w:rsidRPr="00F11FE0">
        <w:t xml:space="preserve">, for the </w:t>
      </w:r>
      <w:r w:rsidR="00C41DDD" w:rsidRPr="00F11FE0">
        <w:t>appellant</w:t>
      </w:r>
      <w:r w:rsidR="00CF4502" w:rsidRPr="00F11FE0">
        <w:t xml:space="preserve"> </w:t>
      </w:r>
      <w:r w:rsidR="00FD35B0" w:rsidRPr="00F11FE0">
        <w:t xml:space="preserve">(33668 and 33669) and the respondent (33670) </w:t>
      </w:r>
      <w:r w:rsidR="00CF4502" w:rsidRPr="00F11FE0">
        <w:t>the Public Service Alliance of Canada</w:t>
      </w:r>
      <w:r w:rsidRPr="00F11FE0">
        <w:t>.</w:t>
      </w:r>
      <w:proofErr w:type="gramEnd"/>
    </w:p>
    <w:p w:rsidR="00CF4502" w:rsidRPr="00F11FE0" w:rsidRDefault="00CF4502" w:rsidP="00E63E36">
      <w:pPr>
        <w:pStyle w:val="SCCNormalDoubleSpacing"/>
        <w:tabs>
          <w:tab w:val="left" w:pos="1170"/>
        </w:tabs>
        <w:spacing w:after="480"/>
      </w:pPr>
      <w:r w:rsidRPr="00F11FE0">
        <w:tab/>
      </w:r>
      <w:proofErr w:type="gramStart"/>
      <w:r w:rsidRPr="00F11FE0">
        <w:rPr>
          <w:i/>
        </w:rPr>
        <w:t>Peter A. Gall</w:t>
      </w:r>
      <w:r w:rsidRPr="00F11FE0">
        <w:t xml:space="preserve">, </w:t>
      </w:r>
      <w:r w:rsidRPr="00F11FE0">
        <w:rPr>
          <w:i/>
        </w:rPr>
        <w:t>Q.C.</w:t>
      </w:r>
      <w:r w:rsidRPr="00F11FE0">
        <w:t xml:space="preserve">, </w:t>
      </w:r>
      <w:r w:rsidR="00A369E2" w:rsidRPr="00F11FE0">
        <w:rPr>
          <w:i/>
        </w:rPr>
        <w:t>Donald R. Munroe</w:t>
      </w:r>
      <w:r w:rsidR="00A369E2" w:rsidRPr="00F11FE0">
        <w:t xml:space="preserve">, </w:t>
      </w:r>
      <w:r w:rsidR="00A369E2" w:rsidRPr="00F11FE0">
        <w:rPr>
          <w:i/>
        </w:rPr>
        <w:t>Q.C.</w:t>
      </w:r>
      <w:r w:rsidR="00A369E2" w:rsidRPr="00F11FE0">
        <w:t xml:space="preserve">, </w:t>
      </w:r>
      <w:r w:rsidRPr="00F11FE0">
        <w:rPr>
          <w:i/>
        </w:rPr>
        <w:t>Robert Grant</w:t>
      </w:r>
      <w:r w:rsidRPr="00F11FE0">
        <w:t xml:space="preserve"> and </w:t>
      </w:r>
      <w:r w:rsidRPr="00F11FE0">
        <w:rPr>
          <w:i/>
        </w:rPr>
        <w:t>Joana Thackeray</w:t>
      </w:r>
      <w:r w:rsidRPr="00F11FE0">
        <w:t xml:space="preserve">, for the respondent </w:t>
      </w:r>
      <w:r w:rsidR="00FD35B0" w:rsidRPr="00F11FE0">
        <w:t xml:space="preserve">the </w:t>
      </w:r>
      <w:r w:rsidRPr="00F11FE0">
        <w:t>Canada Post Corporation.</w:t>
      </w:r>
      <w:proofErr w:type="gramEnd"/>
    </w:p>
    <w:p w:rsidR="00B1425F" w:rsidRPr="00F11FE0" w:rsidRDefault="00B1425F" w:rsidP="00E63E36">
      <w:pPr>
        <w:pStyle w:val="SCCNormalDoubleSpacing"/>
        <w:tabs>
          <w:tab w:val="left" w:pos="1170"/>
        </w:tabs>
        <w:spacing w:after="480"/>
      </w:pPr>
      <w:r w:rsidRPr="00F11FE0">
        <w:rPr>
          <w:i/>
        </w:rPr>
        <w:tab/>
      </w:r>
      <w:proofErr w:type="gramStart"/>
      <w:r w:rsidR="00CF4502" w:rsidRPr="00F11FE0">
        <w:rPr>
          <w:i/>
        </w:rPr>
        <w:t xml:space="preserve">Philippe </w:t>
      </w:r>
      <w:proofErr w:type="spellStart"/>
      <w:r w:rsidR="00CF4502" w:rsidRPr="00F11FE0">
        <w:rPr>
          <w:i/>
        </w:rPr>
        <w:t>Dufresne</w:t>
      </w:r>
      <w:proofErr w:type="spellEnd"/>
      <w:r w:rsidR="00CF4502" w:rsidRPr="00F11FE0">
        <w:rPr>
          <w:i/>
        </w:rPr>
        <w:t xml:space="preserve"> </w:t>
      </w:r>
      <w:r w:rsidR="00CF4502" w:rsidRPr="0056690A">
        <w:t>and</w:t>
      </w:r>
      <w:r w:rsidR="00CF4502" w:rsidRPr="00F11FE0">
        <w:rPr>
          <w:i/>
        </w:rPr>
        <w:t xml:space="preserve"> Daniel </w:t>
      </w:r>
      <w:proofErr w:type="spellStart"/>
      <w:r w:rsidR="00CF4502" w:rsidRPr="00F11FE0">
        <w:rPr>
          <w:i/>
        </w:rPr>
        <w:t>Poulin</w:t>
      </w:r>
      <w:proofErr w:type="spellEnd"/>
      <w:r w:rsidRPr="00F11FE0">
        <w:t>, for the respondent</w:t>
      </w:r>
      <w:r w:rsidR="00CF4502" w:rsidRPr="00F11FE0">
        <w:t xml:space="preserve"> </w:t>
      </w:r>
      <w:r w:rsidR="00FD35B0" w:rsidRPr="00F11FE0">
        <w:t xml:space="preserve">(33668 and 33669) and the appellant (33670) </w:t>
      </w:r>
      <w:r w:rsidR="00CF4502" w:rsidRPr="00F11FE0">
        <w:t>the Canadian Human Rights Commission</w:t>
      </w:r>
      <w:r w:rsidRPr="00F11FE0">
        <w:t>.</w:t>
      </w:r>
      <w:proofErr w:type="gramEnd"/>
    </w:p>
    <w:p w:rsidR="00B1425F" w:rsidRPr="00F11FE0" w:rsidRDefault="00B1425F" w:rsidP="00B1425F">
      <w:pPr>
        <w:pStyle w:val="SCCNormalDoubleSpacing"/>
        <w:tabs>
          <w:tab w:val="left" w:pos="1170"/>
        </w:tabs>
        <w:spacing w:after="480"/>
        <w:rPr>
          <w:szCs w:val="24"/>
        </w:rPr>
      </w:pPr>
      <w:r w:rsidRPr="00F11FE0">
        <w:rPr>
          <w:szCs w:val="24"/>
        </w:rPr>
        <w:tab/>
        <w:t>The judgment of the Court was delivered</w:t>
      </w:r>
      <w:r w:rsidR="003E0806" w:rsidRPr="00F11FE0">
        <w:rPr>
          <w:szCs w:val="24"/>
        </w:rPr>
        <w:t xml:space="preserve"> orally</w:t>
      </w:r>
      <w:r w:rsidRPr="00F11FE0">
        <w:rPr>
          <w:szCs w:val="24"/>
        </w:rPr>
        <w:t xml:space="preserve"> by</w:t>
      </w:r>
    </w:p>
    <w:p w:rsidR="00E01E7B" w:rsidRPr="00F11FE0" w:rsidRDefault="00E01E7B" w:rsidP="00342596">
      <w:pPr>
        <w:pStyle w:val="ParaNoNdepar-AltN"/>
      </w:pPr>
      <w:r w:rsidRPr="00F11FE0">
        <w:rPr>
          <w:smallCaps/>
        </w:rPr>
        <w:t>The Chief Justice</w:t>
      </w:r>
      <w:r w:rsidR="00B1425F" w:rsidRPr="00F11FE0">
        <w:t xml:space="preserve"> ― </w:t>
      </w:r>
      <w:r w:rsidRPr="00F11FE0">
        <w:t>I turn first to the appeals on the merits of the case (33668 and 33670).  We all agree with the dissenting reasons of Evans J.A., which comprehensively address the issues on these appeals.  We would allow these appeals, with costs to Public Service Alliance of Canada in this Court and below.</w:t>
      </w:r>
    </w:p>
    <w:p w:rsidR="00B1425F" w:rsidRPr="00F11FE0" w:rsidRDefault="00E01E7B" w:rsidP="00342596">
      <w:pPr>
        <w:pStyle w:val="ParaNoNdepar-AltN"/>
      </w:pPr>
      <w:r w:rsidRPr="00F11FE0">
        <w:t xml:space="preserve">This leaves Public Service </w:t>
      </w:r>
      <w:r w:rsidRPr="00342596">
        <w:rPr>
          <w:lang w:val="en-US"/>
        </w:rPr>
        <w:t>Alliance</w:t>
      </w:r>
      <w:r w:rsidRPr="00F11FE0">
        <w:t xml:space="preserve"> of Canada’s appeal from the Canadian Human Rights Tribunal’s reduction of damages (33669).  We are all of the </w:t>
      </w:r>
      <w:r w:rsidRPr="00F11FE0">
        <w:lastRenderedPageBreak/>
        <w:t>view that this appeal should be dismissed, again for the dissenting reasons of Evans J.A., with costs to Canada Post Corporation in this Court and below.</w:t>
      </w:r>
    </w:p>
    <w:p w:rsidR="00B1425F" w:rsidRPr="00F11FE0" w:rsidRDefault="00E63E36" w:rsidP="00E63E36">
      <w:pPr>
        <w:pStyle w:val="SCCNormalDoubleSpacing"/>
        <w:tabs>
          <w:tab w:val="left" w:pos="1170"/>
        </w:tabs>
        <w:spacing w:after="480"/>
        <w:rPr>
          <w:i/>
        </w:rPr>
      </w:pPr>
      <w:r w:rsidRPr="00F11FE0">
        <w:rPr>
          <w:i/>
        </w:rPr>
        <w:tab/>
      </w:r>
      <w:proofErr w:type="gramStart"/>
      <w:r w:rsidR="009E623D" w:rsidRPr="00F11FE0">
        <w:rPr>
          <w:i/>
        </w:rPr>
        <w:t>Judgment acco</w:t>
      </w:r>
      <w:r w:rsidR="00AB7EBD" w:rsidRPr="00F11FE0">
        <w:rPr>
          <w:i/>
        </w:rPr>
        <w:t>r</w:t>
      </w:r>
      <w:r w:rsidR="009E623D" w:rsidRPr="00F11FE0">
        <w:rPr>
          <w:i/>
        </w:rPr>
        <w:t>dingly</w:t>
      </w:r>
      <w:r w:rsidR="00B1425F" w:rsidRPr="00F11FE0">
        <w:rPr>
          <w:i/>
        </w:rPr>
        <w:t>.</w:t>
      </w:r>
      <w:proofErr w:type="gramEnd"/>
    </w:p>
    <w:p w:rsidR="00B1425F" w:rsidRPr="00F11FE0" w:rsidRDefault="00E63E36" w:rsidP="00E63E36">
      <w:pPr>
        <w:pStyle w:val="SCCNormalDoubleSpacing"/>
        <w:tabs>
          <w:tab w:val="left" w:pos="1170"/>
        </w:tabs>
        <w:spacing w:after="480"/>
        <w:rPr>
          <w:i/>
        </w:rPr>
      </w:pPr>
      <w:r w:rsidRPr="00F11FE0">
        <w:tab/>
      </w:r>
      <w:r w:rsidR="00B1425F" w:rsidRPr="00F11FE0">
        <w:rPr>
          <w:i/>
        </w:rPr>
        <w:t>Solicitors for the app</w:t>
      </w:r>
      <w:r w:rsidR="00490CBE" w:rsidRPr="00F11FE0">
        <w:rPr>
          <w:i/>
        </w:rPr>
        <w:t>ellant</w:t>
      </w:r>
      <w:r w:rsidR="00691CBB" w:rsidRPr="00F11FE0">
        <w:rPr>
          <w:i/>
        </w:rPr>
        <w:t xml:space="preserve"> </w:t>
      </w:r>
      <w:r w:rsidR="003F7B8B" w:rsidRPr="00F11FE0">
        <w:rPr>
          <w:i/>
        </w:rPr>
        <w:t xml:space="preserve">(33668 and 33669) and the respondent (33670) </w:t>
      </w:r>
      <w:r w:rsidR="00691CBB" w:rsidRPr="00F11FE0">
        <w:rPr>
          <w:i/>
        </w:rPr>
        <w:t>the Public Service Alliance of Canada</w:t>
      </w:r>
      <w:r w:rsidR="00B1425F" w:rsidRPr="00F11FE0">
        <w:rPr>
          <w:i/>
        </w:rPr>
        <w:t>:  </w:t>
      </w:r>
      <w:r w:rsidR="00691CBB" w:rsidRPr="00F11FE0">
        <w:rPr>
          <w:i/>
        </w:rPr>
        <w:t xml:space="preserve">Raven, Cameron, </w:t>
      </w:r>
      <w:proofErr w:type="spellStart"/>
      <w:r w:rsidR="00691CBB" w:rsidRPr="00F11FE0">
        <w:rPr>
          <w:i/>
        </w:rPr>
        <w:t>Ballantyne</w:t>
      </w:r>
      <w:proofErr w:type="spellEnd"/>
      <w:r w:rsidR="00691CBB" w:rsidRPr="00F11FE0">
        <w:rPr>
          <w:i/>
        </w:rPr>
        <w:t xml:space="preserve"> &amp; </w:t>
      </w:r>
      <w:proofErr w:type="spellStart"/>
      <w:r w:rsidR="00691CBB" w:rsidRPr="00F11FE0">
        <w:rPr>
          <w:i/>
        </w:rPr>
        <w:t>Yazbeck</w:t>
      </w:r>
      <w:proofErr w:type="spellEnd"/>
      <w:r w:rsidR="00691CBB" w:rsidRPr="00F11FE0">
        <w:rPr>
          <w:i/>
        </w:rPr>
        <w:t xml:space="preserve">, </w:t>
      </w:r>
      <w:proofErr w:type="gramStart"/>
      <w:r w:rsidR="00691CBB" w:rsidRPr="00F11FE0">
        <w:rPr>
          <w:i/>
        </w:rPr>
        <w:t>Ottawa</w:t>
      </w:r>
      <w:proofErr w:type="gramEnd"/>
      <w:r w:rsidR="00691CBB" w:rsidRPr="00F11FE0">
        <w:rPr>
          <w:i/>
        </w:rPr>
        <w:t>.</w:t>
      </w:r>
    </w:p>
    <w:p w:rsidR="00865241" w:rsidRPr="00F11FE0" w:rsidRDefault="00E63E36" w:rsidP="00E63E36">
      <w:pPr>
        <w:pStyle w:val="SCCNormalDoubleSpacing"/>
        <w:tabs>
          <w:tab w:val="left" w:pos="1170"/>
        </w:tabs>
        <w:spacing w:after="480"/>
        <w:rPr>
          <w:i/>
        </w:rPr>
      </w:pPr>
      <w:r w:rsidRPr="00F11FE0">
        <w:tab/>
      </w:r>
      <w:r w:rsidR="00B1425F" w:rsidRPr="00F11FE0">
        <w:rPr>
          <w:i/>
        </w:rPr>
        <w:t>Solicitor</w:t>
      </w:r>
      <w:r w:rsidR="00691CBB" w:rsidRPr="00F11FE0">
        <w:rPr>
          <w:i/>
        </w:rPr>
        <w:t>s</w:t>
      </w:r>
      <w:r w:rsidR="00B1425F" w:rsidRPr="00F11FE0">
        <w:rPr>
          <w:i/>
        </w:rPr>
        <w:t xml:space="preserve"> for the respondent</w:t>
      </w:r>
      <w:r w:rsidR="00691CBB" w:rsidRPr="00F11FE0">
        <w:rPr>
          <w:i/>
        </w:rPr>
        <w:t xml:space="preserve"> the Canada Post Corporation</w:t>
      </w:r>
      <w:r w:rsidR="00B1425F" w:rsidRPr="00F11FE0">
        <w:rPr>
          <w:i/>
        </w:rPr>
        <w:t>:  </w:t>
      </w:r>
      <w:r w:rsidR="00691CBB" w:rsidRPr="00F11FE0">
        <w:rPr>
          <w:i/>
        </w:rPr>
        <w:t>Heenan Blaikie, Vancouver.</w:t>
      </w:r>
    </w:p>
    <w:p w:rsidR="00691CBB" w:rsidRPr="00F11FE0" w:rsidRDefault="00691CBB" w:rsidP="00691CBB">
      <w:pPr>
        <w:pStyle w:val="SCCNormalDoubleSpacing"/>
        <w:tabs>
          <w:tab w:val="left" w:pos="1170"/>
        </w:tabs>
        <w:spacing w:after="480"/>
        <w:rPr>
          <w:i/>
        </w:rPr>
      </w:pPr>
      <w:r w:rsidRPr="00F11FE0">
        <w:tab/>
      </w:r>
      <w:r w:rsidRPr="00F11FE0">
        <w:rPr>
          <w:i/>
        </w:rPr>
        <w:t xml:space="preserve">Solicitor for the respondent </w:t>
      </w:r>
      <w:r w:rsidR="003F7B8B" w:rsidRPr="00F11FE0">
        <w:rPr>
          <w:i/>
        </w:rPr>
        <w:t xml:space="preserve">(33668 and 33669) and the appellant (33670) </w:t>
      </w:r>
      <w:r w:rsidRPr="00F11FE0">
        <w:rPr>
          <w:i/>
        </w:rPr>
        <w:t>the Canadian Human Rights Commission:  Canadian Human Rights Commission, Ottawa.</w:t>
      </w:r>
    </w:p>
    <w:sectPr w:rsidR="00691CBB" w:rsidRPr="00F11FE0" w:rsidSect="000A51D8">
      <w:headerReference w:type="default" r:id="rId10"/>
      <w:pgSz w:w="12240" w:h="15840"/>
      <w:pgMar w:top="1267" w:right="2160" w:bottom="1267"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10" w:rsidRDefault="00A35110" w:rsidP="005D1447">
      <w:r>
        <w:separator/>
      </w:r>
    </w:p>
  </w:endnote>
  <w:endnote w:type="continuationSeparator" w:id="0">
    <w:p w:rsidR="00A35110" w:rsidRDefault="00A35110" w:rsidP="005D1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10" w:rsidRDefault="00A35110" w:rsidP="005D1447">
      <w:r>
        <w:separator/>
      </w:r>
    </w:p>
  </w:footnote>
  <w:footnote w:type="continuationSeparator" w:id="0">
    <w:p w:rsidR="00A35110" w:rsidRDefault="00A35110" w:rsidP="005D1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306"/>
      <w:docPartObj>
        <w:docPartGallery w:val="Page Numbers (Top of Page)"/>
        <w:docPartUnique/>
      </w:docPartObj>
    </w:sdtPr>
    <w:sdtContent>
      <w:p w:rsidR="00A35110" w:rsidRDefault="00A35110">
        <w:pPr>
          <w:pStyle w:val="Header"/>
          <w:jc w:val="center"/>
        </w:pPr>
        <w:r>
          <w:t xml:space="preserve">- </w:t>
        </w:r>
        <w:fldSimple w:instr=" PAGE   \* MERGEFORMAT ">
          <w:r w:rsidR="00096262">
            <w:rPr>
              <w:noProof/>
            </w:rPr>
            <w:t>4</w:t>
          </w:r>
        </w:fldSimple>
        <w:r>
          <w:t xml:space="preserve"> -</w:t>
        </w:r>
      </w:p>
    </w:sdtContent>
  </w:sdt>
  <w:p w:rsidR="00A35110" w:rsidRDefault="00A35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1"/>
  <w:stylePaneSortMethod w:val="0004"/>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1425F"/>
    <w:rsid w:val="00045F86"/>
    <w:rsid w:val="00050F8D"/>
    <w:rsid w:val="00055EFA"/>
    <w:rsid w:val="00090CD8"/>
    <w:rsid w:val="00096262"/>
    <w:rsid w:val="000A51D8"/>
    <w:rsid w:val="000A5279"/>
    <w:rsid w:val="000A674F"/>
    <w:rsid w:val="000E1AF2"/>
    <w:rsid w:val="001E1479"/>
    <w:rsid w:val="001F2A4D"/>
    <w:rsid w:val="002035BC"/>
    <w:rsid w:val="002348C1"/>
    <w:rsid w:val="002544E5"/>
    <w:rsid w:val="00262DCD"/>
    <w:rsid w:val="002805FB"/>
    <w:rsid w:val="002A1C62"/>
    <w:rsid w:val="002A466D"/>
    <w:rsid w:val="002B6171"/>
    <w:rsid w:val="002D03F8"/>
    <w:rsid w:val="002E1621"/>
    <w:rsid w:val="003100C1"/>
    <w:rsid w:val="003265B8"/>
    <w:rsid w:val="00342596"/>
    <w:rsid w:val="00351D11"/>
    <w:rsid w:val="0039184C"/>
    <w:rsid w:val="003E0806"/>
    <w:rsid w:val="003F7B8B"/>
    <w:rsid w:val="00406382"/>
    <w:rsid w:val="00406E3D"/>
    <w:rsid w:val="00424DBB"/>
    <w:rsid w:val="00490CBE"/>
    <w:rsid w:val="0049752C"/>
    <w:rsid w:val="00510E08"/>
    <w:rsid w:val="005111D9"/>
    <w:rsid w:val="0055063C"/>
    <w:rsid w:val="00551977"/>
    <w:rsid w:val="005541A8"/>
    <w:rsid w:val="0056690A"/>
    <w:rsid w:val="00594E36"/>
    <w:rsid w:val="005B4F9B"/>
    <w:rsid w:val="005D1447"/>
    <w:rsid w:val="005E344A"/>
    <w:rsid w:val="006000F7"/>
    <w:rsid w:val="00626FCA"/>
    <w:rsid w:val="00637BAA"/>
    <w:rsid w:val="00640CE5"/>
    <w:rsid w:val="0064307F"/>
    <w:rsid w:val="00691CBB"/>
    <w:rsid w:val="006A57AE"/>
    <w:rsid w:val="006A77DF"/>
    <w:rsid w:val="006F55EE"/>
    <w:rsid w:val="00710838"/>
    <w:rsid w:val="00710F87"/>
    <w:rsid w:val="00713495"/>
    <w:rsid w:val="00724A2A"/>
    <w:rsid w:val="007379F4"/>
    <w:rsid w:val="007D67BF"/>
    <w:rsid w:val="008056A4"/>
    <w:rsid w:val="00826834"/>
    <w:rsid w:val="008531C8"/>
    <w:rsid w:val="00865241"/>
    <w:rsid w:val="00872BB8"/>
    <w:rsid w:val="00873B78"/>
    <w:rsid w:val="00886A76"/>
    <w:rsid w:val="008A36D9"/>
    <w:rsid w:val="008A79B0"/>
    <w:rsid w:val="008B28D2"/>
    <w:rsid w:val="009027BF"/>
    <w:rsid w:val="009304D5"/>
    <w:rsid w:val="00953998"/>
    <w:rsid w:val="00972C01"/>
    <w:rsid w:val="009A2184"/>
    <w:rsid w:val="009A3D8E"/>
    <w:rsid w:val="009B228B"/>
    <w:rsid w:val="009E15E9"/>
    <w:rsid w:val="009E6031"/>
    <w:rsid w:val="009E623D"/>
    <w:rsid w:val="00A02DDF"/>
    <w:rsid w:val="00A10447"/>
    <w:rsid w:val="00A35110"/>
    <w:rsid w:val="00A369E2"/>
    <w:rsid w:val="00A93CEA"/>
    <w:rsid w:val="00AB2D64"/>
    <w:rsid w:val="00AB7EBD"/>
    <w:rsid w:val="00AD1C51"/>
    <w:rsid w:val="00B138DB"/>
    <w:rsid w:val="00B1425F"/>
    <w:rsid w:val="00B22612"/>
    <w:rsid w:val="00B25DA6"/>
    <w:rsid w:val="00B54ACC"/>
    <w:rsid w:val="00B63AA5"/>
    <w:rsid w:val="00BA624B"/>
    <w:rsid w:val="00BC2A54"/>
    <w:rsid w:val="00BC6CAE"/>
    <w:rsid w:val="00C16861"/>
    <w:rsid w:val="00C41DDD"/>
    <w:rsid w:val="00CA23A7"/>
    <w:rsid w:val="00CA60AA"/>
    <w:rsid w:val="00CD1376"/>
    <w:rsid w:val="00CE3AAB"/>
    <w:rsid w:val="00CF4502"/>
    <w:rsid w:val="00D0237F"/>
    <w:rsid w:val="00D07476"/>
    <w:rsid w:val="00D84211"/>
    <w:rsid w:val="00DA78E9"/>
    <w:rsid w:val="00DF0821"/>
    <w:rsid w:val="00E01D7F"/>
    <w:rsid w:val="00E01E7B"/>
    <w:rsid w:val="00E203CC"/>
    <w:rsid w:val="00E35347"/>
    <w:rsid w:val="00E41DA5"/>
    <w:rsid w:val="00E63E36"/>
    <w:rsid w:val="00EA2522"/>
    <w:rsid w:val="00F05554"/>
    <w:rsid w:val="00F112FA"/>
    <w:rsid w:val="00F11FE0"/>
    <w:rsid w:val="00F44AD6"/>
    <w:rsid w:val="00F651E7"/>
    <w:rsid w:val="00F8278E"/>
    <w:rsid w:val="00F87C3F"/>
    <w:rsid w:val="00FB1CFF"/>
    <w:rsid w:val="00FB3F1C"/>
    <w:rsid w:val="00FD35B0"/>
    <w:rsid w:val="00FF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0"/>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1425F"/>
    <w:pPr>
      <w:spacing w:line="480" w:lineRule="auto"/>
      <w:jc w:val="both"/>
    </w:pPr>
  </w:style>
  <w:style w:type="character" w:customStyle="1" w:styleId="SCCNormalDoubleSpacingChar">
    <w:name w:val="SCC.Normal.DoubleSpacing Char"/>
    <w:basedOn w:val="DefaultParagraphFont"/>
    <w:link w:val="SCCNormalDoubleSpacing"/>
    <w:rsid w:val="00B1425F"/>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1425F"/>
    <w:pPr>
      <w:tabs>
        <w:tab w:val="center" w:pos="4680"/>
        <w:tab w:val="right" w:pos="9360"/>
      </w:tabs>
    </w:pPr>
  </w:style>
  <w:style w:type="character" w:customStyle="1" w:styleId="HeaderChar">
    <w:name w:val="Header Char"/>
    <w:basedOn w:val="DefaultParagraphFont"/>
    <w:link w:val="Header"/>
    <w:uiPriority w:val="99"/>
    <w:rsid w:val="00B1425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1425F"/>
    <w:pPr>
      <w:jc w:val="both"/>
    </w:pPr>
    <w:rPr>
      <w:b/>
    </w:rPr>
  </w:style>
  <w:style w:type="character" w:customStyle="1" w:styleId="SCCLsocPartyChar">
    <w:name w:val="SCC.Lsoc.Party Char"/>
    <w:basedOn w:val="DefaultParagraphFont"/>
    <w:link w:val="SCCLsocParty"/>
    <w:rsid w:val="00B1425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1425F"/>
    <w:rPr>
      <w:i/>
    </w:rPr>
  </w:style>
  <w:style w:type="character" w:customStyle="1" w:styleId="SCCLsocVersusChar">
    <w:name w:val="SCC.Lsoc.Versus Char"/>
    <w:basedOn w:val="DefaultParagraphFont"/>
    <w:link w:val="SCCLsocVersus"/>
    <w:rsid w:val="00B1425F"/>
    <w:rPr>
      <w:rFonts w:ascii="Times New Roman" w:eastAsia="Times New Roman" w:hAnsi="Times New Roman" w:cs="Times New Roman"/>
      <w:i/>
      <w:sz w:val="24"/>
      <w:szCs w:val="20"/>
      <w:lang w:val="en-CA" w:eastAsia="en-CA"/>
    </w:rPr>
  </w:style>
  <w:style w:type="paragraph" w:customStyle="1" w:styleId="SCCSystemYear">
    <w:name w:val="SCC.SystemYear"/>
    <w:basedOn w:val="Normal"/>
    <w:next w:val="Normal"/>
    <w:link w:val="SCCSystemYearChar"/>
    <w:rsid w:val="00B1425F"/>
    <w:rPr>
      <w:b/>
    </w:rPr>
  </w:style>
  <w:style w:type="character" w:customStyle="1" w:styleId="SCCSystemYearChar">
    <w:name w:val="SCC.SystemYear Char"/>
    <w:basedOn w:val="DefaultParagraphFont"/>
    <w:link w:val="SCCSystemYear"/>
    <w:rsid w:val="00B1425F"/>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B1425F"/>
    <w:rPr>
      <w:i/>
    </w:rPr>
  </w:style>
  <w:style w:type="character" w:customStyle="1" w:styleId="SCCLawFirmChar">
    <w:name w:val="SCC.LawFirm Char"/>
    <w:basedOn w:val="SCCNormalDoubleSpacingChar"/>
    <w:link w:val="SCCLawFirm"/>
    <w:rsid w:val="00B1425F"/>
    <w:rPr>
      <w:i/>
    </w:rPr>
  </w:style>
  <w:style w:type="paragraph" w:styleId="Footer">
    <w:name w:val="footer"/>
    <w:basedOn w:val="Normal"/>
    <w:link w:val="FooterChar"/>
    <w:uiPriority w:val="99"/>
    <w:semiHidden/>
    <w:unhideWhenUsed/>
    <w:rsid w:val="003100C1"/>
    <w:pPr>
      <w:tabs>
        <w:tab w:val="center" w:pos="4680"/>
        <w:tab w:val="right" w:pos="9360"/>
      </w:tabs>
    </w:pPr>
  </w:style>
  <w:style w:type="character" w:customStyle="1" w:styleId="FooterChar">
    <w:name w:val="Footer Char"/>
    <w:basedOn w:val="DefaultParagraphFont"/>
    <w:link w:val="Footer"/>
    <w:uiPriority w:val="99"/>
    <w:semiHidden/>
    <w:rsid w:val="003100C1"/>
    <w:rPr>
      <w:rFonts w:ascii="Times New Roman" w:eastAsia="Times New Roman" w:hAnsi="Times New Roman" w:cs="Times New Roman"/>
      <w:sz w:val="24"/>
      <w:szCs w:val="20"/>
      <w:lang w:val="en-CA" w:eastAsia="en-CA"/>
    </w:rPr>
  </w:style>
  <w:style w:type="paragraph" w:customStyle="1" w:styleId="ParaNoNdepar-AltN">
    <w:name w:val="Para. No. / Nº de par. - Alt N"/>
    <w:qFormat/>
    <w:rsid w:val="00342596"/>
    <w:pPr>
      <w:numPr>
        <w:numId w:val="1"/>
      </w:numPr>
      <w:spacing w:before="480" w:after="480" w:line="480" w:lineRule="auto"/>
      <w:jc w:val="both"/>
    </w:pPr>
    <w:rPr>
      <w:rFonts w:ascii="Times New Roman" w:eastAsiaTheme="minorEastAsia" w:hAnsi="Times New Roman"/>
      <w:sz w:val="24"/>
      <w:szCs w:val="24"/>
      <w:lang w:val="en-CA"/>
    </w:rPr>
  </w:style>
  <w:style w:type="table" w:styleId="TableGrid">
    <w:name w:val="Table Grid"/>
    <w:basedOn w:val="TableNormal"/>
    <w:uiPriority w:val="59"/>
    <w:rsid w:val="00096262"/>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Role">
    <w:name w:val="SCC.Lsoc.PartyRole"/>
    <w:basedOn w:val="Normal"/>
    <w:next w:val="Normal"/>
    <w:link w:val="SCCLsocPartyRoleChar"/>
    <w:rsid w:val="00096262"/>
    <w:pPr>
      <w:jc w:val="center"/>
    </w:pPr>
    <w:rPr>
      <w:rFonts w:eastAsiaTheme="minorHAnsi" w:cstheme="minorBidi"/>
      <w:szCs w:val="24"/>
      <w:lang w:eastAsia="en-US"/>
    </w:rPr>
  </w:style>
  <w:style w:type="character" w:customStyle="1" w:styleId="SCCLsocPartyRoleChar">
    <w:name w:val="SCC.Lsoc.PartyRole Char"/>
    <w:basedOn w:val="DefaultParagraphFont"/>
    <w:link w:val="SCCLsocPartyRole"/>
    <w:rsid w:val="00096262"/>
    <w:rPr>
      <w:rFonts w:ascii="Times New Roman" w:hAnsi="Times New Roman"/>
      <w:sz w:val="24"/>
      <w:szCs w:val="24"/>
      <w:lang w:val="en-CA"/>
    </w:rPr>
  </w:style>
  <w:style w:type="paragraph" w:customStyle="1" w:styleId="SCCLsocPrefix">
    <w:name w:val="SCC.Lsoc.Prefix"/>
    <w:basedOn w:val="Normal"/>
    <w:next w:val="Normal"/>
    <w:link w:val="SCCLsocPrefixChar"/>
    <w:rsid w:val="00096262"/>
    <w:rPr>
      <w:rFonts w:eastAsiaTheme="minorHAnsi" w:cstheme="minorBidi"/>
      <w:b/>
      <w:smallCaps/>
      <w:szCs w:val="24"/>
      <w:lang w:eastAsia="en-US"/>
    </w:rPr>
  </w:style>
  <w:style w:type="character" w:customStyle="1" w:styleId="SCCLsocPrefixChar">
    <w:name w:val="SCC.Lsoc.Prefix Char"/>
    <w:basedOn w:val="DefaultParagraphFont"/>
    <w:link w:val="SCCLsocPrefix"/>
    <w:rsid w:val="00096262"/>
    <w:rPr>
      <w:rFonts w:ascii="Times New Roman" w:hAnsi="Times New Roman"/>
      <w:b/>
      <w:smallCaps/>
      <w:sz w:val="24"/>
      <w:szCs w:val="24"/>
      <w:lang w:val="en-CA"/>
    </w:rPr>
  </w:style>
  <w:style w:type="paragraph" w:customStyle="1" w:styleId="SCCRespondentForIndex">
    <w:name w:val="SCC.RespondentForIndex"/>
    <w:basedOn w:val="Normal"/>
    <w:next w:val="Normal"/>
    <w:link w:val="SCCRespondentForIndexChar"/>
    <w:rsid w:val="00096262"/>
    <w:rPr>
      <w:b/>
    </w:rPr>
  </w:style>
  <w:style w:type="character" w:customStyle="1" w:styleId="SCCRespondentForIndexChar">
    <w:name w:val="SCC.RespondentForIndex Char"/>
    <w:basedOn w:val="DefaultParagraphFont"/>
    <w:link w:val="SCCRespondentForIndex"/>
    <w:rsid w:val="00096262"/>
    <w:rPr>
      <w:rFonts w:ascii="Times New Roman" w:eastAsia="Times New Roman" w:hAnsi="Times New Roman" w:cs="Times New Roman"/>
      <w:b/>
      <w:sz w:val="24"/>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1EE7-0957-4823-93A4-25D20FDC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2011-12-13T18:42:00Z</dcterms:created>
  <dcterms:modified xsi:type="dcterms:W3CDTF">2012-03-06T18:48:00Z</dcterms:modified>
</cp:coreProperties>
</file>