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9C" w:rsidRPr="009D7B9C" w:rsidRDefault="009D7B9C" w:rsidP="009D7B9C">
      <w:pPr>
        <w:tabs>
          <w:tab w:val="center" w:pos="4680"/>
          <w:tab w:val="right" w:pos="9360"/>
        </w:tabs>
        <w:jc w:val="center"/>
        <w:rPr>
          <w:rFonts w:ascii="Times New Roman" w:hAnsi="Times New Roman" w:cs="Times New Roman"/>
          <w:sz w:val="24"/>
          <w:szCs w:val="24"/>
          <w:lang w:val="en-CA"/>
        </w:rPr>
      </w:pPr>
      <w:r w:rsidRPr="009D7B9C">
        <w:rPr>
          <w:rFonts w:ascii="Times New Roman" w:hAnsi="Times New Roman" w:cs="Times New Roman"/>
          <w:sz w:val="24"/>
          <w:szCs w:val="24"/>
          <w:lang w:val="en-CA"/>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8397732" r:id="rId9"/>
        </w:object>
      </w:r>
    </w:p>
    <w:p w:rsidR="009D7B9C" w:rsidRPr="009D7B9C" w:rsidRDefault="009D7B9C" w:rsidP="009D7B9C">
      <w:pPr>
        <w:jc w:val="center"/>
        <w:rPr>
          <w:rFonts w:ascii="Times New Roman" w:hAnsi="Times New Roman" w:cs="Times New Roman"/>
          <w:b/>
          <w:sz w:val="24"/>
          <w:szCs w:val="24"/>
          <w:lang w:val="en-CA"/>
        </w:rPr>
      </w:pPr>
      <w:r w:rsidRPr="009D7B9C">
        <w:rPr>
          <w:rFonts w:ascii="Times New Roman" w:hAnsi="Times New Roman" w:cs="Times New Roman"/>
          <w:b/>
          <w:sz w:val="24"/>
          <w:szCs w:val="24"/>
          <w:lang w:val="en-CA"/>
        </w:rPr>
        <w:t>SUPREME COURT OF CANADA</w:t>
      </w: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D7B9C" w:rsidRPr="009D7B9C" w:rsidTr="00070D1C">
        <w:trPr>
          <w:cantSplit/>
        </w:trPr>
        <w:tc>
          <w:tcPr>
            <w:tcW w:w="6768" w:type="dxa"/>
          </w:tcPr>
          <w:p w:rsidR="009D7B9C" w:rsidRPr="009D7B9C" w:rsidRDefault="009D7B9C" w:rsidP="00070D1C">
            <w:pPr>
              <w:rPr>
                <w:rFonts w:ascii="Times New Roman" w:hAnsi="Times New Roman" w:cs="Times New Roman"/>
                <w:sz w:val="24"/>
                <w:szCs w:val="24"/>
                <w:lang w:val="en-CA"/>
              </w:rPr>
            </w:pPr>
            <w:r w:rsidRPr="009D7B9C">
              <w:rPr>
                <w:rFonts w:ascii="Times New Roman" w:hAnsi="Times New Roman" w:cs="Times New Roman"/>
                <w:b/>
                <w:smallCaps/>
                <w:sz w:val="24"/>
                <w:szCs w:val="24"/>
                <w:lang w:val="en-CA"/>
              </w:rPr>
              <w:t>Citation:</w:t>
            </w:r>
            <w:r w:rsidRPr="009D7B9C">
              <w:rPr>
                <w:rFonts w:ascii="Times New Roman" w:hAnsi="Times New Roman" w:cs="Times New Roman"/>
                <w:sz w:val="24"/>
                <w:szCs w:val="24"/>
                <w:lang w:val="en-CA"/>
              </w:rPr>
              <w:t xml:space="preserve"> </w:t>
            </w:r>
            <w:r w:rsidRPr="009D7B9C">
              <w:rPr>
                <w:rFonts w:ascii="Times New Roman" w:hAnsi="Times New Roman" w:cs="Times New Roman"/>
                <w:sz w:val="24"/>
                <w:szCs w:val="24"/>
                <w:lang w:val="en-CA" w:eastAsia="en-CA"/>
              </w:rPr>
              <w:t>R.</w:t>
            </w:r>
            <w:r w:rsidRPr="009D7B9C">
              <w:rPr>
                <w:rFonts w:ascii="Times New Roman" w:hAnsi="Times New Roman" w:cs="Times New Roman"/>
                <w:sz w:val="24"/>
                <w:szCs w:val="24"/>
                <w:lang w:val="en-CA"/>
              </w:rPr>
              <w:t xml:space="preserve"> </w:t>
            </w:r>
            <w:r w:rsidRPr="009D7B9C">
              <w:rPr>
                <w:rFonts w:ascii="Times New Roman" w:hAnsi="Times New Roman" w:cs="Times New Roman"/>
                <w:i/>
                <w:sz w:val="24"/>
                <w:szCs w:val="24"/>
                <w:lang w:val="en-CA"/>
              </w:rPr>
              <w:t>v.</w:t>
            </w:r>
            <w:r w:rsidRPr="009D7B9C">
              <w:rPr>
                <w:rFonts w:ascii="Times New Roman" w:hAnsi="Times New Roman" w:cs="Times New Roman"/>
                <w:sz w:val="24"/>
                <w:szCs w:val="24"/>
                <w:lang w:val="en-CA"/>
              </w:rPr>
              <w:t xml:space="preserve"> </w:t>
            </w:r>
            <w:proofErr w:type="spellStart"/>
            <w:r w:rsidRPr="009D7B9C">
              <w:rPr>
                <w:rFonts w:ascii="Times New Roman" w:hAnsi="Times New Roman" w:cs="Times New Roman"/>
                <w:sz w:val="24"/>
                <w:szCs w:val="24"/>
                <w:lang w:val="en-CA" w:eastAsia="en-CA"/>
              </w:rPr>
              <w:t>Topp</w:t>
            </w:r>
            <w:proofErr w:type="spellEnd"/>
            <w:r w:rsidRPr="009D7B9C">
              <w:rPr>
                <w:rFonts w:ascii="Times New Roman" w:hAnsi="Times New Roman" w:cs="Times New Roman"/>
                <w:sz w:val="24"/>
                <w:szCs w:val="24"/>
                <w:lang w:val="en-CA" w:eastAsia="en-CA"/>
              </w:rPr>
              <w:t>, 2011 SCC 43</w:t>
            </w:r>
            <w:r w:rsidRPr="009D7B9C">
              <w:rPr>
                <w:rStyle w:val="SCCRespondentForRunningHeadChar"/>
                <w:rFonts w:ascii="Times New Roman" w:hAnsi="Times New Roman" w:cs="Times New Roman"/>
                <w:szCs w:val="24"/>
                <w:lang w:val="en-CA"/>
              </w:rPr>
              <w:t>, [2011] 3 S.C.R. 119</w:t>
            </w:r>
          </w:p>
        </w:tc>
        <w:tc>
          <w:tcPr>
            <w:tcW w:w="2808" w:type="dxa"/>
          </w:tcPr>
          <w:p w:rsidR="009D7B9C" w:rsidRPr="009D7B9C" w:rsidRDefault="009D7B9C" w:rsidP="00070D1C">
            <w:pPr>
              <w:rPr>
                <w:rFonts w:ascii="Times New Roman" w:hAnsi="Times New Roman" w:cs="Times New Roman"/>
                <w:sz w:val="24"/>
                <w:szCs w:val="24"/>
                <w:lang w:val="en-CA"/>
              </w:rPr>
            </w:pPr>
            <w:r w:rsidRPr="009D7B9C">
              <w:rPr>
                <w:rFonts w:ascii="Times New Roman" w:hAnsi="Times New Roman" w:cs="Times New Roman"/>
                <w:b/>
                <w:smallCaps/>
                <w:sz w:val="24"/>
                <w:szCs w:val="24"/>
                <w:lang w:val="en-CA"/>
              </w:rPr>
              <w:t>Date:</w:t>
            </w:r>
            <w:r w:rsidRPr="009D7B9C">
              <w:rPr>
                <w:rFonts w:ascii="Times New Roman" w:hAnsi="Times New Roman" w:cs="Times New Roman"/>
                <w:sz w:val="24"/>
                <w:szCs w:val="24"/>
                <w:lang w:val="en-CA"/>
              </w:rPr>
              <w:t xml:space="preserve"> 20110923</w:t>
            </w:r>
          </w:p>
          <w:p w:rsidR="009D7B9C" w:rsidRPr="009D7B9C" w:rsidRDefault="009D7B9C" w:rsidP="00070D1C">
            <w:pPr>
              <w:rPr>
                <w:rFonts w:ascii="Times New Roman" w:hAnsi="Times New Roman" w:cs="Times New Roman"/>
                <w:sz w:val="24"/>
                <w:szCs w:val="24"/>
                <w:lang w:val="en-CA"/>
              </w:rPr>
            </w:pPr>
            <w:r w:rsidRPr="009D7B9C">
              <w:rPr>
                <w:rFonts w:ascii="Times New Roman" w:hAnsi="Times New Roman" w:cs="Times New Roman"/>
                <w:b/>
                <w:smallCaps/>
                <w:sz w:val="24"/>
                <w:szCs w:val="24"/>
                <w:lang w:val="en-CA"/>
              </w:rPr>
              <w:t>Docket:</w:t>
            </w:r>
            <w:r w:rsidRPr="009D7B9C">
              <w:rPr>
                <w:rFonts w:ascii="Times New Roman" w:hAnsi="Times New Roman" w:cs="Times New Roman"/>
                <w:sz w:val="24"/>
                <w:szCs w:val="24"/>
                <w:lang w:val="en-CA"/>
              </w:rPr>
              <w:t xml:space="preserve"> 33529</w:t>
            </w:r>
          </w:p>
        </w:tc>
      </w:tr>
    </w:tbl>
    <w:p w:rsidR="009D7B9C" w:rsidRPr="009D7B9C" w:rsidRDefault="009D7B9C" w:rsidP="009D7B9C">
      <w:pPr>
        <w:rPr>
          <w:rFonts w:ascii="Times New Roman" w:hAnsi="Times New Roman" w:cs="Times New Roman"/>
          <w:b/>
          <w:smallCaps/>
          <w:sz w:val="24"/>
          <w:szCs w:val="24"/>
          <w:lang w:val="en-CA"/>
        </w:rPr>
      </w:pPr>
      <w:r w:rsidRPr="009D7B9C">
        <w:rPr>
          <w:rFonts w:ascii="Times New Roman" w:hAnsi="Times New Roman" w:cs="Times New Roman"/>
          <w:b/>
          <w:smallCaps/>
          <w:sz w:val="24"/>
          <w:szCs w:val="24"/>
          <w:lang w:val="en-CA"/>
        </w:rPr>
        <w:t>Between:</w:t>
      </w:r>
    </w:p>
    <w:p w:rsidR="009D7B9C" w:rsidRPr="009D7B9C" w:rsidRDefault="009D7B9C" w:rsidP="009D7B9C">
      <w:pPr>
        <w:jc w:val="center"/>
        <w:rPr>
          <w:rFonts w:ascii="Times New Roman" w:hAnsi="Times New Roman" w:cs="Times New Roman"/>
          <w:b/>
          <w:sz w:val="24"/>
          <w:szCs w:val="24"/>
          <w:lang w:val="en-CA"/>
        </w:rPr>
      </w:pPr>
      <w:r w:rsidRPr="009D7B9C">
        <w:rPr>
          <w:rFonts w:ascii="Times New Roman" w:hAnsi="Times New Roman" w:cs="Times New Roman"/>
          <w:b/>
          <w:sz w:val="24"/>
          <w:szCs w:val="24"/>
          <w:lang w:val="en-CA"/>
        </w:rPr>
        <w:t xml:space="preserve">Her Majesty </w:t>
      </w:r>
      <w:proofErr w:type="gramStart"/>
      <w:r w:rsidRPr="009D7B9C">
        <w:rPr>
          <w:rFonts w:ascii="Times New Roman" w:hAnsi="Times New Roman" w:cs="Times New Roman"/>
          <w:b/>
          <w:sz w:val="24"/>
          <w:szCs w:val="24"/>
          <w:lang w:val="en-CA"/>
        </w:rPr>
        <w:t>The</w:t>
      </w:r>
      <w:proofErr w:type="gramEnd"/>
      <w:r w:rsidRPr="009D7B9C">
        <w:rPr>
          <w:rFonts w:ascii="Times New Roman" w:hAnsi="Times New Roman" w:cs="Times New Roman"/>
          <w:b/>
          <w:sz w:val="24"/>
          <w:szCs w:val="24"/>
          <w:lang w:val="en-CA"/>
        </w:rPr>
        <w:t xml:space="preserve"> Queen</w:t>
      </w:r>
    </w:p>
    <w:p w:rsidR="009D7B9C" w:rsidRPr="009D7B9C" w:rsidRDefault="009D7B9C" w:rsidP="009D7B9C">
      <w:pPr>
        <w:jc w:val="center"/>
        <w:rPr>
          <w:rFonts w:ascii="Times New Roman" w:hAnsi="Times New Roman" w:cs="Times New Roman"/>
          <w:sz w:val="24"/>
          <w:szCs w:val="24"/>
          <w:lang w:val="en-CA"/>
        </w:rPr>
      </w:pPr>
      <w:r w:rsidRPr="009D7B9C">
        <w:rPr>
          <w:rFonts w:ascii="Times New Roman" w:hAnsi="Times New Roman" w:cs="Times New Roman"/>
          <w:sz w:val="24"/>
          <w:szCs w:val="24"/>
          <w:lang w:val="en-CA"/>
        </w:rPr>
        <w:t>Appellant</w:t>
      </w:r>
    </w:p>
    <w:p w:rsidR="009D7B9C" w:rsidRPr="009D7B9C" w:rsidRDefault="009D7B9C" w:rsidP="009D7B9C">
      <w:pPr>
        <w:jc w:val="center"/>
        <w:rPr>
          <w:rFonts w:ascii="Times New Roman" w:hAnsi="Times New Roman" w:cs="Times New Roman"/>
          <w:sz w:val="24"/>
          <w:szCs w:val="24"/>
          <w:lang w:val="en-CA"/>
        </w:rPr>
      </w:pPr>
      <w:proofErr w:type="gramStart"/>
      <w:r w:rsidRPr="009D7B9C">
        <w:rPr>
          <w:rFonts w:ascii="Times New Roman" w:hAnsi="Times New Roman" w:cs="Times New Roman"/>
          <w:sz w:val="24"/>
          <w:szCs w:val="24"/>
          <w:lang w:val="en-CA"/>
        </w:rPr>
        <w:t>and</w:t>
      </w:r>
      <w:proofErr w:type="gramEnd"/>
    </w:p>
    <w:p w:rsidR="009D7B9C" w:rsidRPr="009D7B9C" w:rsidRDefault="009D7B9C" w:rsidP="009D7B9C">
      <w:pPr>
        <w:jc w:val="center"/>
        <w:rPr>
          <w:rFonts w:ascii="Times New Roman" w:hAnsi="Times New Roman" w:cs="Times New Roman"/>
          <w:b/>
          <w:sz w:val="24"/>
          <w:szCs w:val="24"/>
          <w:lang w:val="en-CA"/>
        </w:rPr>
      </w:pPr>
      <w:r w:rsidRPr="009D7B9C">
        <w:rPr>
          <w:rFonts w:ascii="Times New Roman" w:hAnsi="Times New Roman" w:cs="Times New Roman"/>
          <w:b/>
          <w:sz w:val="24"/>
          <w:szCs w:val="24"/>
          <w:lang w:val="en-CA"/>
        </w:rPr>
        <w:t xml:space="preserve">John Phillip </w:t>
      </w:r>
      <w:proofErr w:type="spellStart"/>
      <w:r w:rsidRPr="009D7B9C">
        <w:rPr>
          <w:rFonts w:ascii="Times New Roman" w:hAnsi="Times New Roman" w:cs="Times New Roman"/>
          <w:b/>
          <w:sz w:val="24"/>
          <w:szCs w:val="24"/>
          <w:lang w:val="en-CA"/>
        </w:rPr>
        <w:t>Topp</w:t>
      </w:r>
      <w:proofErr w:type="spellEnd"/>
    </w:p>
    <w:p w:rsidR="009D7B9C" w:rsidRPr="009D7B9C" w:rsidRDefault="009D7B9C" w:rsidP="009D7B9C">
      <w:pPr>
        <w:jc w:val="center"/>
        <w:rPr>
          <w:rFonts w:ascii="Times New Roman" w:hAnsi="Times New Roman" w:cs="Times New Roman"/>
          <w:sz w:val="24"/>
          <w:szCs w:val="24"/>
          <w:lang w:val="en-CA"/>
        </w:rPr>
      </w:pPr>
      <w:r w:rsidRPr="009D7B9C">
        <w:rPr>
          <w:rFonts w:ascii="Times New Roman" w:hAnsi="Times New Roman" w:cs="Times New Roman"/>
          <w:sz w:val="24"/>
          <w:szCs w:val="24"/>
          <w:lang w:val="en-CA"/>
        </w:rPr>
        <w:t>Respondent</w:t>
      </w:r>
    </w:p>
    <w:p w:rsidR="009D7B9C" w:rsidRPr="009D7B9C" w:rsidRDefault="009D7B9C" w:rsidP="009D7B9C">
      <w:pPr>
        <w:jc w:val="center"/>
        <w:rPr>
          <w:rFonts w:ascii="Times New Roman" w:hAnsi="Times New Roman" w:cs="Times New Roman"/>
          <w:sz w:val="24"/>
          <w:szCs w:val="24"/>
          <w:lang w:val="en-CA"/>
        </w:rPr>
      </w:pPr>
      <w:r w:rsidRPr="009D7B9C">
        <w:rPr>
          <w:rFonts w:ascii="Times New Roman" w:hAnsi="Times New Roman" w:cs="Times New Roman"/>
          <w:sz w:val="24"/>
          <w:szCs w:val="24"/>
          <w:lang w:val="en-CA"/>
        </w:rPr>
        <w:t xml:space="preserve">- </w:t>
      </w:r>
      <w:proofErr w:type="gramStart"/>
      <w:r w:rsidRPr="009D7B9C">
        <w:rPr>
          <w:rFonts w:ascii="Times New Roman" w:hAnsi="Times New Roman" w:cs="Times New Roman"/>
          <w:sz w:val="24"/>
          <w:szCs w:val="24"/>
          <w:lang w:val="en-CA"/>
        </w:rPr>
        <w:t>and</w:t>
      </w:r>
      <w:proofErr w:type="gramEnd"/>
      <w:r w:rsidRPr="009D7B9C">
        <w:rPr>
          <w:rFonts w:ascii="Times New Roman" w:hAnsi="Times New Roman" w:cs="Times New Roman"/>
          <w:sz w:val="24"/>
          <w:szCs w:val="24"/>
          <w:lang w:val="en-CA"/>
        </w:rPr>
        <w:t xml:space="preserve"> -</w:t>
      </w:r>
    </w:p>
    <w:p w:rsidR="009D7B9C" w:rsidRPr="009D7B9C" w:rsidRDefault="009D7B9C" w:rsidP="009D7B9C">
      <w:pPr>
        <w:jc w:val="center"/>
        <w:rPr>
          <w:rFonts w:ascii="Times New Roman" w:hAnsi="Times New Roman" w:cs="Times New Roman"/>
          <w:b/>
          <w:sz w:val="24"/>
          <w:szCs w:val="24"/>
          <w:lang w:val="en-CA"/>
        </w:rPr>
      </w:pPr>
      <w:r w:rsidRPr="009D7B9C">
        <w:rPr>
          <w:rFonts w:ascii="Times New Roman" w:hAnsi="Times New Roman" w:cs="Times New Roman"/>
          <w:b/>
          <w:sz w:val="24"/>
          <w:szCs w:val="24"/>
          <w:lang w:val="en-CA"/>
        </w:rPr>
        <w:t>Attorney General of Alberta</w:t>
      </w:r>
    </w:p>
    <w:p w:rsidR="009D7B9C" w:rsidRPr="009D7B9C" w:rsidRDefault="009D7B9C" w:rsidP="009D7B9C">
      <w:pPr>
        <w:jc w:val="center"/>
        <w:rPr>
          <w:rFonts w:ascii="Times New Roman" w:hAnsi="Times New Roman" w:cs="Times New Roman"/>
          <w:sz w:val="24"/>
          <w:szCs w:val="24"/>
          <w:lang w:val="en-CA"/>
        </w:rPr>
      </w:pPr>
      <w:r w:rsidRPr="009D7B9C">
        <w:rPr>
          <w:rFonts w:ascii="Times New Roman" w:hAnsi="Times New Roman" w:cs="Times New Roman"/>
          <w:sz w:val="24"/>
          <w:szCs w:val="24"/>
          <w:lang w:val="en-CA"/>
        </w:rPr>
        <w:t>Intervener</w:t>
      </w:r>
    </w:p>
    <w:p w:rsidR="009D7B9C" w:rsidRPr="009D7B9C" w:rsidRDefault="009D7B9C" w:rsidP="009D7B9C">
      <w:pPr>
        <w:rPr>
          <w:rFonts w:ascii="Times New Roman" w:hAnsi="Times New Roman" w:cs="Times New Roman"/>
          <w:sz w:val="24"/>
          <w:szCs w:val="24"/>
          <w:lang w:val="en-CA"/>
        </w:rPr>
      </w:pPr>
      <w:r w:rsidRPr="009D7B9C">
        <w:rPr>
          <w:rFonts w:ascii="Times New Roman" w:hAnsi="Times New Roman" w:cs="Times New Roman"/>
          <w:b/>
          <w:smallCaps/>
          <w:sz w:val="24"/>
          <w:szCs w:val="24"/>
          <w:lang w:val="en-CA"/>
        </w:rPr>
        <w:t>Coram:</w:t>
      </w:r>
      <w:r w:rsidRPr="009D7B9C">
        <w:rPr>
          <w:rFonts w:ascii="Times New Roman" w:hAnsi="Times New Roman" w:cs="Times New Roman"/>
          <w:sz w:val="24"/>
          <w:szCs w:val="24"/>
          <w:lang w:val="en-CA"/>
        </w:rPr>
        <w:t xml:space="preserve"> </w:t>
      </w:r>
      <w:proofErr w:type="spellStart"/>
      <w:r w:rsidRPr="009D7B9C">
        <w:rPr>
          <w:rFonts w:ascii="Times New Roman" w:hAnsi="Times New Roman" w:cs="Times New Roman"/>
          <w:sz w:val="24"/>
          <w:szCs w:val="24"/>
          <w:lang w:val="en-CA"/>
        </w:rPr>
        <w:t>McLachlin</w:t>
      </w:r>
      <w:proofErr w:type="spellEnd"/>
      <w:r w:rsidRPr="009D7B9C">
        <w:rPr>
          <w:rFonts w:ascii="Times New Roman" w:hAnsi="Times New Roman" w:cs="Times New Roman"/>
          <w:sz w:val="24"/>
          <w:szCs w:val="24"/>
          <w:lang w:val="en-CA"/>
        </w:rPr>
        <w:t xml:space="preserve"> C.J. and </w:t>
      </w:r>
      <w:proofErr w:type="spellStart"/>
      <w:r w:rsidRPr="009D7B9C">
        <w:rPr>
          <w:rFonts w:ascii="Times New Roman" w:hAnsi="Times New Roman" w:cs="Times New Roman"/>
          <w:sz w:val="24"/>
          <w:szCs w:val="24"/>
          <w:lang w:val="en-CA"/>
        </w:rPr>
        <w:t>Binnie</w:t>
      </w:r>
      <w:proofErr w:type="spellEnd"/>
      <w:r w:rsidRPr="009D7B9C">
        <w:rPr>
          <w:rFonts w:ascii="Times New Roman" w:hAnsi="Times New Roman" w:cs="Times New Roman"/>
          <w:sz w:val="24"/>
          <w:szCs w:val="24"/>
          <w:lang w:val="en-CA"/>
        </w:rPr>
        <w:t xml:space="preserve">, </w:t>
      </w:r>
      <w:proofErr w:type="spellStart"/>
      <w:r w:rsidRPr="009D7B9C">
        <w:rPr>
          <w:rFonts w:ascii="Times New Roman" w:hAnsi="Times New Roman" w:cs="Times New Roman"/>
          <w:sz w:val="24"/>
          <w:szCs w:val="24"/>
          <w:lang w:val="en-CA"/>
        </w:rPr>
        <w:t>LeBel</w:t>
      </w:r>
      <w:proofErr w:type="spellEnd"/>
      <w:r w:rsidRPr="009D7B9C">
        <w:rPr>
          <w:rFonts w:ascii="Times New Roman" w:hAnsi="Times New Roman" w:cs="Times New Roman"/>
          <w:sz w:val="24"/>
          <w:szCs w:val="24"/>
          <w:lang w:val="en-CA"/>
        </w:rPr>
        <w:t xml:space="preserve">, </w:t>
      </w:r>
      <w:proofErr w:type="spellStart"/>
      <w:r w:rsidRPr="009D7B9C">
        <w:rPr>
          <w:rFonts w:ascii="Times New Roman" w:hAnsi="Times New Roman" w:cs="Times New Roman"/>
          <w:sz w:val="24"/>
          <w:szCs w:val="24"/>
          <w:lang w:val="en-CA"/>
        </w:rPr>
        <w:t>Deschamps</w:t>
      </w:r>
      <w:proofErr w:type="spellEnd"/>
      <w:r w:rsidRPr="009D7B9C">
        <w:rPr>
          <w:rFonts w:ascii="Times New Roman" w:hAnsi="Times New Roman" w:cs="Times New Roman"/>
          <w:sz w:val="24"/>
          <w:szCs w:val="24"/>
          <w:lang w:val="en-CA"/>
        </w:rPr>
        <w:t xml:space="preserve">, Fish, </w:t>
      </w:r>
      <w:proofErr w:type="spellStart"/>
      <w:r w:rsidRPr="009D7B9C">
        <w:rPr>
          <w:rFonts w:ascii="Times New Roman" w:hAnsi="Times New Roman" w:cs="Times New Roman"/>
          <w:sz w:val="24"/>
          <w:szCs w:val="24"/>
          <w:lang w:val="en-CA"/>
        </w:rPr>
        <w:t>Abella</w:t>
      </w:r>
      <w:proofErr w:type="spellEnd"/>
      <w:r w:rsidRPr="009D7B9C">
        <w:rPr>
          <w:rFonts w:ascii="Times New Roman" w:hAnsi="Times New Roman" w:cs="Times New Roman"/>
          <w:sz w:val="24"/>
          <w:szCs w:val="24"/>
          <w:lang w:val="en-CA"/>
        </w:rPr>
        <w:t xml:space="preserve">, </w:t>
      </w:r>
      <w:proofErr w:type="spellStart"/>
      <w:r w:rsidRPr="009D7B9C">
        <w:rPr>
          <w:rFonts w:ascii="Times New Roman" w:hAnsi="Times New Roman" w:cs="Times New Roman"/>
          <w:sz w:val="24"/>
          <w:szCs w:val="24"/>
          <w:lang w:val="en-CA"/>
        </w:rPr>
        <w:t>Charron</w:t>
      </w:r>
      <w:proofErr w:type="spellEnd"/>
      <w:r w:rsidRPr="009D7B9C">
        <w:rPr>
          <w:rFonts w:ascii="Times New Roman" w:hAnsi="Times New Roman" w:cs="Times New Roman"/>
          <w:sz w:val="24"/>
          <w:szCs w:val="24"/>
          <w:lang w:val="en-CA"/>
        </w:rPr>
        <w:t>, Rothstein and Cromwell JJ.</w:t>
      </w: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D7B9C" w:rsidRPr="009D7B9C" w:rsidTr="009D7B9C">
        <w:trPr>
          <w:cantSplit/>
        </w:trPr>
        <w:tc>
          <w:tcPr>
            <w:tcW w:w="3618" w:type="dxa"/>
          </w:tcPr>
          <w:p w:rsidR="009D7B9C" w:rsidRPr="009D7B9C" w:rsidRDefault="009D7B9C" w:rsidP="00070D1C">
            <w:pPr>
              <w:rPr>
                <w:rFonts w:ascii="Times New Roman" w:hAnsi="Times New Roman" w:cs="Times New Roman"/>
                <w:b/>
                <w:smallCaps/>
                <w:sz w:val="24"/>
                <w:szCs w:val="24"/>
                <w:lang w:val="en-CA"/>
              </w:rPr>
            </w:pPr>
            <w:r w:rsidRPr="009D7B9C">
              <w:rPr>
                <w:rFonts w:ascii="Times New Roman" w:hAnsi="Times New Roman" w:cs="Times New Roman"/>
                <w:b/>
                <w:smallCaps/>
                <w:sz w:val="24"/>
                <w:szCs w:val="24"/>
                <w:lang w:val="en-CA"/>
              </w:rPr>
              <w:t>Reasons for Judgment:</w:t>
            </w:r>
          </w:p>
          <w:p w:rsidR="009D7B9C" w:rsidRPr="009D7B9C" w:rsidRDefault="009D7B9C" w:rsidP="00070D1C">
            <w:pPr>
              <w:rPr>
                <w:rFonts w:ascii="Times New Roman" w:hAnsi="Times New Roman" w:cs="Times New Roman"/>
                <w:sz w:val="24"/>
                <w:szCs w:val="24"/>
                <w:lang w:val="en-CA"/>
              </w:rPr>
            </w:pPr>
            <w:r w:rsidRPr="009D7B9C">
              <w:rPr>
                <w:rFonts w:ascii="Times New Roman" w:hAnsi="Times New Roman" w:cs="Times New Roman"/>
                <w:sz w:val="24"/>
                <w:szCs w:val="24"/>
                <w:lang w:val="en-CA"/>
              </w:rPr>
              <w:t>(</w:t>
            </w:r>
            <w:proofErr w:type="spellStart"/>
            <w:r w:rsidRPr="009D7B9C">
              <w:rPr>
                <w:rFonts w:ascii="Times New Roman" w:hAnsi="Times New Roman" w:cs="Times New Roman"/>
                <w:sz w:val="24"/>
                <w:szCs w:val="24"/>
                <w:lang w:val="en-CA"/>
              </w:rPr>
              <w:t>paras</w:t>
            </w:r>
            <w:proofErr w:type="spellEnd"/>
            <w:r w:rsidRPr="009D7B9C">
              <w:rPr>
                <w:rFonts w:ascii="Times New Roman" w:hAnsi="Times New Roman" w:cs="Times New Roman"/>
                <w:sz w:val="24"/>
                <w:szCs w:val="24"/>
                <w:lang w:val="en-CA"/>
              </w:rPr>
              <w:t>. 1 to 44)</w:t>
            </w:r>
          </w:p>
        </w:tc>
        <w:tc>
          <w:tcPr>
            <w:tcW w:w="5958" w:type="dxa"/>
          </w:tcPr>
          <w:p w:rsidR="009D7B9C" w:rsidRPr="009D7B9C" w:rsidRDefault="009D7B9C" w:rsidP="00070D1C">
            <w:pPr>
              <w:rPr>
                <w:rFonts w:ascii="Times New Roman" w:hAnsi="Times New Roman" w:cs="Times New Roman"/>
                <w:sz w:val="24"/>
                <w:szCs w:val="24"/>
                <w:lang w:val="en-CA"/>
              </w:rPr>
            </w:pPr>
            <w:r w:rsidRPr="009D7B9C">
              <w:rPr>
                <w:rFonts w:ascii="Times New Roman" w:hAnsi="Times New Roman" w:cs="Times New Roman"/>
                <w:sz w:val="24"/>
                <w:szCs w:val="24"/>
                <w:lang w:val="en-CA"/>
              </w:rPr>
              <w:t>Fish J. (</w:t>
            </w:r>
            <w:proofErr w:type="spellStart"/>
            <w:r w:rsidRPr="009D7B9C">
              <w:rPr>
                <w:rFonts w:ascii="Times New Roman" w:hAnsi="Times New Roman" w:cs="Times New Roman"/>
                <w:sz w:val="24"/>
                <w:szCs w:val="24"/>
                <w:lang w:val="en-CA"/>
              </w:rPr>
              <w:t>McLachlin</w:t>
            </w:r>
            <w:proofErr w:type="spellEnd"/>
            <w:r w:rsidRPr="009D7B9C">
              <w:rPr>
                <w:rFonts w:ascii="Times New Roman" w:hAnsi="Times New Roman" w:cs="Times New Roman"/>
                <w:sz w:val="24"/>
                <w:szCs w:val="24"/>
                <w:lang w:val="en-CA"/>
              </w:rPr>
              <w:t xml:space="preserve"> C.J. and </w:t>
            </w:r>
            <w:proofErr w:type="spellStart"/>
            <w:r w:rsidRPr="009D7B9C">
              <w:rPr>
                <w:rFonts w:ascii="Times New Roman" w:hAnsi="Times New Roman" w:cs="Times New Roman"/>
                <w:sz w:val="24"/>
                <w:szCs w:val="24"/>
                <w:lang w:val="en-CA"/>
              </w:rPr>
              <w:t>Binnie</w:t>
            </w:r>
            <w:proofErr w:type="spellEnd"/>
            <w:r w:rsidRPr="009D7B9C">
              <w:rPr>
                <w:rFonts w:ascii="Times New Roman" w:hAnsi="Times New Roman" w:cs="Times New Roman"/>
                <w:sz w:val="24"/>
                <w:szCs w:val="24"/>
                <w:lang w:val="en-CA"/>
              </w:rPr>
              <w:t xml:space="preserve">, </w:t>
            </w:r>
            <w:proofErr w:type="spellStart"/>
            <w:r w:rsidRPr="009D7B9C">
              <w:rPr>
                <w:rFonts w:ascii="Times New Roman" w:hAnsi="Times New Roman" w:cs="Times New Roman"/>
                <w:sz w:val="24"/>
                <w:szCs w:val="24"/>
                <w:lang w:val="en-CA"/>
              </w:rPr>
              <w:t>LeBel</w:t>
            </w:r>
            <w:proofErr w:type="spellEnd"/>
            <w:r w:rsidRPr="009D7B9C">
              <w:rPr>
                <w:rFonts w:ascii="Times New Roman" w:hAnsi="Times New Roman" w:cs="Times New Roman"/>
                <w:sz w:val="24"/>
                <w:szCs w:val="24"/>
                <w:lang w:val="en-CA"/>
              </w:rPr>
              <w:t xml:space="preserve">, </w:t>
            </w:r>
            <w:proofErr w:type="spellStart"/>
            <w:r w:rsidRPr="009D7B9C">
              <w:rPr>
                <w:rFonts w:ascii="Times New Roman" w:hAnsi="Times New Roman" w:cs="Times New Roman"/>
                <w:sz w:val="24"/>
                <w:szCs w:val="24"/>
                <w:lang w:val="en-CA"/>
              </w:rPr>
              <w:t>Deschamps</w:t>
            </w:r>
            <w:proofErr w:type="spellEnd"/>
            <w:r w:rsidRPr="009D7B9C">
              <w:rPr>
                <w:rFonts w:ascii="Times New Roman" w:hAnsi="Times New Roman" w:cs="Times New Roman"/>
                <w:sz w:val="24"/>
                <w:szCs w:val="24"/>
                <w:lang w:val="en-CA"/>
              </w:rPr>
              <w:t xml:space="preserve">, </w:t>
            </w:r>
            <w:proofErr w:type="spellStart"/>
            <w:r w:rsidRPr="009D7B9C">
              <w:rPr>
                <w:rFonts w:ascii="Times New Roman" w:hAnsi="Times New Roman" w:cs="Times New Roman"/>
                <w:sz w:val="24"/>
                <w:szCs w:val="24"/>
                <w:lang w:val="en-CA"/>
              </w:rPr>
              <w:t>Abella</w:t>
            </w:r>
            <w:proofErr w:type="spellEnd"/>
            <w:r w:rsidRPr="009D7B9C">
              <w:rPr>
                <w:rFonts w:ascii="Times New Roman" w:hAnsi="Times New Roman" w:cs="Times New Roman"/>
                <w:sz w:val="24"/>
                <w:szCs w:val="24"/>
                <w:lang w:val="en-CA"/>
              </w:rPr>
              <w:t xml:space="preserve">, </w:t>
            </w:r>
            <w:proofErr w:type="spellStart"/>
            <w:r w:rsidRPr="009D7B9C">
              <w:rPr>
                <w:rFonts w:ascii="Times New Roman" w:hAnsi="Times New Roman" w:cs="Times New Roman"/>
                <w:sz w:val="24"/>
                <w:szCs w:val="24"/>
                <w:lang w:val="en-CA"/>
              </w:rPr>
              <w:t>Charron</w:t>
            </w:r>
            <w:proofErr w:type="spellEnd"/>
            <w:r w:rsidRPr="009D7B9C">
              <w:rPr>
                <w:rFonts w:ascii="Times New Roman" w:hAnsi="Times New Roman" w:cs="Times New Roman"/>
                <w:sz w:val="24"/>
                <w:szCs w:val="24"/>
                <w:lang w:val="en-CA"/>
              </w:rPr>
              <w:t>, Rothstein and Cromwell JJ. concurring)</w:t>
            </w:r>
          </w:p>
        </w:tc>
      </w:tr>
    </w:tbl>
    <w:p w:rsidR="009D7B9C" w:rsidRPr="00037CAE" w:rsidRDefault="009D7B9C" w:rsidP="009D7B9C">
      <w:pPr>
        <w:rPr>
          <w:szCs w:val="24"/>
          <w:lang w:val="en-CA"/>
        </w:rPr>
      </w:pPr>
      <w:r w:rsidRPr="00587890">
        <w:rPr>
          <w:noProof/>
          <w:szCs w:val="24"/>
          <w:lang w:val="en-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9D7B9C" w:rsidRPr="00037CAE" w:rsidRDefault="009D7B9C" w:rsidP="009D7B9C">
      <w:pPr>
        <w:rPr>
          <w:rFonts w:eastAsia="Times New Roman" w:cs="Times New Roman"/>
          <w:smallCaps/>
          <w:lang w:val="en-CA" w:eastAsia="en-CA"/>
        </w:rPr>
      </w:pPr>
      <w:r w:rsidRPr="00037CAE">
        <w:rPr>
          <w:rFonts w:eastAsia="Times New Roman" w:cs="Times New Roman"/>
          <w:smallCaps/>
          <w:lang w:val="en-CA" w:eastAsia="en-CA"/>
        </w:rPr>
        <w:br w:type="page"/>
      </w:r>
    </w:p>
    <w:p w:rsidR="00EE1B8D" w:rsidRPr="009D7B9C" w:rsidRDefault="00505915" w:rsidP="00EE1B8D">
      <w:pPr>
        <w:spacing w:after="720"/>
        <w:jc w:val="both"/>
        <w:rPr>
          <w:rStyle w:val="SCCRespondentForRunningHeadChar"/>
          <w:rFonts w:ascii="Times New Roman" w:hAnsi="Times New Roman" w:cs="Times New Roman"/>
          <w:szCs w:val="24"/>
          <w:lang w:val="en-CA"/>
        </w:rPr>
      </w:pPr>
      <w:r w:rsidRPr="009D7B9C">
        <w:rPr>
          <w:rStyle w:val="SCCAppellantForIndexChar"/>
          <w:rFonts w:ascii="Times New Roman" w:hAnsi="Times New Roman" w:cs="Times New Roman"/>
          <w:b w:val="0"/>
          <w:szCs w:val="24"/>
          <w:lang w:val="en-CA"/>
        </w:rPr>
        <w:lastRenderedPageBreak/>
        <w:t>R.</w:t>
      </w:r>
      <w:r w:rsidRPr="009D7B9C">
        <w:rPr>
          <w:rFonts w:ascii="Times New Roman" w:hAnsi="Times New Roman" w:cs="Times New Roman"/>
          <w:sz w:val="24"/>
          <w:szCs w:val="24"/>
          <w:lang w:val="en-CA"/>
        </w:rPr>
        <w:t xml:space="preserve"> </w:t>
      </w:r>
      <w:r w:rsidRPr="009D7B9C">
        <w:rPr>
          <w:rFonts w:ascii="Times New Roman" w:hAnsi="Times New Roman" w:cs="Times New Roman"/>
          <w:i/>
          <w:sz w:val="24"/>
          <w:szCs w:val="24"/>
          <w:lang w:val="en-CA"/>
        </w:rPr>
        <w:t>v.</w:t>
      </w:r>
      <w:r w:rsidRPr="009D7B9C">
        <w:rPr>
          <w:rFonts w:ascii="Times New Roman" w:hAnsi="Times New Roman" w:cs="Times New Roman"/>
          <w:sz w:val="24"/>
          <w:szCs w:val="24"/>
          <w:lang w:val="en-CA"/>
        </w:rPr>
        <w:t xml:space="preserve"> </w:t>
      </w:r>
      <w:proofErr w:type="spellStart"/>
      <w:r w:rsidRPr="009D7B9C">
        <w:rPr>
          <w:rStyle w:val="SCCRespondentForIndexChar"/>
          <w:rFonts w:ascii="Times New Roman" w:hAnsi="Times New Roman" w:cs="Times New Roman"/>
          <w:b w:val="0"/>
          <w:szCs w:val="24"/>
          <w:lang w:val="en-CA"/>
        </w:rPr>
        <w:t>Topp</w:t>
      </w:r>
      <w:proofErr w:type="spellEnd"/>
      <w:r w:rsidRPr="009D7B9C">
        <w:rPr>
          <w:rStyle w:val="SCCRespondentForRunningHeadChar"/>
          <w:rFonts w:ascii="Times New Roman" w:hAnsi="Times New Roman" w:cs="Times New Roman"/>
          <w:szCs w:val="24"/>
          <w:lang w:val="en-CA"/>
        </w:rPr>
        <w:t>, 2011 SCC 43, [2011] 3 S.C.R. 119</w:t>
      </w:r>
    </w:p>
    <w:p w:rsidR="00EE1B8D" w:rsidRPr="009D7B9C" w:rsidRDefault="00EE1B8D" w:rsidP="00EE1B8D">
      <w:pPr>
        <w:pStyle w:val="SCCLsocParty"/>
        <w:tabs>
          <w:tab w:val="right" w:pos="8222"/>
        </w:tabs>
        <w:spacing w:after="720"/>
        <w:rPr>
          <w:rFonts w:ascii="Times New Roman" w:hAnsi="Times New Roman" w:cs="Times New Roman"/>
          <w:b/>
          <w:i/>
          <w:sz w:val="24"/>
          <w:szCs w:val="24"/>
          <w:lang w:val="en-CA"/>
        </w:rPr>
      </w:pPr>
      <w:r w:rsidRPr="009D7B9C">
        <w:rPr>
          <w:rFonts w:ascii="Times New Roman" w:hAnsi="Times New Roman" w:cs="Times New Roman"/>
          <w:b/>
          <w:sz w:val="24"/>
          <w:szCs w:val="24"/>
          <w:lang w:val="en-CA"/>
        </w:rPr>
        <w:t xml:space="preserve">Her Majesty </w:t>
      </w:r>
      <w:proofErr w:type="gramStart"/>
      <w:r w:rsidRPr="009D7B9C">
        <w:rPr>
          <w:rFonts w:ascii="Times New Roman" w:hAnsi="Times New Roman" w:cs="Times New Roman"/>
          <w:b/>
          <w:sz w:val="24"/>
          <w:szCs w:val="24"/>
          <w:lang w:val="en-CA"/>
        </w:rPr>
        <w:t>The</w:t>
      </w:r>
      <w:proofErr w:type="gramEnd"/>
      <w:r w:rsidRPr="009D7B9C">
        <w:rPr>
          <w:rFonts w:ascii="Times New Roman" w:hAnsi="Times New Roman" w:cs="Times New Roman"/>
          <w:b/>
          <w:sz w:val="24"/>
          <w:szCs w:val="24"/>
          <w:lang w:val="en-CA"/>
        </w:rPr>
        <w:t xml:space="preserve"> Queen</w:t>
      </w:r>
      <w:r w:rsidRPr="009D7B9C">
        <w:rPr>
          <w:rFonts w:ascii="Times New Roman" w:hAnsi="Times New Roman" w:cs="Times New Roman"/>
          <w:sz w:val="24"/>
          <w:szCs w:val="24"/>
          <w:lang w:val="en-CA"/>
        </w:rPr>
        <w:tab/>
      </w:r>
      <w:r w:rsidRPr="009D7B9C">
        <w:rPr>
          <w:rFonts w:ascii="Times New Roman" w:hAnsi="Times New Roman" w:cs="Times New Roman"/>
          <w:i/>
          <w:sz w:val="24"/>
          <w:szCs w:val="24"/>
          <w:lang w:val="en-CA"/>
        </w:rPr>
        <w:t>Appellant</w:t>
      </w:r>
    </w:p>
    <w:p w:rsidR="00EE1B8D" w:rsidRPr="009D7B9C" w:rsidRDefault="00EE1B8D" w:rsidP="00EE1B8D">
      <w:pPr>
        <w:pStyle w:val="SCCLsocVersus"/>
        <w:spacing w:after="720"/>
        <w:rPr>
          <w:rFonts w:ascii="Times New Roman" w:hAnsi="Times New Roman" w:cs="Times New Roman"/>
          <w:i/>
          <w:sz w:val="24"/>
          <w:szCs w:val="24"/>
          <w:lang w:val="en-CA"/>
        </w:rPr>
      </w:pPr>
      <w:proofErr w:type="gramStart"/>
      <w:r w:rsidRPr="009D7B9C">
        <w:rPr>
          <w:rFonts w:ascii="Times New Roman" w:hAnsi="Times New Roman" w:cs="Times New Roman"/>
          <w:i/>
          <w:sz w:val="24"/>
          <w:szCs w:val="24"/>
          <w:lang w:val="en-CA"/>
        </w:rPr>
        <w:t>v</w:t>
      </w:r>
      <w:proofErr w:type="gramEnd"/>
      <w:r w:rsidRPr="009D7B9C">
        <w:rPr>
          <w:rFonts w:ascii="Times New Roman" w:hAnsi="Times New Roman" w:cs="Times New Roman"/>
          <w:i/>
          <w:sz w:val="24"/>
          <w:szCs w:val="24"/>
          <w:lang w:val="en-CA"/>
        </w:rPr>
        <w:t>.</w:t>
      </w:r>
    </w:p>
    <w:p w:rsidR="00EE1B8D" w:rsidRPr="009D7B9C" w:rsidRDefault="00EE1B8D" w:rsidP="00EE1B8D">
      <w:pPr>
        <w:pStyle w:val="SCCLsocParty"/>
        <w:tabs>
          <w:tab w:val="right" w:pos="8222"/>
        </w:tabs>
        <w:spacing w:after="720"/>
        <w:rPr>
          <w:rFonts w:ascii="Times New Roman" w:hAnsi="Times New Roman" w:cs="Times New Roman"/>
          <w:b/>
          <w:i/>
          <w:sz w:val="24"/>
          <w:szCs w:val="24"/>
          <w:lang w:val="en-CA"/>
        </w:rPr>
      </w:pPr>
      <w:r w:rsidRPr="009D7B9C">
        <w:rPr>
          <w:rFonts w:ascii="Times New Roman" w:hAnsi="Times New Roman" w:cs="Times New Roman"/>
          <w:b/>
          <w:sz w:val="24"/>
          <w:szCs w:val="24"/>
          <w:lang w:val="en-CA"/>
        </w:rPr>
        <w:t xml:space="preserve">John Phillip </w:t>
      </w:r>
      <w:proofErr w:type="spellStart"/>
      <w:r w:rsidRPr="009D7B9C">
        <w:rPr>
          <w:rFonts w:ascii="Times New Roman" w:hAnsi="Times New Roman" w:cs="Times New Roman"/>
          <w:b/>
          <w:sz w:val="24"/>
          <w:szCs w:val="24"/>
          <w:lang w:val="en-CA"/>
        </w:rPr>
        <w:t>Topp</w:t>
      </w:r>
      <w:proofErr w:type="spellEnd"/>
      <w:r w:rsidRPr="009D7B9C">
        <w:rPr>
          <w:rFonts w:ascii="Times New Roman" w:hAnsi="Times New Roman" w:cs="Times New Roman"/>
          <w:sz w:val="24"/>
          <w:szCs w:val="24"/>
          <w:lang w:val="en-CA"/>
        </w:rPr>
        <w:tab/>
      </w:r>
      <w:r w:rsidRPr="009D7B9C">
        <w:rPr>
          <w:rFonts w:ascii="Times New Roman" w:hAnsi="Times New Roman" w:cs="Times New Roman"/>
          <w:i/>
          <w:sz w:val="24"/>
          <w:szCs w:val="24"/>
          <w:lang w:val="en-CA"/>
        </w:rPr>
        <w:t>Respondent</w:t>
      </w:r>
    </w:p>
    <w:p w:rsidR="00EE1B8D" w:rsidRPr="009D7B9C" w:rsidRDefault="00EE1B8D" w:rsidP="00EE1B8D">
      <w:pPr>
        <w:pStyle w:val="SCCLsocOtherPartySeparator"/>
        <w:tabs>
          <w:tab w:val="right" w:pos="8222"/>
        </w:tabs>
        <w:spacing w:after="720"/>
        <w:rPr>
          <w:rFonts w:ascii="Times New Roman" w:hAnsi="Times New Roman" w:cs="Times New Roman"/>
          <w:b/>
          <w:sz w:val="24"/>
          <w:szCs w:val="24"/>
          <w:lang w:val="en-CA"/>
        </w:rPr>
      </w:pPr>
      <w:proofErr w:type="gramStart"/>
      <w:r w:rsidRPr="009D7B9C">
        <w:rPr>
          <w:rFonts w:ascii="Times New Roman" w:hAnsi="Times New Roman" w:cs="Times New Roman"/>
          <w:sz w:val="24"/>
          <w:szCs w:val="24"/>
          <w:lang w:val="en-CA"/>
        </w:rPr>
        <w:t>and</w:t>
      </w:r>
      <w:proofErr w:type="gramEnd"/>
      <w:r w:rsidRPr="009D7B9C">
        <w:rPr>
          <w:rFonts w:ascii="Times New Roman" w:hAnsi="Times New Roman" w:cs="Times New Roman"/>
          <w:sz w:val="24"/>
          <w:szCs w:val="24"/>
          <w:lang w:val="en-CA"/>
        </w:rPr>
        <w:t xml:space="preserve"> </w:t>
      </w:r>
    </w:p>
    <w:p w:rsidR="00EE1B8D" w:rsidRPr="009D7B9C" w:rsidRDefault="00EE1B8D" w:rsidP="00EE1B8D">
      <w:pPr>
        <w:pStyle w:val="SCCLsocParty"/>
        <w:tabs>
          <w:tab w:val="right" w:pos="8222"/>
        </w:tabs>
        <w:spacing w:after="720"/>
        <w:rPr>
          <w:rFonts w:ascii="Times New Roman" w:hAnsi="Times New Roman" w:cs="Times New Roman"/>
          <w:sz w:val="24"/>
          <w:szCs w:val="24"/>
          <w:lang w:val="en-CA"/>
        </w:rPr>
      </w:pPr>
      <w:r w:rsidRPr="009D7B9C">
        <w:rPr>
          <w:rFonts w:ascii="Times New Roman" w:hAnsi="Times New Roman" w:cs="Times New Roman"/>
          <w:b/>
          <w:sz w:val="24"/>
          <w:szCs w:val="24"/>
          <w:lang w:val="en-CA"/>
        </w:rPr>
        <w:t>Attorney General of Alberta</w:t>
      </w:r>
      <w:r w:rsidRPr="009D7B9C">
        <w:rPr>
          <w:rFonts w:ascii="Times New Roman" w:hAnsi="Times New Roman" w:cs="Times New Roman"/>
          <w:sz w:val="24"/>
          <w:szCs w:val="24"/>
          <w:lang w:val="en-CA"/>
        </w:rPr>
        <w:tab/>
      </w:r>
      <w:r w:rsidRPr="009D7B9C">
        <w:rPr>
          <w:rFonts w:ascii="Times New Roman" w:hAnsi="Times New Roman" w:cs="Times New Roman"/>
          <w:i/>
          <w:sz w:val="24"/>
          <w:szCs w:val="24"/>
          <w:lang w:val="en-CA"/>
        </w:rPr>
        <w:t>Intervener</w:t>
      </w:r>
    </w:p>
    <w:p w:rsidR="00EE1B8D" w:rsidRPr="009D7B9C" w:rsidRDefault="00EE1B8D" w:rsidP="00EE1B8D">
      <w:pPr>
        <w:spacing w:after="720"/>
        <w:jc w:val="both"/>
        <w:rPr>
          <w:rFonts w:ascii="Times New Roman" w:hAnsi="Times New Roman" w:cs="Times New Roman"/>
          <w:b/>
          <w:sz w:val="24"/>
          <w:szCs w:val="24"/>
          <w:lang w:val="en-CA"/>
        </w:rPr>
      </w:pPr>
      <w:r w:rsidRPr="009D7B9C">
        <w:rPr>
          <w:rFonts w:ascii="Times New Roman" w:hAnsi="Times New Roman" w:cs="Times New Roman"/>
          <w:b/>
          <w:sz w:val="24"/>
          <w:szCs w:val="24"/>
          <w:lang w:val="en-CA"/>
        </w:rPr>
        <w:t xml:space="preserve">Indexed as:  </w:t>
      </w:r>
      <w:r w:rsidRPr="009D7B9C">
        <w:rPr>
          <w:rStyle w:val="SCCAppellantForIndexChar"/>
          <w:rFonts w:ascii="Times New Roman" w:hAnsi="Times New Roman" w:cs="Times New Roman"/>
          <w:szCs w:val="24"/>
          <w:lang w:val="en-CA"/>
        </w:rPr>
        <w:t>R.</w:t>
      </w:r>
      <w:r w:rsidRPr="009D7B9C">
        <w:rPr>
          <w:rFonts w:ascii="Times New Roman" w:hAnsi="Times New Roman" w:cs="Times New Roman"/>
          <w:b/>
          <w:sz w:val="24"/>
          <w:szCs w:val="24"/>
          <w:lang w:val="en-CA"/>
        </w:rPr>
        <w:t xml:space="preserve"> </w:t>
      </w:r>
      <w:r w:rsidRPr="009D7B9C">
        <w:rPr>
          <w:rFonts w:ascii="Times New Roman" w:hAnsi="Times New Roman" w:cs="Times New Roman"/>
          <w:b/>
          <w:i/>
          <w:sz w:val="24"/>
          <w:szCs w:val="24"/>
          <w:lang w:val="en-CA"/>
        </w:rPr>
        <w:t>v.</w:t>
      </w:r>
      <w:r w:rsidRPr="009D7B9C">
        <w:rPr>
          <w:rFonts w:ascii="Times New Roman" w:hAnsi="Times New Roman" w:cs="Times New Roman"/>
          <w:b/>
          <w:sz w:val="24"/>
          <w:szCs w:val="24"/>
          <w:lang w:val="en-CA"/>
        </w:rPr>
        <w:t xml:space="preserve"> </w:t>
      </w:r>
      <w:proofErr w:type="spellStart"/>
      <w:r w:rsidRPr="009D7B9C">
        <w:rPr>
          <w:rStyle w:val="SCCRespondentForIndexChar"/>
          <w:rFonts w:ascii="Times New Roman" w:hAnsi="Times New Roman" w:cs="Times New Roman"/>
          <w:szCs w:val="24"/>
          <w:lang w:val="en-CA"/>
        </w:rPr>
        <w:t>Topp</w:t>
      </w:r>
      <w:proofErr w:type="spellEnd"/>
    </w:p>
    <w:p w:rsidR="00EE1B8D" w:rsidRPr="009D7B9C" w:rsidRDefault="00EE1B8D" w:rsidP="00EE1B8D">
      <w:pPr>
        <w:pStyle w:val="SCCSystemYear"/>
        <w:spacing w:after="720"/>
        <w:jc w:val="both"/>
        <w:rPr>
          <w:rFonts w:ascii="Times New Roman" w:hAnsi="Times New Roman" w:cs="Times New Roman"/>
          <w:sz w:val="24"/>
          <w:szCs w:val="24"/>
          <w:lang w:val="en-CA"/>
        </w:rPr>
      </w:pPr>
      <w:r w:rsidRPr="009D7B9C">
        <w:rPr>
          <w:rFonts w:ascii="Times New Roman" w:hAnsi="Times New Roman" w:cs="Times New Roman"/>
          <w:sz w:val="24"/>
          <w:szCs w:val="24"/>
          <w:lang w:val="en-CA"/>
        </w:rPr>
        <w:t>2011 SCC 43</w:t>
      </w:r>
    </w:p>
    <w:p w:rsidR="00EE1B8D" w:rsidRPr="009D7B9C" w:rsidRDefault="00EE1B8D" w:rsidP="00EE1B8D">
      <w:pPr>
        <w:spacing w:after="720"/>
        <w:jc w:val="both"/>
        <w:rPr>
          <w:rFonts w:ascii="Times New Roman" w:hAnsi="Times New Roman" w:cs="Times New Roman"/>
          <w:sz w:val="24"/>
          <w:szCs w:val="24"/>
          <w:lang w:val="en-CA"/>
        </w:rPr>
      </w:pPr>
      <w:r w:rsidRPr="009D7B9C">
        <w:rPr>
          <w:rFonts w:ascii="Times New Roman" w:hAnsi="Times New Roman" w:cs="Times New Roman"/>
          <w:sz w:val="24"/>
          <w:szCs w:val="24"/>
          <w:lang w:val="en-CA"/>
        </w:rPr>
        <w:t>File No.:  33529.</w:t>
      </w:r>
    </w:p>
    <w:p w:rsidR="00EE1B8D" w:rsidRPr="009D7B9C" w:rsidRDefault="00EE1B8D" w:rsidP="00EE1B8D">
      <w:pPr>
        <w:spacing w:after="720"/>
        <w:jc w:val="both"/>
        <w:rPr>
          <w:rFonts w:ascii="Times New Roman" w:hAnsi="Times New Roman" w:cs="Times New Roman"/>
          <w:sz w:val="24"/>
          <w:szCs w:val="24"/>
          <w:lang w:val="en-CA"/>
        </w:rPr>
      </w:pPr>
      <w:r w:rsidRPr="009D7B9C">
        <w:rPr>
          <w:rFonts w:ascii="Times New Roman" w:hAnsi="Times New Roman" w:cs="Times New Roman"/>
          <w:sz w:val="24"/>
          <w:szCs w:val="24"/>
          <w:lang w:val="en-CA"/>
        </w:rPr>
        <w:t>2011:  March 23; 2011:  September 23.</w:t>
      </w:r>
    </w:p>
    <w:p w:rsidR="00EE1B8D" w:rsidRPr="009D7B9C" w:rsidRDefault="00EE1B8D" w:rsidP="00EE1B8D">
      <w:pPr>
        <w:spacing w:after="720"/>
        <w:jc w:val="both"/>
        <w:rPr>
          <w:rFonts w:ascii="Times New Roman" w:hAnsi="Times New Roman" w:cs="Times New Roman"/>
          <w:sz w:val="24"/>
          <w:szCs w:val="24"/>
          <w:lang w:val="en-CA"/>
        </w:rPr>
      </w:pPr>
      <w:r w:rsidRPr="009D7B9C">
        <w:rPr>
          <w:rFonts w:ascii="Times New Roman" w:hAnsi="Times New Roman" w:cs="Times New Roman"/>
          <w:sz w:val="24"/>
          <w:szCs w:val="24"/>
          <w:lang w:val="en-CA"/>
        </w:rPr>
        <w:t>Present:  </w:t>
      </w:r>
      <w:proofErr w:type="spellStart"/>
      <w:r w:rsidRPr="009D7B9C">
        <w:rPr>
          <w:rFonts w:ascii="Times New Roman" w:hAnsi="Times New Roman" w:cs="Times New Roman"/>
          <w:sz w:val="24"/>
          <w:szCs w:val="24"/>
          <w:lang w:val="en-CA"/>
        </w:rPr>
        <w:t>McLachlin</w:t>
      </w:r>
      <w:proofErr w:type="spellEnd"/>
      <w:r w:rsidRPr="009D7B9C">
        <w:rPr>
          <w:rFonts w:ascii="Times New Roman" w:hAnsi="Times New Roman" w:cs="Times New Roman"/>
          <w:sz w:val="24"/>
          <w:szCs w:val="24"/>
          <w:lang w:val="en-CA"/>
        </w:rPr>
        <w:t xml:space="preserve"> C.J. and </w:t>
      </w:r>
      <w:proofErr w:type="spellStart"/>
      <w:r w:rsidRPr="009D7B9C">
        <w:rPr>
          <w:rFonts w:ascii="Times New Roman" w:hAnsi="Times New Roman" w:cs="Times New Roman"/>
          <w:sz w:val="24"/>
          <w:szCs w:val="24"/>
          <w:lang w:val="en-CA"/>
        </w:rPr>
        <w:t>Binnie</w:t>
      </w:r>
      <w:proofErr w:type="spellEnd"/>
      <w:r w:rsidRPr="009D7B9C">
        <w:rPr>
          <w:rFonts w:ascii="Times New Roman" w:hAnsi="Times New Roman" w:cs="Times New Roman"/>
          <w:sz w:val="24"/>
          <w:szCs w:val="24"/>
          <w:lang w:val="en-CA"/>
        </w:rPr>
        <w:t xml:space="preserve">, </w:t>
      </w:r>
      <w:proofErr w:type="spellStart"/>
      <w:r w:rsidRPr="009D7B9C">
        <w:rPr>
          <w:rFonts w:ascii="Times New Roman" w:hAnsi="Times New Roman" w:cs="Times New Roman"/>
          <w:sz w:val="24"/>
          <w:szCs w:val="24"/>
          <w:lang w:val="en-CA"/>
        </w:rPr>
        <w:t>LeBel</w:t>
      </w:r>
      <w:proofErr w:type="spellEnd"/>
      <w:r w:rsidRPr="009D7B9C">
        <w:rPr>
          <w:rFonts w:ascii="Times New Roman" w:hAnsi="Times New Roman" w:cs="Times New Roman"/>
          <w:sz w:val="24"/>
          <w:szCs w:val="24"/>
          <w:lang w:val="en-CA"/>
        </w:rPr>
        <w:t xml:space="preserve">, </w:t>
      </w:r>
      <w:proofErr w:type="spellStart"/>
      <w:r w:rsidRPr="009D7B9C">
        <w:rPr>
          <w:rFonts w:ascii="Times New Roman" w:hAnsi="Times New Roman" w:cs="Times New Roman"/>
          <w:sz w:val="24"/>
          <w:szCs w:val="24"/>
          <w:lang w:val="en-CA"/>
        </w:rPr>
        <w:t>Deschamps</w:t>
      </w:r>
      <w:proofErr w:type="spellEnd"/>
      <w:r w:rsidRPr="009D7B9C">
        <w:rPr>
          <w:rFonts w:ascii="Times New Roman" w:hAnsi="Times New Roman" w:cs="Times New Roman"/>
          <w:sz w:val="24"/>
          <w:szCs w:val="24"/>
          <w:lang w:val="en-CA"/>
        </w:rPr>
        <w:t xml:space="preserve">, Fish, </w:t>
      </w:r>
      <w:proofErr w:type="spellStart"/>
      <w:r w:rsidRPr="009D7B9C">
        <w:rPr>
          <w:rFonts w:ascii="Times New Roman" w:hAnsi="Times New Roman" w:cs="Times New Roman"/>
          <w:sz w:val="24"/>
          <w:szCs w:val="24"/>
          <w:lang w:val="en-CA"/>
        </w:rPr>
        <w:t>Abella</w:t>
      </w:r>
      <w:proofErr w:type="spellEnd"/>
      <w:r w:rsidRPr="009D7B9C">
        <w:rPr>
          <w:rFonts w:ascii="Times New Roman" w:hAnsi="Times New Roman" w:cs="Times New Roman"/>
          <w:sz w:val="24"/>
          <w:szCs w:val="24"/>
          <w:lang w:val="en-CA"/>
        </w:rPr>
        <w:t xml:space="preserve">, </w:t>
      </w:r>
      <w:proofErr w:type="spellStart"/>
      <w:r w:rsidRPr="009D7B9C">
        <w:rPr>
          <w:rFonts w:ascii="Times New Roman" w:hAnsi="Times New Roman" w:cs="Times New Roman"/>
          <w:sz w:val="24"/>
          <w:szCs w:val="24"/>
          <w:lang w:val="en-CA"/>
        </w:rPr>
        <w:t>Charron</w:t>
      </w:r>
      <w:proofErr w:type="spellEnd"/>
      <w:r w:rsidRPr="009D7B9C">
        <w:rPr>
          <w:rFonts w:ascii="Times New Roman" w:hAnsi="Times New Roman" w:cs="Times New Roman"/>
          <w:sz w:val="24"/>
          <w:szCs w:val="24"/>
          <w:lang w:val="en-CA"/>
        </w:rPr>
        <w:t>, Rothstein and Cromwell JJ.</w:t>
      </w:r>
    </w:p>
    <w:p w:rsidR="00EE1B8D" w:rsidRPr="009D7B9C" w:rsidRDefault="00EE1B8D" w:rsidP="00EE1B8D">
      <w:pPr>
        <w:pStyle w:val="SCCLowerCourtNameLowercase"/>
        <w:spacing w:after="720" w:line="240" w:lineRule="auto"/>
        <w:rPr>
          <w:rFonts w:ascii="Times New Roman" w:hAnsi="Times New Roman" w:cs="Times New Roman"/>
          <w:sz w:val="24"/>
          <w:szCs w:val="24"/>
          <w:lang w:val="en-CA"/>
        </w:rPr>
      </w:pPr>
      <w:r w:rsidRPr="009D7B9C">
        <w:rPr>
          <w:rFonts w:ascii="Times New Roman" w:hAnsi="Times New Roman" w:cs="Times New Roman"/>
          <w:sz w:val="24"/>
          <w:szCs w:val="24"/>
          <w:lang w:val="en-CA"/>
        </w:rPr>
        <w:lastRenderedPageBreak/>
        <w:t xml:space="preserve">on appeal from the court of appeal for </w:t>
      </w:r>
      <w:proofErr w:type="spellStart"/>
      <w:r w:rsidRPr="009D7B9C">
        <w:rPr>
          <w:rFonts w:ascii="Times New Roman" w:hAnsi="Times New Roman" w:cs="Times New Roman"/>
          <w:sz w:val="24"/>
          <w:szCs w:val="24"/>
          <w:lang w:val="en-CA"/>
        </w:rPr>
        <w:t>ontario</w:t>
      </w:r>
      <w:proofErr w:type="spellEnd"/>
    </w:p>
    <w:p w:rsidR="00EE1B8D" w:rsidRPr="009D7B9C" w:rsidRDefault="00EE1B8D" w:rsidP="00EE1B8D">
      <w:pPr>
        <w:pStyle w:val="SCCNormalDoubleSpacing"/>
        <w:spacing w:after="480"/>
        <w:rPr>
          <w:rFonts w:ascii="Times New Roman" w:hAnsi="Times New Roman" w:cs="Times New Roman"/>
          <w:i/>
          <w:sz w:val="24"/>
          <w:szCs w:val="24"/>
          <w:lang w:val="en-CA"/>
        </w:rPr>
      </w:pPr>
      <w:r w:rsidRPr="009D7B9C">
        <w:rPr>
          <w:rStyle w:val="QuoteChar"/>
          <w:rFonts w:ascii="Times New Roman" w:eastAsiaTheme="majorEastAsia" w:hAnsi="Times New Roman" w:cs="Times New Roman"/>
          <w:color w:val="auto"/>
          <w:szCs w:val="24"/>
        </w:rPr>
        <w:tab/>
        <w:t>Criminal</w:t>
      </w:r>
      <w:r w:rsidRPr="009D7B9C">
        <w:rPr>
          <w:rFonts w:ascii="Times New Roman" w:hAnsi="Times New Roman" w:cs="Times New Roman"/>
          <w:i/>
          <w:sz w:val="24"/>
          <w:szCs w:val="24"/>
          <w:lang w:val="en-CA"/>
        </w:rPr>
        <w:t xml:space="preserve"> law — Sentencing — Fines — Offender’s ability to pay — Burden of proof — Whether offender required to prove inability to pay a fine corresponding to funds fraudulently obtained</w:t>
      </w:r>
      <w:r w:rsidRPr="009D7B9C">
        <w:rPr>
          <w:rFonts w:ascii="Times New Roman" w:hAnsi="Times New Roman" w:cs="Times New Roman"/>
          <w:sz w:val="24"/>
          <w:szCs w:val="24"/>
          <w:lang w:val="en-CA"/>
        </w:rPr>
        <w:t xml:space="preserve"> </w:t>
      </w:r>
      <w:r w:rsidRPr="009D7B9C">
        <w:rPr>
          <w:rFonts w:ascii="Times New Roman" w:hAnsi="Times New Roman" w:cs="Times New Roman"/>
          <w:i/>
          <w:sz w:val="24"/>
          <w:szCs w:val="24"/>
          <w:lang w:val="en-CA"/>
        </w:rPr>
        <w:t xml:space="preserve">— Whether trial judge erred in declining to impose a fine — Whether trial judge was bound to impose a fine in light of </w:t>
      </w:r>
      <w:proofErr w:type="spellStart"/>
      <w:r w:rsidRPr="009D7B9C">
        <w:rPr>
          <w:rFonts w:ascii="Times New Roman" w:hAnsi="Times New Roman" w:cs="Times New Roman"/>
          <w:i/>
          <w:sz w:val="24"/>
          <w:szCs w:val="24"/>
          <w:lang w:val="en-CA"/>
        </w:rPr>
        <w:t>accused’s</w:t>
      </w:r>
      <w:proofErr w:type="spellEnd"/>
      <w:r w:rsidRPr="009D7B9C">
        <w:rPr>
          <w:rFonts w:ascii="Times New Roman" w:hAnsi="Times New Roman" w:cs="Times New Roman"/>
          <w:i/>
          <w:sz w:val="24"/>
          <w:szCs w:val="24"/>
          <w:lang w:val="en-CA"/>
        </w:rPr>
        <w:t xml:space="preserve"> failure to explain what happened to misappropriated funds — Criminal Code, R</w:t>
      </w:r>
      <w:r w:rsidR="005F6643" w:rsidRPr="009D7B9C">
        <w:rPr>
          <w:rFonts w:ascii="Times New Roman" w:hAnsi="Times New Roman" w:cs="Times New Roman"/>
          <w:i/>
          <w:sz w:val="24"/>
          <w:szCs w:val="24"/>
          <w:lang w:val="en-CA"/>
        </w:rPr>
        <w:t>.S.C. 1985, c. C</w:t>
      </w:r>
      <w:r w:rsidR="005F6643" w:rsidRPr="009D7B9C">
        <w:rPr>
          <w:rFonts w:ascii="Times New Roman" w:hAnsi="Times New Roman" w:cs="Times New Roman"/>
          <w:i/>
          <w:sz w:val="24"/>
          <w:szCs w:val="24"/>
          <w:lang w:val="en-CA"/>
        </w:rPr>
        <w:noBreakHyphen/>
        <w:t>46, s. 734(2).</w:t>
      </w:r>
    </w:p>
    <w:p w:rsidR="00EE1B8D" w:rsidRPr="009D7B9C" w:rsidRDefault="00EE1B8D" w:rsidP="00EE1B8D">
      <w:pPr>
        <w:pStyle w:val="SCCNormalDoubleSpacing"/>
        <w:spacing w:after="480"/>
        <w:rPr>
          <w:rFonts w:ascii="Times New Roman" w:hAnsi="Times New Roman" w:cs="Times New Roman"/>
          <w:sz w:val="24"/>
          <w:szCs w:val="24"/>
          <w:lang w:val="en-CA"/>
        </w:rPr>
      </w:pPr>
      <w:r w:rsidRPr="009D7B9C">
        <w:rPr>
          <w:rFonts w:ascii="Times New Roman" w:hAnsi="Times New Roman" w:cs="Times New Roman"/>
          <w:sz w:val="24"/>
          <w:szCs w:val="24"/>
          <w:lang w:val="en-CA"/>
        </w:rPr>
        <w:tab/>
        <w:t xml:space="preserve">The </w:t>
      </w:r>
      <w:r w:rsidRPr="009D7B9C">
        <w:rPr>
          <w:rStyle w:val="QuoteChar"/>
          <w:rFonts w:ascii="Times New Roman" w:eastAsiaTheme="majorEastAsia" w:hAnsi="Times New Roman" w:cs="Times New Roman"/>
          <w:i w:val="0"/>
          <w:color w:val="auto"/>
          <w:szCs w:val="24"/>
        </w:rPr>
        <w:t>accused</w:t>
      </w:r>
      <w:r w:rsidRPr="009D7B9C">
        <w:rPr>
          <w:rFonts w:ascii="Times New Roman" w:hAnsi="Times New Roman" w:cs="Times New Roman"/>
          <w:sz w:val="24"/>
          <w:szCs w:val="24"/>
          <w:lang w:val="en-CA"/>
        </w:rPr>
        <w:t xml:space="preserve"> used his brokerage business to defraud Canada Customs of $4.7 million.  He was convicted of 16 counts of fraud and attempted fraud under the </w:t>
      </w:r>
      <w:r w:rsidRPr="009D7B9C">
        <w:rPr>
          <w:rFonts w:ascii="Times New Roman" w:hAnsi="Times New Roman" w:cs="Times New Roman"/>
          <w:i/>
          <w:iCs/>
          <w:sz w:val="24"/>
          <w:szCs w:val="24"/>
          <w:lang w:val="en-CA"/>
        </w:rPr>
        <w:t>Customs Act</w:t>
      </w:r>
      <w:r w:rsidRPr="009D7B9C">
        <w:rPr>
          <w:rFonts w:ascii="Times New Roman" w:hAnsi="Times New Roman" w:cs="Times New Roman"/>
          <w:sz w:val="24"/>
          <w:szCs w:val="24"/>
          <w:lang w:val="en-CA"/>
        </w:rPr>
        <w:t xml:space="preserve">.  The Crown sought a $4.7 million fine in addition to imprisonment.  At the sentencing hearing, the </w:t>
      </w:r>
      <w:proofErr w:type="spellStart"/>
      <w:r w:rsidRPr="009D7B9C">
        <w:rPr>
          <w:rFonts w:ascii="Times New Roman" w:hAnsi="Times New Roman" w:cs="Times New Roman"/>
          <w:sz w:val="24"/>
          <w:szCs w:val="24"/>
          <w:lang w:val="en-CA"/>
        </w:rPr>
        <w:t>accused’s</w:t>
      </w:r>
      <w:proofErr w:type="spellEnd"/>
      <w:r w:rsidRPr="009D7B9C">
        <w:rPr>
          <w:rFonts w:ascii="Times New Roman" w:hAnsi="Times New Roman" w:cs="Times New Roman"/>
          <w:sz w:val="24"/>
          <w:szCs w:val="24"/>
          <w:lang w:val="en-CA"/>
        </w:rPr>
        <w:t xml:space="preserve"> counsel asserted that the accused was unable to pay a fine, but adduced little evidence to support the assertion.  No explanation was given of where the $4.7 million had gone and the Crown was unable to trace or locate the funds.  The Crown urged the court to infer that the funds were still in the </w:t>
      </w:r>
      <w:proofErr w:type="spellStart"/>
      <w:r w:rsidRPr="009D7B9C">
        <w:rPr>
          <w:rFonts w:ascii="Times New Roman" w:hAnsi="Times New Roman" w:cs="Times New Roman"/>
          <w:sz w:val="24"/>
          <w:szCs w:val="24"/>
          <w:lang w:val="en-CA"/>
        </w:rPr>
        <w:t>accused’s</w:t>
      </w:r>
      <w:proofErr w:type="spellEnd"/>
      <w:r w:rsidRPr="009D7B9C">
        <w:rPr>
          <w:rFonts w:ascii="Times New Roman" w:hAnsi="Times New Roman" w:cs="Times New Roman"/>
          <w:sz w:val="24"/>
          <w:szCs w:val="24"/>
          <w:lang w:val="en-CA"/>
        </w:rPr>
        <w:t xml:space="preserve"> possession. The trial judge sentenced the accused to imprisonment but declined to impose a fine because she was not satisfied as required by s. 734(2) of the </w:t>
      </w:r>
      <w:r w:rsidRPr="009D7B9C">
        <w:rPr>
          <w:rFonts w:ascii="Times New Roman" w:hAnsi="Times New Roman" w:cs="Times New Roman"/>
          <w:i/>
          <w:iCs/>
          <w:sz w:val="24"/>
          <w:szCs w:val="24"/>
          <w:lang w:val="en-CA"/>
        </w:rPr>
        <w:t xml:space="preserve">Criminal Code </w:t>
      </w:r>
      <w:r w:rsidRPr="009D7B9C">
        <w:rPr>
          <w:rFonts w:ascii="Times New Roman" w:hAnsi="Times New Roman" w:cs="Times New Roman"/>
          <w:sz w:val="24"/>
          <w:szCs w:val="24"/>
          <w:lang w:val="en-CA"/>
        </w:rPr>
        <w:t>that the accused was able to pay a fine.  The Court of Appeal dismissed an appeal by the Crown.</w:t>
      </w:r>
    </w:p>
    <w:p w:rsidR="00EE1B8D" w:rsidRPr="009D7B9C" w:rsidRDefault="00EE1B8D" w:rsidP="00EE1B8D">
      <w:pPr>
        <w:pStyle w:val="SCCNormalDoubleSpacing"/>
        <w:spacing w:after="480"/>
        <w:rPr>
          <w:rFonts w:ascii="Times New Roman" w:hAnsi="Times New Roman" w:cs="Times New Roman"/>
          <w:sz w:val="24"/>
          <w:szCs w:val="24"/>
          <w:lang w:val="en-CA"/>
        </w:rPr>
      </w:pPr>
      <w:r w:rsidRPr="009D7B9C">
        <w:rPr>
          <w:rFonts w:ascii="Times New Roman" w:hAnsi="Times New Roman" w:cs="Times New Roman"/>
          <w:i/>
          <w:sz w:val="24"/>
          <w:szCs w:val="24"/>
          <w:lang w:val="en-CA"/>
        </w:rPr>
        <w:tab/>
        <w:t>Held</w:t>
      </w:r>
      <w:r w:rsidRPr="009D7B9C">
        <w:rPr>
          <w:rFonts w:ascii="Times New Roman" w:hAnsi="Times New Roman" w:cs="Times New Roman"/>
          <w:sz w:val="24"/>
          <w:szCs w:val="24"/>
          <w:lang w:val="en-CA"/>
        </w:rPr>
        <w:t>:  The appeal should be dismissed.</w:t>
      </w:r>
    </w:p>
    <w:p w:rsidR="00EE1B8D" w:rsidRPr="009D7B9C" w:rsidRDefault="00EE1B8D" w:rsidP="00EE1B8D">
      <w:pPr>
        <w:pStyle w:val="SCCNormalDoubleSpacing"/>
        <w:spacing w:after="480"/>
        <w:rPr>
          <w:rFonts w:ascii="Times New Roman" w:hAnsi="Times New Roman" w:cs="Times New Roman"/>
          <w:sz w:val="24"/>
          <w:szCs w:val="24"/>
          <w:lang w:val="en-CA"/>
        </w:rPr>
      </w:pPr>
      <w:r w:rsidRPr="009D7B9C">
        <w:rPr>
          <w:rFonts w:ascii="Times New Roman" w:hAnsi="Times New Roman" w:cs="Times New Roman"/>
          <w:sz w:val="24"/>
          <w:szCs w:val="24"/>
          <w:lang w:val="en-CA"/>
        </w:rPr>
        <w:lastRenderedPageBreak/>
        <w:tab/>
        <w:t xml:space="preserve">The legislative purpose behind s. 734(2) of the </w:t>
      </w:r>
      <w:r w:rsidRPr="009D7B9C">
        <w:rPr>
          <w:rFonts w:ascii="Times New Roman" w:hAnsi="Times New Roman" w:cs="Times New Roman"/>
          <w:i/>
          <w:sz w:val="24"/>
          <w:szCs w:val="24"/>
          <w:lang w:val="en-CA"/>
        </w:rPr>
        <w:t xml:space="preserve">Criminal Code </w:t>
      </w:r>
      <w:r w:rsidRPr="009D7B9C">
        <w:rPr>
          <w:rFonts w:ascii="Times New Roman" w:hAnsi="Times New Roman" w:cs="Times New Roman"/>
          <w:sz w:val="24"/>
          <w:szCs w:val="24"/>
          <w:lang w:val="en-CA"/>
        </w:rPr>
        <w:t>is to prevent offenders from being fined amounts that they are truly unable to pay, and to correspondingly reduce the number of offenders who are incarcerated in default of payment.  A court may impose a fine only if satisfied, on a balance of probabilities, that the offender has the means to pay the fine (or to discharge it under s. 736, which is not possible in this case).  As a practical matter, s. 734(2) imposes a burden on the party seeking a fine to satisfy the court that the offender is able to pay.  The party opposing the fine does not assume a formal burden of proof and remains free to argue that the evidence before the court should not satisfy the court that the offender is able to pay.</w:t>
      </w:r>
    </w:p>
    <w:p w:rsidR="00EE1B8D" w:rsidRPr="009D7B9C" w:rsidRDefault="00EE1B8D" w:rsidP="00EE1B8D">
      <w:pPr>
        <w:pStyle w:val="SCCNormalDoubleSpacing"/>
        <w:spacing w:after="480"/>
        <w:rPr>
          <w:rFonts w:ascii="Times New Roman" w:hAnsi="Times New Roman" w:cs="Times New Roman"/>
          <w:sz w:val="24"/>
          <w:szCs w:val="24"/>
          <w:lang w:val="en-CA"/>
        </w:rPr>
      </w:pPr>
      <w:r w:rsidRPr="009D7B9C">
        <w:rPr>
          <w:rFonts w:ascii="Times New Roman" w:hAnsi="Times New Roman" w:cs="Times New Roman"/>
          <w:sz w:val="24"/>
          <w:szCs w:val="24"/>
          <w:lang w:val="en-CA"/>
        </w:rPr>
        <w:tab/>
        <w:t>In the absence of a reasonable explanation to the contrary, past receipt of illegally</w:t>
      </w:r>
      <w:r w:rsidR="005F6643" w:rsidRPr="009D7B9C">
        <w:rPr>
          <w:rFonts w:ascii="Times New Roman" w:hAnsi="Times New Roman" w:cs="Times New Roman"/>
          <w:sz w:val="24"/>
          <w:szCs w:val="24"/>
          <w:lang w:val="en-CA"/>
        </w:rPr>
        <w:t xml:space="preserve"> </w:t>
      </w:r>
      <w:r w:rsidRPr="009D7B9C">
        <w:rPr>
          <w:rFonts w:ascii="Times New Roman" w:hAnsi="Times New Roman" w:cs="Times New Roman"/>
          <w:sz w:val="24"/>
          <w:szCs w:val="24"/>
          <w:lang w:val="en-CA"/>
        </w:rPr>
        <w:t>obtained funds will often support an inference that the offender still possesses sufficient funds to pay a fine.  However, a trial judge is not bound as a matter of law to reach that conclusion.  The weight reasonably attributable to the past receipt of funds will vary according to at least two factors: the amount of funds acquired and the length of time that has passed between the acquisition of the funds and the imposition of sentence.  Both the text of s. 734(2) and the legislative intention to avoid the incarceration of offenders who are truly unable to pay their fines support the conclusion that proof of past receipt of illegally obtained</w:t>
      </w:r>
      <w:r w:rsidR="005F6643" w:rsidRPr="009D7B9C">
        <w:rPr>
          <w:rFonts w:ascii="Times New Roman" w:hAnsi="Times New Roman" w:cs="Times New Roman"/>
          <w:sz w:val="24"/>
          <w:szCs w:val="24"/>
          <w:lang w:val="en-CA"/>
        </w:rPr>
        <w:t xml:space="preserve"> </w:t>
      </w:r>
      <w:r w:rsidRPr="009D7B9C">
        <w:rPr>
          <w:rFonts w:ascii="Times New Roman" w:hAnsi="Times New Roman" w:cs="Times New Roman"/>
          <w:sz w:val="24"/>
          <w:szCs w:val="24"/>
          <w:lang w:val="en-CA"/>
        </w:rPr>
        <w:t>funds is not always conclusive of a present ability to pay.</w:t>
      </w:r>
    </w:p>
    <w:p w:rsidR="00EE1B8D" w:rsidRPr="009D7B9C" w:rsidRDefault="00EE1B8D" w:rsidP="00EE1B8D">
      <w:pPr>
        <w:pStyle w:val="SCCNormalDoubleSpacing"/>
        <w:spacing w:after="480"/>
        <w:rPr>
          <w:rFonts w:ascii="Times New Roman" w:hAnsi="Times New Roman" w:cs="Times New Roman"/>
          <w:sz w:val="24"/>
          <w:szCs w:val="24"/>
          <w:lang w:val="en-CA"/>
        </w:rPr>
      </w:pPr>
      <w:r w:rsidRPr="009D7B9C">
        <w:rPr>
          <w:rFonts w:ascii="Times New Roman" w:hAnsi="Times New Roman" w:cs="Times New Roman"/>
          <w:sz w:val="24"/>
          <w:szCs w:val="24"/>
          <w:lang w:val="en-CA"/>
        </w:rPr>
        <w:lastRenderedPageBreak/>
        <w:tab/>
        <w:t>The Crown is not required to identify or locate the specific assets that the offender can use to pay the fine and instead may rely on indirect evidence to prove an offender’s ability to pay.  On the other hand, the text of s. 734(2) explicitly requires an affirmative finding that the offender is able to pay a fine, instead of requiring the party opposing the fine to prove that the offender is unable to pay the fine.</w:t>
      </w:r>
    </w:p>
    <w:p w:rsidR="00EE1B8D" w:rsidRPr="009D7B9C" w:rsidRDefault="00EE1B8D" w:rsidP="00EE1B8D">
      <w:pPr>
        <w:pStyle w:val="SCCNormalDoubleSpacing"/>
        <w:spacing w:after="480"/>
        <w:rPr>
          <w:rFonts w:ascii="Times New Roman" w:hAnsi="Times New Roman" w:cs="Times New Roman"/>
          <w:sz w:val="24"/>
          <w:szCs w:val="24"/>
          <w:lang w:val="en-CA"/>
        </w:rPr>
      </w:pPr>
      <w:r w:rsidRPr="009D7B9C">
        <w:rPr>
          <w:rFonts w:ascii="Times New Roman" w:hAnsi="Times New Roman" w:cs="Times New Roman"/>
          <w:sz w:val="24"/>
          <w:szCs w:val="24"/>
          <w:lang w:val="en-CA"/>
        </w:rPr>
        <w:tab/>
        <w:t xml:space="preserve">In this case, the trial judge committed no reviewable error in declining to impose a fine.  She expressly took into account the </w:t>
      </w:r>
      <w:proofErr w:type="spellStart"/>
      <w:r w:rsidRPr="009D7B9C">
        <w:rPr>
          <w:rFonts w:ascii="Times New Roman" w:hAnsi="Times New Roman" w:cs="Times New Roman"/>
          <w:sz w:val="24"/>
          <w:szCs w:val="24"/>
          <w:lang w:val="en-CA"/>
        </w:rPr>
        <w:t>accused’s</w:t>
      </w:r>
      <w:proofErr w:type="spellEnd"/>
      <w:r w:rsidRPr="009D7B9C">
        <w:rPr>
          <w:rFonts w:ascii="Times New Roman" w:hAnsi="Times New Roman" w:cs="Times New Roman"/>
          <w:sz w:val="24"/>
          <w:szCs w:val="24"/>
          <w:lang w:val="en-CA"/>
        </w:rPr>
        <w:t xml:space="preserve"> failure to explain what had happened to the misappropriated funds.  She did not fail to consider anything relevant to her decision.  She did not require the Crown to locate the missing funds.  She was simply not satisfied that the accused was able to pay the fine sought by the Crown.  This conclusion was open to her, as a matter of law, o</w:t>
      </w:r>
      <w:r w:rsidR="005F6643" w:rsidRPr="009D7B9C">
        <w:rPr>
          <w:rFonts w:ascii="Times New Roman" w:hAnsi="Times New Roman" w:cs="Times New Roman"/>
          <w:sz w:val="24"/>
          <w:szCs w:val="24"/>
          <w:lang w:val="en-CA"/>
        </w:rPr>
        <w:t>n the facts as she found them.</w:t>
      </w:r>
    </w:p>
    <w:p w:rsidR="00EE1B8D" w:rsidRPr="009D7B9C" w:rsidRDefault="00EE1B8D" w:rsidP="00EE1B8D">
      <w:pPr>
        <w:pStyle w:val="SCCNormalDoubleSpacing"/>
        <w:keepNext/>
        <w:spacing w:after="720" w:line="240" w:lineRule="auto"/>
        <w:rPr>
          <w:rFonts w:ascii="Times New Roman" w:hAnsi="Times New Roman" w:cs="Times New Roman"/>
          <w:b/>
          <w:sz w:val="24"/>
          <w:szCs w:val="24"/>
          <w:lang w:val="en-CA"/>
        </w:rPr>
      </w:pPr>
      <w:r w:rsidRPr="009D7B9C">
        <w:rPr>
          <w:rFonts w:ascii="Times New Roman" w:hAnsi="Times New Roman" w:cs="Times New Roman"/>
          <w:b/>
          <w:sz w:val="24"/>
          <w:szCs w:val="24"/>
          <w:lang w:val="en-CA"/>
        </w:rPr>
        <w:t>Cases Cited</w:t>
      </w:r>
    </w:p>
    <w:p w:rsidR="00EE1B8D" w:rsidRPr="009D7B9C" w:rsidRDefault="00EE1B8D" w:rsidP="00EE1B8D">
      <w:pPr>
        <w:pStyle w:val="SCCNormalDoubleSpacing"/>
        <w:widowControl w:val="0"/>
        <w:spacing w:after="480"/>
        <w:rPr>
          <w:rFonts w:ascii="Times New Roman" w:hAnsi="Times New Roman" w:cs="Times New Roman"/>
          <w:sz w:val="24"/>
          <w:szCs w:val="24"/>
          <w:lang w:val="en-CA"/>
        </w:rPr>
      </w:pPr>
      <w:r w:rsidRPr="009D7B9C">
        <w:rPr>
          <w:rFonts w:ascii="Times New Roman" w:hAnsi="Times New Roman" w:cs="Times New Roman"/>
          <w:sz w:val="24"/>
          <w:szCs w:val="24"/>
          <w:lang w:val="en-CA"/>
        </w:rPr>
        <w:tab/>
      </w:r>
      <w:r w:rsidRPr="009D7B9C">
        <w:rPr>
          <w:rFonts w:ascii="Times New Roman" w:hAnsi="Times New Roman" w:cs="Times New Roman"/>
          <w:b/>
          <w:sz w:val="24"/>
          <w:szCs w:val="24"/>
          <w:lang w:val="en-CA"/>
        </w:rPr>
        <w:t>Referred to:</w:t>
      </w:r>
      <w:r w:rsidRPr="009D7B9C">
        <w:rPr>
          <w:rFonts w:ascii="Times New Roman" w:hAnsi="Times New Roman" w:cs="Times New Roman"/>
          <w:sz w:val="24"/>
          <w:szCs w:val="24"/>
          <w:lang w:val="en-CA"/>
        </w:rPr>
        <w:t xml:space="preserve">  </w:t>
      </w:r>
      <w:r w:rsidRPr="009D7B9C">
        <w:rPr>
          <w:rFonts w:ascii="Times New Roman" w:hAnsi="Times New Roman" w:cs="Times New Roman"/>
          <w:i/>
          <w:sz w:val="24"/>
          <w:szCs w:val="24"/>
          <w:lang w:val="en-CA"/>
        </w:rPr>
        <w:t>R. v. Wu</w:t>
      </w:r>
      <w:r w:rsidRPr="009D7B9C">
        <w:rPr>
          <w:rFonts w:ascii="Times New Roman" w:hAnsi="Times New Roman" w:cs="Times New Roman"/>
          <w:sz w:val="24"/>
          <w:szCs w:val="24"/>
          <w:lang w:val="en-CA"/>
        </w:rPr>
        <w:t xml:space="preserve">, 2003 SCC 73, [2003] 3 S.C.R. 530; </w:t>
      </w:r>
      <w:r w:rsidRPr="009D7B9C">
        <w:rPr>
          <w:rFonts w:ascii="Times New Roman" w:hAnsi="Times New Roman" w:cs="Times New Roman"/>
          <w:i/>
          <w:sz w:val="24"/>
          <w:szCs w:val="24"/>
          <w:lang w:val="en-CA"/>
        </w:rPr>
        <w:t xml:space="preserve">R. v. </w:t>
      </w:r>
      <w:proofErr w:type="spellStart"/>
      <w:r w:rsidRPr="009D7B9C">
        <w:rPr>
          <w:rFonts w:ascii="Times New Roman" w:hAnsi="Times New Roman" w:cs="Times New Roman"/>
          <w:i/>
          <w:sz w:val="24"/>
          <w:szCs w:val="24"/>
          <w:lang w:val="en-CA"/>
        </w:rPr>
        <w:t>Grimberg</w:t>
      </w:r>
      <w:proofErr w:type="spellEnd"/>
      <w:r w:rsidRPr="009D7B9C">
        <w:rPr>
          <w:rFonts w:ascii="Times New Roman" w:hAnsi="Times New Roman" w:cs="Times New Roman"/>
          <w:sz w:val="24"/>
          <w:szCs w:val="24"/>
          <w:lang w:val="en-CA"/>
        </w:rPr>
        <w:t xml:space="preserve"> (2002), 155 O.A.C. 296;</w:t>
      </w:r>
      <w:r w:rsidRPr="009D7B9C">
        <w:rPr>
          <w:rFonts w:ascii="Times New Roman" w:hAnsi="Times New Roman" w:cs="Times New Roman"/>
          <w:i/>
          <w:sz w:val="24"/>
          <w:szCs w:val="24"/>
          <w:lang w:val="en-CA"/>
        </w:rPr>
        <w:t xml:space="preserve"> R. v. Desjardins</w:t>
      </w:r>
      <w:r w:rsidRPr="009D7B9C">
        <w:rPr>
          <w:rFonts w:ascii="Times New Roman" w:hAnsi="Times New Roman" w:cs="Times New Roman"/>
          <w:sz w:val="24"/>
          <w:szCs w:val="24"/>
          <w:lang w:val="en-CA"/>
        </w:rPr>
        <w:t xml:space="preserve"> (1996), 182 N.B.R. (2d) 321; </w:t>
      </w:r>
      <w:r w:rsidRPr="009D7B9C">
        <w:rPr>
          <w:rFonts w:ascii="Times New Roman" w:hAnsi="Times New Roman" w:cs="Times New Roman"/>
          <w:i/>
          <w:sz w:val="24"/>
          <w:szCs w:val="24"/>
          <w:lang w:val="en-CA"/>
        </w:rPr>
        <w:t xml:space="preserve">R. v. Dow </w:t>
      </w:r>
      <w:r w:rsidRPr="009D7B9C">
        <w:rPr>
          <w:rFonts w:ascii="Times New Roman" w:hAnsi="Times New Roman" w:cs="Times New Roman"/>
          <w:sz w:val="24"/>
          <w:szCs w:val="24"/>
          <w:lang w:val="en-CA"/>
        </w:rPr>
        <w:t>(1976), 1 C.R. (3d) S</w:t>
      </w:r>
      <w:r w:rsidR="005F6643" w:rsidRPr="009D7B9C">
        <w:rPr>
          <w:rFonts w:ascii="Times New Roman" w:hAnsi="Times New Roman" w:cs="Times New Roman"/>
          <w:sz w:val="24"/>
          <w:szCs w:val="24"/>
          <w:lang w:val="en-CA"/>
        </w:rPr>
        <w:t>.</w:t>
      </w:r>
      <w:r w:rsidR="00192007" w:rsidRPr="009D7B9C">
        <w:rPr>
          <w:rFonts w:ascii="Times New Roman" w:hAnsi="Times New Roman" w:cs="Times New Roman"/>
          <w:sz w:val="24"/>
          <w:szCs w:val="24"/>
          <w:lang w:val="en-CA"/>
        </w:rPr>
        <w:noBreakHyphen/>
      </w:r>
      <w:r w:rsidRPr="009D7B9C">
        <w:rPr>
          <w:rFonts w:ascii="Times New Roman" w:hAnsi="Times New Roman" w:cs="Times New Roman"/>
          <w:sz w:val="24"/>
          <w:szCs w:val="24"/>
          <w:lang w:val="en-CA"/>
        </w:rPr>
        <w:t xml:space="preserve">9; </w:t>
      </w:r>
      <w:r w:rsidRPr="009D7B9C">
        <w:rPr>
          <w:rFonts w:ascii="Times New Roman" w:hAnsi="Times New Roman" w:cs="Times New Roman"/>
          <w:i/>
          <w:sz w:val="24"/>
          <w:szCs w:val="24"/>
          <w:lang w:val="en-CA"/>
        </w:rPr>
        <w:t xml:space="preserve">R. v. </w:t>
      </w:r>
      <w:proofErr w:type="spellStart"/>
      <w:r w:rsidRPr="009D7B9C">
        <w:rPr>
          <w:rFonts w:ascii="Times New Roman" w:hAnsi="Times New Roman" w:cs="Times New Roman"/>
          <w:i/>
          <w:sz w:val="24"/>
          <w:szCs w:val="24"/>
          <w:lang w:val="en-CA"/>
        </w:rPr>
        <w:t>Noseworthy</w:t>
      </w:r>
      <w:proofErr w:type="spellEnd"/>
      <w:r w:rsidRPr="009D7B9C">
        <w:rPr>
          <w:rFonts w:ascii="Times New Roman" w:hAnsi="Times New Roman" w:cs="Times New Roman"/>
          <w:sz w:val="24"/>
          <w:szCs w:val="24"/>
          <w:lang w:val="en-CA"/>
        </w:rPr>
        <w:t xml:space="preserve">, 2000 NFCA 45, 192 Nfld. &amp; P.E.I.R. 120; </w:t>
      </w:r>
      <w:r w:rsidRPr="009D7B9C">
        <w:rPr>
          <w:rFonts w:ascii="Times New Roman" w:hAnsi="Times New Roman" w:cs="Times New Roman"/>
          <w:i/>
          <w:sz w:val="24"/>
          <w:szCs w:val="24"/>
          <w:lang w:val="en-CA"/>
        </w:rPr>
        <w:t>R. v. Guppy</w:t>
      </w:r>
      <w:r w:rsidRPr="009D7B9C">
        <w:rPr>
          <w:rFonts w:ascii="Times New Roman" w:hAnsi="Times New Roman" w:cs="Times New Roman"/>
          <w:sz w:val="24"/>
          <w:szCs w:val="24"/>
          <w:lang w:val="en-CA"/>
        </w:rPr>
        <w:t xml:space="preserve"> (1995), 16 Cr. App. R. (S.) 25; </w:t>
      </w:r>
      <w:r w:rsidRPr="009D7B9C">
        <w:rPr>
          <w:rFonts w:ascii="Times New Roman" w:hAnsi="Times New Roman" w:cs="Times New Roman"/>
          <w:i/>
          <w:sz w:val="24"/>
          <w:szCs w:val="24"/>
          <w:lang w:val="en-CA"/>
        </w:rPr>
        <w:t>R. v. Johnson</w:t>
      </w:r>
      <w:r w:rsidRPr="009D7B9C">
        <w:rPr>
          <w:rFonts w:ascii="Times New Roman" w:hAnsi="Times New Roman" w:cs="Times New Roman"/>
          <w:sz w:val="24"/>
          <w:szCs w:val="24"/>
          <w:lang w:val="en-CA"/>
        </w:rPr>
        <w:t xml:space="preserve">, 2010 ABCA 392, 493 A.R. 74; </w:t>
      </w:r>
      <w:r w:rsidRPr="009D7B9C">
        <w:rPr>
          <w:rFonts w:ascii="Times New Roman" w:hAnsi="Times New Roman" w:cs="Times New Roman"/>
          <w:i/>
          <w:sz w:val="24"/>
          <w:szCs w:val="24"/>
          <w:lang w:val="en-CA"/>
        </w:rPr>
        <w:t>R. v. Castro</w:t>
      </w:r>
      <w:r w:rsidRPr="009D7B9C">
        <w:rPr>
          <w:rFonts w:ascii="Times New Roman" w:hAnsi="Times New Roman" w:cs="Times New Roman"/>
          <w:sz w:val="24"/>
          <w:szCs w:val="24"/>
          <w:lang w:val="en-CA"/>
        </w:rPr>
        <w:t>, 2010 ONCA 718, 102 O.R. (3d) 609.</w:t>
      </w:r>
    </w:p>
    <w:p w:rsidR="00EE1B8D" w:rsidRPr="009D7B9C" w:rsidRDefault="00EE1B8D" w:rsidP="00EE1B8D">
      <w:pPr>
        <w:pStyle w:val="SCCNormalDoubleSpacing"/>
        <w:keepNext/>
        <w:spacing w:after="720" w:line="240" w:lineRule="auto"/>
        <w:rPr>
          <w:rFonts w:ascii="Times New Roman" w:hAnsi="Times New Roman" w:cs="Times New Roman"/>
          <w:b/>
          <w:sz w:val="24"/>
          <w:szCs w:val="24"/>
        </w:rPr>
      </w:pPr>
      <w:proofErr w:type="spellStart"/>
      <w:r w:rsidRPr="009D7B9C">
        <w:rPr>
          <w:rFonts w:ascii="Times New Roman" w:hAnsi="Times New Roman" w:cs="Times New Roman"/>
          <w:b/>
          <w:sz w:val="24"/>
          <w:szCs w:val="24"/>
        </w:rPr>
        <w:lastRenderedPageBreak/>
        <w:t>Statutes</w:t>
      </w:r>
      <w:proofErr w:type="spellEnd"/>
      <w:r w:rsidRPr="009D7B9C">
        <w:rPr>
          <w:rFonts w:ascii="Times New Roman" w:hAnsi="Times New Roman" w:cs="Times New Roman"/>
          <w:b/>
          <w:sz w:val="24"/>
          <w:szCs w:val="24"/>
        </w:rPr>
        <w:t xml:space="preserve"> and </w:t>
      </w:r>
      <w:proofErr w:type="spellStart"/>
      <w:r w:rsidRPr="009D7B9C">
        <w:rPr>
          <w:rFonts w:ascii="Times New Roman" w:hAnsi="Times New Roman" w:cs="Times New Roman"/>
          <w:b/>
          <w:sz w:val="24"/>
          <w:szCs w:val="24"/>
        </w:rPr>
        <w:t>Regulations</w:t>
      </w:r>
      <w:proofErr w:type="spellEnd"/>
      <w:r w:rsidRPr="009D7B9C">
        <w:rPr>
          <w:rFonts w:ascii="Times New Roman" w:hAnsi="Times New Roman" w:cs="Times New Roman"/>
          <w:b/>
          <w:sz w:val="24"/>
          <w:szCs w:val="24"/>
        </w:rPr>
        <w:t xml:space="preserve"> </w:t>
      </w:r>
      <w:proofErr w:type="spellStart"/>
      <w:r w:rsidRPr="009D7B9C">
        <w:rPr>
          <w:rFonts w:ascii="Times New Roman" w:hAnsi="Times New Roman" w:cs="Times New Roman"/>
          <w:b/>
          <w:sz w:val="24"/>
          <w:szCs w:val="24"/>
        </w:rPr>
        <w:t>Cited</w:t>
      </w:r>
      <w:proofErr w:type="spellEnd"/>
    </w:p>
    <w:p w:rsidR="00EE1B8D" w:rsidRPr="009D7B9C" w:rsidRDefault="00EE1B8D" w:rsidP="00EE1B8D">
      <w:pPr>
        <w:pStyle w:val="SCCNormalDoubleSpacing"/>
        <w:spacing w:after="240" w:line="240" w:lineRule="auto"/>
        <w:ind w:left="539" w:hanging="539"/>
        <w:rPr>
          <w:rFonts w:ascii="Times New Roman" w:hAnsi="Times New Roman" w:cs="Times New Roman"/>
          <w:sz w:val="24"/>
          <w:szCs w:val="24"/>
          <w:lang w:val="en-CA"/>
        </w:rPr>
      </w:pPr>
      <w:r w:rsidRPr="009D7B9C">
        <w:rPr>
          <w:rFonts w:ascii="Times New Roman" w:hAnsi="Times New Roman" w:cs="Times New Roman"/>
          <w:i/>
          <w:sz w:val="24"/>
          <w:szCs w:val="24"/>
          <w:lang w:val="en-CA"/>
        </w:rPr>
        <w:t>Criminal Code</w:t>
      </w:r>
      <w:r w:rsidRPr="009D7B9C">
        <w:rPr>
          <w:rFonts w:ascii="Times New Roman" w:hAnsi="Times New Roman" w:cs="Times New Roman"/>
          <w:sz w:val="24"/>
          <w:szCs w:val="24"/>
          <w:lang w:val="en-CA"/>
        </w:rPr>
        <w:t>, R.S.C. 1985, c. C</w:t>
      </w:r>
      <w:r w:rsidRPr="009D7B9C">
        <w:rPr>
          <w:rFonts w:ascii="Times New Roman" w:hAnsi="Times New Roman" w:cs="Times New Roman"/>
          <w:sz w:val="24"/>
          <w:szCs w:val="24"/>
          <w:lang w:val="en-CA"/>
        </w:rPr>
        <w:noBreakHyphen/>
        <w:t>46, ss. </w:t>
      </w:r>
      <w:r w:rsidR="005F6643" w:rsidRPr="009D7B9C">
        <w:rPr>
          <w:rFonts w:ascii="Times New Roman" w:hAnsi="Times New Roman" w:cs="Times New Roman"/>
          <w:sz w:val="24"/>
          <w:szCs w:val="24"/>
          <w:lang w:val="en-CA"/>
        </w:rPr>
        <w:t xml:space="preserve">720 to 724, </w:t>
      </w:r>
      <w:r w:rsidRPr="009D7B9C">
        <w:rPr>
          <w:rFonts w:ascii="Times New Roman" w:hAnsi="Times New Roman" w:cs="Times New Roman"/>
          <w:sz w:val="24"/>
          <w:szCs w:val="24"/>
          <w:lang w:val="en-CA"/>
        </w:rPr>
        <w:t>724(3</w:t>
      </w:r>
      <w:proofErr w:type="gramStart"/>
      <w:r w:rsidRPr="009D7B9C">
        <w:rPr>
          <w:rFonts w:ascii="Times New Roman" w:hAnsi="Times New Roman" w:cs="Times New Roman"/>
          <w:sz w:val="24"/>
          <w:szCs w:val="24"/>
          <w:lang w:val="en-CA"/>
        </w:rPr>
        <w:t>)(</w:t>
      </w:r>
      <w:proofErr w:type="gramEnd"/>
      <w:r w:rsidRPr="009D7B9C">
        <w:rPr>
          <w:rFonts w:ascii="Times New Roman" w:hAnsi="Times New Roman" w:cs="Times New Roman"/>
          <w:i/>
          <w:sz w:val="24"/>
          <w:szCs w:val="24"/>
          <w:lang w:val="en-CA"/>
        </w:rPr>
        <w:t>d</w:t>
      </w:r>
      <w:r w:rsidRPr="009D7B9C">
        <w:rPr>
          <w:rFonts w:ascii="Times New Roman" w:hAnsi="Times New Roman" w:cs="Times New Roman"/>
          <w:sz w:val="24"/>
          <w:szCs w:val="24"/>
          <w:lang w:val="en-CA"/>
        </w:rPr>
        <w:t>), (</w:t>
      </w:r>
      <w:r w:rsidRPr="009D7B9C">
        <w:rPr>
          <w:rFonts w:ascii="Times New Roman" w:hAnsi="Times New Roman" w:cs="Times New Roman"/>
          <w:i/>
          <w:sz w:val="24"/>
          <w:szCs w:val="24"/>
          <w:lang w:val="en-CA"/>
        </w:rPr>
        <w:t>e</w:t>
      </w:r>
      <w:r w:rsidRPr="009D7B9C">
        <w:rPr>
          <w:rFonts w:ascii="Times New Roman" w:hAnsi="Times New Roman" w:cs="Times New Roman"/>
          <w:sz w:val="24"/>
          <w:szCs w:val="24"/>
          <w:lang w:val="en-CA"/>
        </w:rPr>
        <w:t>), 734(1)(</w:t>
      </w:r>
      <w:r w:rsidRPr="009D7B9C">
        <w:rPr>
          <w:rFonts w:ascii="Times New Roman" w:hAnsi="Times New Roman" w:cs="Times New Roman"/>
          <w:i/>
          <w:sz w:val="24"/>
          <w:szCs w:val="24"/>
          <w:lang w:val="en-CA"/>
        </w:rPr>
        <w:t>a</w:t>
      </w:r>
      <w:r w:rsidRPr="009D7B9C">
        <w:rPr>
          <w:rFonts w:ascii="Times New Roman" w:hAnsi="Times New Roman" w:cs="Times New Roman"/>
          <w:sz w:val="24"/>
          <w:szCs w:val="24"/>
          <w:lang w:val="en-CA"/>
        </w:rPr>
        <w:t>), (2), (5), 736.</w:t>
      </w:r>
    </w:p>
    <w:p w:rsidR="00EE1B8D" w:rsidRPr="009D7B9C" w:rsidRDefault="00EE1B8D" w:rsidP="00EE1B8D">
      <w:pPr>
        <w:pStyle w:val="SCCNormalDoubleSpacing"/>
        <w:spacing w:after="720" w:line="240" w:lineRule="auto"/>
        <w:ind w:left="539" w:hanging="539"/>
        <w:rPr>
          <w:rFonts w:ascii="Times New Roman" w:hAnsi="Times New Roman" w:cs="Times New Roman"/>
          <w:sz w:val="24"/>
          <w:szCs w:val="24"/>
          <w:lang w:val="en-CA"/>
        </w:rPr>
      </w:pPr>
      <w:r w:rsidRPr="009D7B9C">
        <w:rPr>
          <w:rFonts w:ascii="Times New Roman" w:hAnsi="Times New Roman" w:cs="Times New Roman"/>
          <w:i/>
          <w:sz w:val="24"/>
          <w:szCs w:val="24"/>
          <w:lang w:val="en-CA"/>
        </w:rPr>
        <w:t>Customs Act</w:t>
      </w:r>
      <w:r w:rsidRPr="009D7B9C">
        <w:rPr>
          <w:rFonts w:ascii="Times New Roman" w:hAnsi="Times New Roman" w:cs="Times New Roman"/>
          <w:sz w:val="24"/>
          <w:szCs w:val="24"/>
          <w:lang w:val="en-CA"/>
        </w:rPr>
        <w:t>, R.S.C. 1985, c. 1 (2nd Supp.), s. 153(</w:t>
      </w:r>
      <w:r w:rsidRPr="009D7B9C">
        <w:rPr>
          <w:rFonts w:ascii="Times New Roman" w:hAnsi="Times New Roman" w:cs="Times New Roman"/>
          <w:i/>
          <w:sz w:val="24"/>
          <w:szCs w:val="24"/>
          <w:lang w:val="en-CA"/>
        </w:rPr>
        <w:t>c</w:t>
      </w:r>
      <w:r w:rsidRPr="009D7B9C">
        <w:rPr>
          <w:rFonts w:ascii="Times New Roman" w:hAnsi="Times New Roman" w:cs="Times New Roman"/>
          <w:sz w:val="24"/>
          <w:szCs w:val="24"/>
          <w:lang w:val="en-CA"/>
        </w:rPr>
        <w:t>).</w:t>
      </w:r>
    </w:p>
    <w:p w:rsidR="00EE1B8D" w:rsidRPr="009D7B9C" w:rsidRDefault="00EE1B8D" w:rsidP="00EE1B8D">
      <w:pPr>
        <w:pStyle w:val="SCCNormalDoubleSpacing"/>
        <w:keepNext/>
        <w:spacing w:after="720" w:line="240" w:lineRule="auto"/>
        <w:rPr>
          <w:rFonts w:ascii="Times New Roman" w:hAnsi="Times New Roman" w:cs="Times New Roman"/>
          <w:sz w:val="24"/>
          <w:szCs w:val="24"/>
          <w:lang w:val="en-CA"/>
        </w:rPr>
      </w:pPr>
      <w:r w:rsidRPr="009D7B9C">
        <w:rPr>
          <w:rFonts w:ascii="Times New Roman" w:hAnsi="Times New Roman" w:cs="Times New Roman"/>
          <w:b/>
          <w:sz w:val="24"/>
          <w:szCs w:val="24"/>
          <w:lang w:val="en-CA"/>
        </w:rPr>
        <w:t>Authors Cited</w:t>
      </w:r>
    </w:p>
    <w:p w:rsidR="00EE1B8D" w:rsidRPr="009D7B9C" w:rsidRDefault="00EE1B8D" w:rsidP="00EE1B8D">
      <w:pPr>
        <w:pStyle w:val="SCCNormalDoubleSpacing"/>
        <w:spacing w:after="720" w:line="240" w:lineRule="auto"/>
        <w:ind w:left="539" w:hanging="539"/>
        <w:rPr>
          <w:rFonts w:ascii="Times New Roman" w:hAnsi="Times New Roman" w:cs="Times New Roman"/>
          <w:sz w:val="24"/>
          <w:szCs w:val="24"/>
          <w:lang w:val="en-CA"/>
        </w:rPr>
      </w:pPr>
      <w:r w:rsidRPr="009D7B9C">
        <w:rPr>
          <w:rFonts w:ascii="Times New Roman" w:hAnsi="Times New Roman" w:cs="Times New Roman"/>
          <w:sz w:val="24"/>
          <w:szCs w:val="24"/>
          <w:lang w:val="en-CA"/>
        </w:rPr>
        <w:t xml:space="preserve">Canada.  </w:t>
      </w:r>
      <w:proofErr w:type="gramStart"/>
      <w:r w:rsidRPr="009D7B9C">
        <w:rPr>
          <w:rFonts w:ascii="Times New Roman" w:hAnsi="Times New Roman" w:cs="Times New Roman"/>
          <w:sz w:val="24"/>
          <w:szCs w:val="24"/>
          <w:lang w:val="en-CA"/>
        </w:rPr>
        <w:t>House of Commons.</w:t>
      </w:r>
      <w:proofErr w:type="gramEnd"/>
      <w:r w:rsidRPr="009D7B9C">
        <w:rPr>
          <w:rFonts w:ascii="Times New Roman" w:hAnsi="Times New Roman" w:cs="Times New Roman"/>
          <w:sz w:val="24"/>
          <w:szCs w:val="24"/>
          <w:lang w:val="en-CA"/>
        </w:rPr>
        <w:t xml:space="preserve">  </w:t>
      </w:r>
      <w:r w:rsidRPr="009D7B9C">
        <w:rPr>
          <w:rFonts w:ascii="Times New Roman" w:hAnsi="Times New Roman" w:cs="Times New Roman"/>
          <w:i/>
          <w:sz w:val="24"/>
          <w:szCs w:val="24"/>
          <w:lang w:val="en-CA"/>
        </w:rPr>
        <w:t>House of Commons Debates</w:t>
      </w:r>
      <w:r w:rsidRPr="009D7B9C">
        <w:rPr>
          <w:rFonts w:ascii="Times New Roman" w:hAnsi="Times New Roman" w:cs="Times New Roman"/>
          <w:sz w:val="24"/>
          <w:szCs w:val="24"/>
          <w:lang w:val="en-CA"/>
        </w:rPr>
        <w:t>, vol. 133, 1st Sess., 35th Parl., September 20, 1994, p. 5872.</w:t>
      </w:r>
    </w:p>
    <w:p w:rsidR="00EE1B8D" w:rsidRPr="00532F92" w:rsidRDefault="00EE1B8D" w:rsidP="00EE1B8D">
      <w:pPr>
        <w:pStyle w:val="SCCNormalDoubleSpacing"/>
        <w:spacing w:after="480"/>
        <w:rPr>
          <w:rFonts w:ascii="Times New Roman" w:hAnsi="Times New Roman" w:cs="Times New Roman"/>
          <w:sz w:val="24"/>
          <w:szCs w:val="24"/>
          <w:lang w:val="en-CA"/>
        </w:rPr>
      </w:pPr>
      <w:r w:rsidRPr="009D7B9C">
        <w:rPr>
          <w:rFonts w:ascii="Times New Roman" w:hAnsi="Times New Roman" w:cs="Times New Roman"/>
          <w:sz w:val="24"/>
          <w:szCs w:val="24"/>
          <w:lang w:val="en-CA"/>
        </w:rPr>
        <w:tab/>
        <w:t xml:space="preserve">APPEAL from a judgment of the </w:t>
      </w:r>
      <w:r w:rsidR="005F6643" w:rsidRPr="009D7B9C">
        <w:rPr>
          <w:rFonts w:ascii="Times New Roman" w:hAnsi="Times New Roman" w:cs="Times New Roman"/>
          <w:sz w:val="24"/>
          <w:szCs w:val="24"/>
          <w:lang w:val="en-CA"/>
        </w:rPr>
        <w:t xml:space="preserve">Ontario </w:t>
      </w:r>
      <w:r w:rsidRPr="009D7B9C">
        <w:rPr>
          <w:rFonts w:ascii="Times New Roman" w:hAnsi="Times New Roman" w:cs="Times New Roman"/>
          <w:sz w:val="24"/>
          <w:szCs w:val="24"/>
          <w:lang w:val="en-CA"/>
        </w:rPr>
        <w:t>Court of Appeal (</w:t>
      </w:r>
      <w:r w:rsidR="000A1DE5" w:rsidRPr="009D7B9C">
        <w:rPr>
          <w:rFonts w:ascii="Times New Roman" w:hAnsi="Times New Roman" w:cs="Times New Roman"/>
          <w:sz w:val="24"/>
          <w:szCs w:val="24"/>
        </w:rPr>
        <w:fldChar w:fldCharType="begin"/>
      </w:r>
      <w:r w:rsidRPr="009D7B9C">
        <w:rPr>
          <w:rFonts w:ascii="Times New Roman" w:hAnsi="Times New Roman" w:cs="Times New Roman"/>
          <w:sz w:val="24"/>
          <w:szCs w:val="24"/>
          <w:lang w:val="en-CA"/>
        </w:rPr>
        <w:instrText xml:space="preserve"> SEQ CHAPTER \h \r 1</w:instrText>
      </w:r>
      <w:r w:rsidR="000A1DE5" w:rsidRPr="009D7B9C">
        <w:rPr>
          <w:rFonts w:ascii="Times New Roman" w:hAnsi="Times New Roman" w:cs="Times New Roman"/>
          <w:sz w:val="24"/>
          <w:szCs w:val="24"/>
        </w:rPr>
        <w:fldChar w:fldCharType="end"/>
      </w:r>
      <w:proofErr w:type="spellStart"/>
      <w:r w:rsidRPr="009D7B9C">
        <w:rPr>
          <w:rFonts w:ascii="Times New Roman" w:hAnsi="Times New Roman" w:cs="Times New Roman"/>
          <w:sz w:val="24"/>
          <w:szCs w:val="24"/>
          <w:lang w:val="en-CA"/>
        </w:rPr>
        <w:t>Moldaver</w:t>
      </w:r>
      <w:proofErr w:type="spellEnd"/>
      <w:r w:rsidRPr="009D7B9C">
        <w:rPr>
          <w:rFonts w:ascii="Times New Roman" w:hAnsi="Times New Roman" w:cs="Times New Roman"/>
          <w:sz w:val="24"/>
          <w:szCs w:val="24"/>
          <w:lang w:val="en-CA"/>
        </w:rPr>
        <w:t xml:space="preserve">, </w:t>
      </w:r>
      <w:proofErr w:type="spellStart"/>
      <w:r w:rsidRPr="009D7B9C">
        <w:rPr>
          <w:rFonts w:ascii="Times New Roman" w:hAnsi="Times New Roman" w:cs="Times New Roman"/>
          <w:sz w:val="24"/>
          <w:szCs w:val="24"/>
          <w:lang w:val="en-CA"/>
        </w:rPr>
        <w:t>Goudge</w:t>
      </w:r>
      <w:proofErr w:type="spellEnd"/>
      <w:r w:rsidRPr="009D7B9C">
        <w:rPr>
          <w:rFonts w:ascii="Times New Roman" w:hAnsi="Times New Roman" w:cs="Times New Roman"/>
          <w:sz w:val="24"/>
          <w:szCs w:val="24"/>
          <w:lang w:val="en-CA"/>
        </w:rPr>
        <w:t xml:space="preserve"> and </w:t>
      </w:r>
      <w:proofErr w:type="spellStart"/>
      <w:r w:rsidR="005F6643" w:rsidRPr="009D7B9C">
        <w:rPr>
          <w:rFonts w:ascii="Times New Roman" w:hAnsi="Times New Roman" w:cs="Times New Roman"/>
          <w:sz w:val="24"/>
          <w:szCs w:val="24"/>
          <w:lang w:val="en-CA"/>
        </w:rPr>
        <w:t>Rouleau</w:t>
      </w:r>
      <w:proofErr w:type="spellEnd"/>
      <w:r w:rsidRPr="009D7B9C">
        <w:rPr>
          <w:rFonts w:ascii="Times New Roman" w:hAnsi="Times New Roman" w:cs="Times New Roman"/>
          <w:sz w:val="24"/>
          <w:szCs w:val="24"/>
          <w:lang w:val="en-CA"/>
        </w:rPr>
        <w:t xml:space="preserve"> JJ.A.), 2009 ONCA 828, </w:t>
      </w:r>
      <w:r w:rsidR="005F6643" w:rsidRPr="009D7B9C">
        <w:rPr>
          <w:rFonts w:ascii="Times New Roman" w:hAnsi="Times New Roman" w:cs="Times New Roman"/>
          <w:sz w:val="24"/>
          <w:szCs w:val="24"/>
          <w:lang w:val="en-CA"/>
        </w:rPr>
        <w:t xml:space="preserve">[2009] O.J. No. 4934 (QL), 2009 </w:t>
      </w:r>
      <w:proofErr w:type="spellStart"/>
      <w:r w:rsidR="005F6643" w:rsidRPr="009D7B9C">
        <w:rPr>
          <w:rFonts w:ascii="Times New Roman" w:hAnsi="Times New Roman" w:cs="Times New Roman"/>
          <w:sz w:val="24"/>
          <w:szCs w:val="24"/>
          <w:lang w:val="en-CA"/>
        </w:rPr>
        <w:t>CarswellOnt</w:t>
      </w:r>
      <w:proofErr w:type="spellEnd"/>
      <w:r w:rsidR="005F6643" w:rsidRPr="009D7B9C">
        <w:rPr>
          <w:rFonts w:ascii="Times New Roman" w:hAnsi="Times New Roman" w:cs="Times New Roman"/>
          <w:sz w:val="24"/>
          <w:szCs w:val="24"/>
          <w:lang w:val="en-CA"/>
        </w:rPr>
        <w:t xml:space="preserve"> 7307, </w:t>
      </w:r>
      <w:r w:rsidRPr="009D7B9C">
        <w:rPr>
          <w:rFonts w:ascii="Times New Roman" w:hAnsi="Times New Roman" w:cs="Times New Roman"/>
          <w:sz w:val="24"/>
          <w:szCs w:val="24"/>
          <w:lang w:val="en-CA"/>
        </w:rPr>
        <w:t xml:space="preserve">affirming a decision of </w:t>
      </w:r>
      <w:proofErr w:type="spellStart"/>
      <w:r w:rsidRPr="009D7B9C">
        <w:rPr>
          <w:rFonts w:ascii="Times New Roman" w:hAnsi="Times New Roman" w:cs="Times New Roman"/>
          <w:sz w:val="24"/>
          <w:szCs w:val="24"/>
          <w:lang w:val="en-CA"/>
        </w:rPr>
        <w:t>Baltman</w:t>
      </w:r>
      <w:proofErr w:type="spellEnd"/>
      <w:r w:rsidRPr="009D7B9C">
        <w:rPr>
          <w:rFonts w:ascii="Times New Roman" w:hAnsi="Times New Roman" w:cs="Times New Roman"/>
          <w:sz w:val="24"/>
          <w:szCs w:val="24"/>
          <w:lang w:val="en-CA"/>
        </w:rPr>
        <w:t xml:space="preserve"> J., 2008 </w:t>
      </w:r>
      <w:proofErr w:type="spellStart"/>
      <w:r w:rsidRPr="009D7B9C">
        <w:rPr>
          <w:rFonts w:ascii="Times New Roman" w:hAnsi="Times New Roman" w:cs="Times New Roman"/>
          <w:sz w:val="24"/>
          <w:szCs w:val="24"/>
          <w:lang w:val="en-CA"/>
        </w:rPr>
        <w:t>CanLII</w:t>
      </w:r>
      <w:proofErr w:type="spellEnd"/>
      <w:r w:rsidRPr="009D7B9C">
        <w:rPr>
          <w:rFonts w:ascii="Times New Roman" w:hAnsi="Times New Roman" w:cs="Times New Roman"/>
          <w:sz w:val="24"/>
          <w:szCs w:val="24"/>
          <w:lang w:val="en-CA"/>
        </w:rPr>
        <w:t xml:space="preserve"> 20991</w:t>
      </w:r>
      <w:r w:rsidR="005F6643" w:rsidRPr="009D7B9C">
        <w:rPr>
          <w:rFonts w:ascii="Times New Roman" w:hAnsi="Times New Roman" w:cs="Times New Roman"/>
          <w:sz w:val="24"/>
          <w:szCs w:val="24"/>
          <w:lang w:val="en-CA"/>
        </w:rPr>
        <w:t xml:space="preserve">, [2008] O.J. No. 1766 (QL), 2008 </w:t>
      </w:r>
      <w:proofErr w:type="spellStart"/>
      <w:r w:rsidR="005F6643" w:rsidRPr="009D7B9C">
        <w:rPr>
          <w:rFonts w:ascii="Times New Roman" w:hAnsi="Times New Roman" w:cs="Times New Roman"/>
          <w:sz w:val="24"/>
          <w:szCs w:val="24"/>
          <w:lang w:val="en-CA"/>
        </w:rPr>
        <w:t>CarswellOnt</w:t>
      </w:r>
      <w:proofErr w:type="spellEnd"/>
      <w:r w:rsidR="005F6643" w:rsidRPr="009D7B9C">
        <w:rPr>
          <w:rFonts w:ascii="Times New Roman" w:hAnsi="Times New Roman" w:cs="Times New Roman"/>
          <w:sz w:val="24"/>
          <w:szCs w:val="24"/>
          <w:lang w:val="en-CA"/>
        </w:rPr>
        <w:t xml:space="preserve"> 2539</w:t>
      </w:r>
      <w:r w:rsidRPr="009D7B9C">
        <w:rPr>
          <w:rFonts w:ascii="Times New Roman" w:hAnsi="Times New Roman" w:cs="Times New Roman"/>
          <w:sz w:val="24"/>
          <w:szCs w:val="24"/>
          <w:lang w:val="en-CA"/>
        </w:rPr>
        <w:t xml:space="preserve">.  </w:t>
      </w:r>
      <w:r w:rsidRPr="00532F92">
        <w:rPr>
          <w:rFonts w:ascii="Times New Roman" w:hAnsi="Times New Roman" w:cs="Times New Roman"/>
          <w:sz w:val="24"/>
          <w:szCs w:val="24"/>
          <w:lang w:val="en-CA"/>
        </w:rPr>
        <w:t>Appeal dismissed.</w:t>
      </w:r>
    </w:p>
    <w:p w:rsidR="00EE1B8D" w:rsidRPr="009D7B9C" w:rsidRDefault="00EE1B8D" w:rsidP="00EE1B8D">
      <w:pPr>
        <w:pStyle w:val="SCCNormalDoubleSpacing"/>
        <w:spacing w:after="480"/>
        <w:rPr>
          <w:rStyle w:val="SCCCounselPartyRoleChar"/>
          <w:rFonts w:ascii="Times New Roman" w:hAnsi="Times New Roman" w:cs="Times New Roman"/>
          <w:szCs w:val="24"/>
          <w:lang w:val="en-CA"/>
        </w:rPr>
      </w:pPr>
      <w:r w:rsidRPr="00532F92">
        <w:rPr>
          <w:rStyle w:val="SCCCounselNameChar"/>
          <w:rFonts w:ascii="Times New Roman" w:hAnsi="Times New Roman" w:cs="Times New Roman"/>
          <w:szCs w:val="24"/>
          <w:lang w:val="en-CA"/>
        </w:rPr>
        <w:tab/>
      </w:r>
      <w:proofErr w:type="gramStart"/>
      <w:r w:rsidRPr="009D7B9C">
        <w:rPr>
          <w:rStyle w:val="SCCCounselNameChar"/>
          <w:rFonts w:ascii="Times New Roman" w:hAnsi="Times New Roman" w:cs="Times New Roman"/>
          <w:szCs w:val="24"/>
          <w:lang w:val="en-CA"/>
        </w:rPr>
        <w:t>Nicholas E. Devlin</w:t>
      </w:r>
      <w:r w:rsidRPr="009D7B9C">
        <w:rPr>
          <w:rStyle w:val="SCCCounselSeparatorChar"/>
          <w:rFonts w:ascii="Times New Roman" w:hAnsi="Times New Roman" w:cs="Times New Roman"/>
          <w:szCs w:val="24"/>
          <w:lang w:val="en-CA"/>
        </w:rPr>
        <w:t xml:space="preserve"> and </w:t>
      </w:r>
      <w:r w:rsidRPr="009D7B9C">
        <w:rPr>
          <w:rStyle w:val="SCCCounselNameChar"/>
          <w:rFonts w:ascii="Times New Roman" w:hAnsi="Times New Roman" w:cs="Times New Roman"/>
          <w:szCs w:val="24"/>
          <w:lang w:val="en-CA"/>
        </w:rPr>
        <w:t xml:space="preserve">Xenia </w:t>
      </w:r>
      <w:proofErr w:type="spellStart"/>
      <w:r w:rsidRPr="009D7B9C">
        <w:rPr>
          <w:rStyle w:val="SCCCounselNameChar"/>
          <w:rFonts w:ascii="Times New Roman" w:hAnsi="Times New Roman" w:cs="Times New Roman"/>
          <w:szCs w:val="24"/>
          <w:lang w:val="en-CA"/>
        </w:rPr>
        <w:t>Proestos</w:t>
      </w:r>
      <w:proofErr w:type="spellEnd"/>
      <w:r w:rsidRPr="009D7B9C">
        <w:rPr>
          <w:rStyle w:val="SCCCounselPartyRoleChar"/>
          <w:rFonts w:ascii="Times New Roman" w:hAnsi="Times New Roman" w:cs="Times New Roman"/>
          <w:szCs w:val="24"/>
          <w:lang w:val="en-CA"/>
        </w:rPr>
        <w:t>, for the appellant.</w:t>
      </w:r>
      <w:proofErr w:type="gramEnd"/>
    </w:p>
    <w:p w:rsidR="00EE1B8D" w:rsidRPr="009D7B9C" w:rsidRDefault="00EE1B8D" w:rsidP="00EE1B8D">
      <w:pPr>
        <w:pStyle w:val="SCCNormalDoubleSpacing"/>
        <w:spacing w:after="480"/>
        <w:rPr>
          <w:rFonts w:ascii="Times New Roman" w:hAnsi="Times New Roman" w:cs="Times New Roman"/>
          <w:sz w:val="24"/>
          <w:szCs w:val="24"/>
          <w:lang w:val="en-CA"/>
        </w:rPr>
      </w:pPr>
      <w:r w:rsidRPr="009D7B9C">
        <w:rPr>
          <w:rStyle w:val="SCCCounselPartyRoleChar"/>
          <w:rFonts w:ascii="Times New Roman" w:hAnsi="Times New Roman" w:cs="Times New Roman"/>
          <w:szCs w:val="24"/>
          <w:lang w:val="en-CA"/>
        </w:rPr>
        <w:tab/>
        <w:t>No one appeared for the respondent.</w:t>
      </w:r>
    </w:p>
    <w:p w:rsidR="00EE1B8D" w:rsidRPr="009D7B9C" w:rsidRDefault="00EE1B8D" w:rsidP="00EE1B8D">
      <w:pPr>
        <w:pStyle w:val="SCCNormalDoubleSpacing"/>
        <w:spacing w:after="480"/>
        <w:rPr>
          <w:rStyle w:val="SCCCounselPartyRoleChar"/>
          <w:rFonts w:ascii="Times New Roman" w:hAnsi="Times New Roman" w:cs="Times New Roman"/>
          <w:szCs w:val="24"/>
          <w:lang w:val="en-CA"/>
        </w:rPr>
      </w:pPr>
      <w:r w:rsidRPr="009D7B9C">
        <w:rPr>
          <w:rStyle w:val="SCCCounselNameChar"/>
          <w:rFonts w:ascii="Times New Roman" w:hAnsi="Times New Roman" w:cs="Times New Roman"/>
          <w:szCs w:val="24"/>
          <w:lang w:val="en-CA"/>
        </w:rPr>
        <w:tab/>
      </w:r>
      <w:proofErr w:type="gramStart"/>
      <w:r w:rsidRPr="009D7B9C">
        <w:rPr>
          <w:rStyle w:val="SCCCounselNameChar"/>
          <w:rFonts w:ascii="Times New Roman" w:hAnsi="Times New Roman" w:cs="Times New Roman"/>
          <w:szCs w:val="24"/>
          <w:lang w:val="en-CA"/>
        </w:rPr>
        <w:t>Maureen J. McGuire</w:t>
      </w:r>
      <w:r w:rsidRPr="009D7B9C">
        <w:rPr>
          <w:rStyle w:val="SCCCounselPartyRoleChar"/>
          <w:rFonts w:ascii="Times New Roman" w:hAnsi="Times New Roman" w:cs="Times New Roman"/>
          <w:szCs w:val="24"/>
          <w:lang w:val="en-CA"/>
        </w:rPr>
        <w:t>, for the intervener.</w:t>
      </w:r>
      <w:proofErr w:type="gramEnd"/>
    </w:p>
    <w:p w:rsidR="00EE1B8D" w:rsidRPr="009D7B9C" w:rsidRDefault="00EE1B8D" w:rsidP="00EE1B8D">
      <w:pPr>
        <w:pStyle w:val="SCCNormalDoubleSpacing"/>
        <w:spacing w:after="480"/>
        <w:rPr>
          <w:rFonts w:ascii="Times New Roman" w:hAnsi="Times New Roman" w:cs="Times New Roman"/>
          <w:sz w:val="24"/>
          <w:szCs w:val="24"/>
          <w:lang w:val="en-CA"/>
        </w:rPr>
      </w:pPr>
      <w:r w:rsidRPr="009D7B9C">
        <w:rPr>
          <w:rStyle w:val="SCCCounselNameChar"/>
          <w:rFonts w:ascii="Times New Roman" w:hAnsi="Times New Roman" w:cs="Times New Roman"/>
          <w:szCs w:val="24"/>
          <w:lang w:val="en-CA"/>
        </w:rPr>
        <w:tab/>
        <w:t>P. </w:t>
      </w:r>
      <w:proofErr w:type="spellStart"/>
      <w:r w:rsidRPr="009D7B9C">
        <w:rPr>
          <w:rStyle w:val="SCCCounselNameChar"/>
          <w:rFonts w:ascii="Times New Roman" w:hAnsi="Times New Roman" w:cs="Times New Roman"/>
          <w:szCs w:val="24"/>
          <w:lang w:val="en-CA"/>
        </w:rPr>
        <w:t>Andras</w:t>
      </w:r>
      <w:proofErr w:type="spellEnd"/>
      <w:r w:rsidRPr="009D7B9C">
        <w:rPr>
          <w:rStyle w:val="SCCCounselNameChar"/>
          <w:rFonts w:ascii="Times New Roman" w:hAnsi="Times New Roman" w:cs="Times New Roman"/>
          <w:szCs w:val="24"/>
          <w:lang w:val="en-CA"/>
        </w:rPr>
        <w:t xml:space="preserve"> </w:t>
      </w:r>
      <w:proofErr w:type="spellStart"/>
      <w:r w:rsidRPr="009D7B9C">
        <w:rPr>
          <w:rStyle w:val="SCCCounselNameChar"/>
          <w:rFonts w:ascii="Times New Roman" w:hAnsi="Times New Roman" w:cs="Times New Roman"/>
          <w:szCs w:val="24"/>
          <w:lang w:val="en-CA"/>
        </w:rPr>
        <w:t>Schreck</w:t>
      </w:r>
      <w:proofErr w:type="spellEnd"/>
      <w:r w:rsidRPr="009D7B9C">
        <w:rPr>
          <w:rStyle w:val="SCCCounselPartyRoleChar"/>
          <w:rFonts w:ascii="Times New Roman" w:hAnsi="Times New Roman" w:cs="Times New Roman"/>
          <w:szCs w:val="24"/>
          <w:lang w:val="en-CA"/>
        </w:rPr>
        <w:t xml:space="preserve">, as </w:t>
      </w:r>
      <w:r w:rsidRPr="009D7B9C">
        <w:rPr>
          <w:rStyle w:val="SCCCounselPartyRoleChar"/>
          <w:rFonts w:ascii="Times New Roman" w:hAnsi="Times New Roman" w:cs="Times New Roman"/>
          <w:i/>
          <w:szCs w:val="24"/>
          <w:lang w:val="en-CA"/>
        </w:rPr>
        <w:t>amicus curiae</w:t>
      </w:r>
      <w:r w:rsidRPr="009D7B9C">
        <w:rPr>
          <w:rStyle w:val="SCCCounselPartyRoleChar"/>
          <w:rFonts w:ascii="Times New Roman" w:hAnsi="Times New Roman" w:cs="Times New Roman"/>
          <w:szCs w:val="24"/>
          <w:lang w:val="en-CA"/>
        </w:rPr>
        <w:t>.</w:t>
      </w:r>
    </w:p>
    <w:p w:rsidR="006C4326" w:rsidRPr="009D7B9C" w:rsidRDefault="006C4326" w:rsidP="004558FC">
      <w:pPr>
        <w:rPr>
          <w:rFonts w:ascii="Times New Roman" w:hAnsi="Times New Roman" w:cs="Times New Roman"/>
          <w:sz w:val="24"/>
          <w:szCs w:val="24"/>
          <w:lang w:val="en-CA"/>
        </w:rPr>
      </w:pPr>
    </w:p>
    <w:p w:rsidR="005F6643" w:rsidRPr="009D7B9C" w:rsidRDefault="005F6643" w:rsidP="00D84AC6">
      <w:pPr>
        <w:pStyle w:val="JudgeJuge"/>
        <w:rPr>
          <w:smallCaps w:val="0"/>
          <w:szCs w:val="24"/>
        </w:rPr>
      </w:pPr>
      <w:r w:rsidRPr="009D7B9C">
        <w:rPr>
          <w:smallCaps w:val="0"/>
          <w:szCs w:val="24"/>
        </w:rPr>
        <w:tab/>
        <w:t>The judgment of the Court was delivered by</w:t>
      </w:r>
    </w:p>
    <w:p w:rsidR="009811B2" w:rsidRPr="009D7B9C" w:rsidRDefault="00007061" w:rsidP="00D84AC6">
      <w:pPr>
        <w:pStyle w:val="JudgeJuge"/>
        <w:rPr>
          <w:szCs w:val="24"/>
        </w:rPr>
      </w:pPr>
      <w:r w:rsidRPr="009D7B9C">
        <w:rPr>
          <w:szCs w:val="24"/>
        </w:rPr>
        <w:tab/>
      </w:r>
      <w:proofErr w:type="gramStart"/>
      <w:r w:rsidR="00FA07D8" w:rsidRPr="009D7B9C">
        <w:rPr>
          <w:szCs w:val="24"/>
        </w:rPr>
        <w:t xml:space="preserve">Fish </w:t>
      </w:r>
      <w:r w:rsidRPr="009D7B9C">
        <w:rPr>
          <w:szCs w:val="24"/>
        </w:rPr>
        <w:t>J. —</w:t>
      </w:r>
      <w:proofErr w:type="gramEnd"/>
      <w:r w:rsidRPr="009D7B9C">
        <w:rPr>
          <w:szCs w:val="24"/>
        </w:rPr>
        <w:t xml:space="preserve"> </w:t>
      </w:r>
    </w:p>
    <w:p w:rsidR="0033279A" w:rsidRPr="009D7B9C" w:rsidRDefault="0033279A" w:rsidP="00E13384">
      <w:pPr>
        <w:pStyle w:val="TitleTitre-AltT"/>
        <w:jc w:val="center"/>
        <w:rPr>
          <w:rFonts w:cs="Times New Roman"/>
          <w:szCs w:val="24"/>
        </w:rPr>
      </w:pPr>
      <w:r w:rsidRPr="009D7B9C">
        <w:rPr>
          <w:rFonts w:cs="Times New Roman"/>
          <w:szCs w:val="24"/>
        </w:rPr>
        <w:t>I</w:t>
      </w:r>
    </w:p>
    <w:p w:rsidR="0033279A" w:rsidRPr="009D7B9C" w:rsidRDefault="0033279A" w:rsidP="002646EC">
      <w:pPr>
        <w:pStyle w:val="ParaNoNdepar-AltN"/>
        <w:rPr>
          <w:rFonts w:cs="Times New Roman"/>
          <w:szCs w:val="24"/>
        </w:rPr>
      </w:pPr>
      <w:r w:rsidRPr="009D7B9C">
        <w:rPr>
          <w:rFonts w:cs="Times New Roman"/>
          <w:szCs w:val="24"/>
        </w:rPr>
        <w:t xml:space="preserve">John Phillip </w:t>
      </w:r>
      <w:proofErr w:type="spellStart"/>
      <w:r w:rsidRPr="009D7B9C">
        <w:rPr>
          <w:rFonts w:cs="Times New Roman"/>
          <w:szCs w:val="24"/>
        </w:rPr>
        <w:t>Topp</w:t>
      </w:r>
      <w:proofErr w:type="spellEnd"/>
      <w:r w:rsidRPr="009D7B9C">
        <w:rPr>
          <w:rFonts w:cs="Times New Roman"/>
          <w:szCs w:val="24"/>
        </w:rPr>
        <w:t>, the respondent, was convicted in 2008 of using his brokerage business to defraud Canada Customs of $4.7 million.</w:t>
      </w:r>
    </w:p>
    <w:p w:rsidR="0033279A" w:rsidRPr="009D7B9C" w:rsidRDefault="0033279A" w:rsidP="002646EC">
      <w:pPr>
        <w:pStyle w:val="ParaNoNdepar-AltN"/>
        <w:rPr>
          <w:rFonts w:cs="Times New Roman"/>
          <w:szCs w:val="24"/>
        </w:rPr>
      </w:pPr>
      <w:r w:rsidRPr="009D7B9C">
        <w:rPr>
          <w:rFonts w:cs="Times New Roman"/>
          <w:szCs w:val="24"/>
        </w:rPr>
        <w:t xml:space="preserve">The Crown sought a $4.7 million fine in addition to </w:t>
      </w:r>
      <w:r w:rsidR="0082593D" w:rsidRPr="009D7B9C">
        <w:rPr>
          <w:rFonts w:cs="Times New Roman"/>
          <w:szCs w:val="24"/>
        </w:rPr>
        <w:t xml:space="preserve">a seven-year term of </w:t>
      </w:r>
      <w:r w:rsidRPr="009D7B9C">
        <w:rPr>
          <w:rFonts w:cs="Times New Roman"/>
          <w:szCs w:val="24"/>
        </w:rPr>
        <w:t>imprisonment</w:t>
      </w:r>
      <w:r w:rsidR="0082593D" w:rsidRPr="009D7B9C">
        <w:rPr>
          <w:rFonts w:cs="Times New Roman"/>
          <w:szCs w:val="24"/>
        </w:rPr>
        <w:t>.</w:t>
      </w:r>
      <w:r w:rsidRPr="009D7B9C">
        <w:rPr>
          <w:rFonts w:cs="Times New Roman"/>
          <w:szCs w:val="24"/>
        </w:rPr>
        <w:t xml:space="preserve"> The trial judge sentenced Mr. </w:t>
      </w:r>
      <w:proofErr w:type="spellStart"/>
      <w:r w:rsidRPr="009D7B9C">
        <w:rPr>
          <w:rFonts w:cs="Times New Roman"/>
          <w:szCs w:val="24"/>
        </w:rPr>
        <w:t>Topp</w:t>
      </w:r>
      <w:proofErr w:type="spellEnd"/>
      <w:r w:rsidRPr="009D7B9C">
        <w:rPr>
          <w:rFonts w:cs="Times New Roman"/>
          <w:szCs w:val="24"/>
        </w:rPr>
        <w:t xml:space="preserve"> to </w:t>
      </w:r>
      <w:r w:rsidR="0082593D" w:rsidRPr="009D7B9C">
        <w:rPr>
          <w:rFonts w:cs="Times New Roman"/>
          <w:szCs w:val="24"/>
        </w:rPr>
        <w:t xml:space="preserve">a total of </w:t>
      </w:r>
      <w:r w:rsidRPr="009D7B9C">
        <w:rPr>
          <w:rFonts w:cs="Times New Roman"/>
          <w:szCs w:val="24"/>
        </w:rPr>
        <w:t xml:space="preserve">five years’ imprisonment </w:t>
      </w:r>
      <w:r w:rsidR="009C70E9" w:rsidRPr="009D7B9C">
        <w:rPr>
          <w:rFonts w:cs="Times New Roman"/>
          <w:szCs w:val="24"/>
        </w:rPr>
        <w:t xml:space="preserve">(2008 </w:t>
      </w:r>
      <w:proofErr w:type="spellStart"/>
      <w:r w:rsidR="009C70E9" w:rsidRPr="009D7B9C">
        <w:rPr>
          <w:rFonts w:cs="Times New Roman"/>
          <w:szCs w:val="24"/>
        </w:rPr>
        <w:t>CanLII</w:t>
      </w:r>
      <w:proofErr w:type="spellEnd"/>
      <w:r w:rsidR="009C70E9" w:rsidRPr="009D7B9C">
        <w:rPr>
          <w:rFonts w:cs="Times New Roman"/>
          <w:szCs w:val="24"/>
        </w:rPr>
        <w:t xml:space="preserve"> 20991) </w:t>
      </w:r>
      <w:r w:rsidRPr="009D7B9C">
        <w:rPr>
          <w:rFonts w:cs="Times New Roman"/>
          <w:szCs w:val="24"/>
        </w:rPr>
        <w:t>but declined to impose a fine</w:t>
      </w:r>
      <w:r w:rsidR="000B3641" w:rsidRPr="009D7B9C">
        <w:rPr>
          <w:rFonts w:cs="Times New Roman"/>
          <w:szCs w:val="24"/>
        </w:rPr>
        <w:t xml:space="preserve"> because</w:t>
      </w:r>
      <w:r w:rsidRPr="009D7B9C">
        <w:rPr>
          <w:rFonts w:cs="Times New Roman"/>
          <w:szCs w:val="24"/>
        </w:rPr>
        <w:t xml:space="preserve"> she was not satisfied</w:t>
      </w:r>
      <w:r w:rsidR="0082593D" w:rsidRPr="009D7B9C">
        <w:rPr>
          <w:rFonts w:cs="Times New Roman"/>
          <w:szCs w:val="24"/>
        </w:rPr>
        <w:t xml:space="preserve"> that Mr. </w:t>
      </w:r>
      <w:proofErr w:type="spellStart"/>
      <w:r w:rsidR="0082593D" w:rsidRPr="009D7B9C">
        <w:rPr>
          <w:rFonts w:cs="Times New Roman"/>
          <w:szCs w:val="24"/>
        </w:rPr>
        <w:t>Topp</w:t>
      </w:r>
      <w:proofErr w:type="spellEnd"/>
      <w:r w:rsidR="0082593D" w:rsidRPr="009D7B9C">
        <w:rPr>
          <w:rFonts w:cs="Times New Roman"/>
          <w:szCs w:val="24"/>
        </w:rPr>
        <w:t xml:space="preserve"> was able to pay,</w:t>
      </w:r>
      <w:r w:rsidRPr="009D7B9C">
        <w:rPr>
          <w:rFonts w:cs="Times New Roman"/>
          <w:szCs w:val="24"/>
        </w:rPr>
        <w:t xml:space="preserve"> as required by s. 734(2) of the </w:t>
      </w:r>
      <w:r w:rsidRPr="009D7B9C">
        <w:rPr>
          <w:rFonts w:cs="Times New Roman"/>
          <w:i/>
          <w:szCs w:val="24"/>
        </w:rPr>
        <w:t>Criminal Code</w:t>
      </w:r>
      <w:r w:rsidR="009C70E9" w:rsidRPr="009D7B9C">
        <w:rPr>
          <w:rFonts w:cs="Times New Roman"/>
          <w:szCs w:val="24"/>
        </w:rPr>
        <w:t>, R.S.C. 1985, c. C</w:t>
      </w:r>
      <w:r w:rsidR="005F6643" w:rsidRPr="009D7B9C">
        <w:rPr>
          <w:rFonts w:cs="Times New Roman"/>
          <w:szCs w:val="24"/>
        </w:rPr>
        <w:noBreakHyphen/>
      </w:r>
      <w:r w:rsidR="009C70E9" w:rsidRPr="009D7B9C">
        <w:rPr>
          <w:rFonts w:cs="Times New Roman"/>
          <w:szCs w:val="24"/>
        </w:rPr>
        <w:t>46.</w:t>
      </w:r>
    </w:p>
    <w:p w:rsidR="0033279A" w:rsidRPr="009D7B9C" w:rsidRDefault="0033279A" w:rsidP="002646EC">
      <w:pPr>
        <w:pStyle w:val="ParaNoNdepar-AltN"/>
        <w:rPr>
          <w:rFonts w:cs="Times New Roman"/>
          <w:szCs w:val="24"/>
        </w:rPr>
      </w:pPr>
      <w:r w:rsidRPr="009D7B9C">
        <w:rPr>
          <w:rFonts w:cs="Times New Roman"/>
          <w:szCs w:val="24"/>
        </w:rPr>
        <w:t>An appeal by the Crown was dismissed, unanimously, by the Ontario Court of Appeal</w:t>
      </w:r>
      <w:r w:rsidR="009C70E9" w:rsidRPr="009D7B9C">
        <w:rPr>
          <w:rFonts w:cs="Times New Roman"/>
          <w:szCs w:val="24"/>
        </w:rPr>
        <w:t xml:space="preserve"> (2009 ONCA 828 </w:t>
      </w:r>
      <w:r w:rsidR="00EF6D3D" w:rsidRPr="009D7B9C">
        <w:rPr>
          <w:rFonts w:cs="Times New Roman"/>
          <w:szCs w:val="24"/>
        </w:rPr>
        <w:t>(</w:t>
      </w:r>
      <w:proofErr w:type="spellStart"/>
      <w:r w:rsidR="009C70E9" w:rsidRPr="009D7B9C">
        <w:rPr>
          <w:rFonts w:cs="Times New Roman"/>
          <w:szCs w:val="24"/>
        </w:rPr>
        <w:t>CanLII</w:t>
      </w:r>
      <w:proofErr w:type="spellEnd"/>
      <w:r w:rsidR="009C70E9" w:rsidRPr="009D7B9C">
        <w:rPr>
          <w:rFonts w:cs="Times New Roman"/>
          <w:szCs w:val="24"/>
        </w:rPr>
        <w:t>))</w:t>
      </w:r>
      <w:r w:rsidRPr="009D7B9C">
        <w:rPr>
          <w:rFonts w:cs="Times New Roman"/>
          <w:szCs w:val="24"/>
        </w:rPr>
        <w:t xml:space="preserve"> and the Crown now appeals to this Court, with leave, against the ju</w:t>
      </w:r>
      <w:r w:rsidR="005F6643" w:rsidRPr="009D7B9C">
        <w:rPr>
          <w:rFonts w:cs="Times New Roman"/>
          <w:szCs w:val="24"/>
        </w:rPr>
        <w:t>dgment of the Court of Appeal.</w:t>
      </w:r>
    </w:p>
    <w:p w:rsidR="003C55EC" w:rsidRPr="009D7B9C" w:rsidRDefault="00EC04B4" w:rsidP="002646EC">
      <w:pPr>
        <w:pStyle w:val="ParaNoNdepar-AltN"/>
        <w:rPr>
          <w:rFonts w:cs="Times New Roman"/>
          <w:szCs w:val="24"/>
        </w:rPr>
      </w:pPr>
      <w:r w:rsidRPr="009D7B9C">
        <w:rPr>
          <w:rFonts w:cs="Times New Roman"/>
          <w:szCs w:val="24"/>
        </w:rPr>
        <w:t xml:space="preserve">In his submissions on sentence, </w:t>
      </w:r>
      <w:r w:rsidR="003C55EC" w:rsidRPr="009D7B9C">
        <w:rPr>
          <w:rFonts w:cs="Times New Roman"/>
          <w:szCs w:val="24"/>
        </w:rPr>
        <w:t xml:space="preserve">defence counsel asserted that Mr. </w:t>
      </w:r>
      <w:proofErr w:type="spellStart"/>
      <w:r w:rsidR="003C55EC" w:rsidRPr="009D7B9C">
        <w:rPr>
          <w:rFonts w:cs="Times New Roman"/>
          <w:szCs w:val="24"/>
        </w:rPr>
        <w:t>Topp</w:t>
      </w:r>
      <w:proofErr w:type="spellEnd"/>
      <w:r w:rsidR="003C55EC" w:rsidRPr="009D7B9C">
        <w:rPr>
          <w:rFonts w:cs="Times New Roman"/>
          <w:szCs w:val="24"/>
        </w:rPr>
        <w:t xml:space="preserve"> was un</w:t>
      </w:r>
      <w:r w:rsidR="0004170A" w:rsidRPr="009D7B9C">
        <w:rPr>
          <w:rFonts w:cs="Times New Roman"/>
          <w:szCs w:val="24"/>
        </w:rPr>
        <w:t>able to pay a fine, but adduced</w:t>
      </w:r>
      <w:r w:rsidR="003C55EC" w:rsidRPr="009D7B9C">
        <w:rPr>
          <w:rFonts w:cs="Times New Roman"/>
          <w:szCs w:val="24"/>
        </w:rPr>
        <w:t xml:space="preserve"> </w:t>
      </w:r>
      <w:r w:rsidRPr="009D7B9C">
        <w:rPr>
          <w:rFonts w:cs="Times New Roman"/>
          <w:szCs w:val="24"/>
        </w:rPr>
        <w:t xml:space="preserve">little </w:t>
      </w:r>
      <w:r w:rsidR="003C55EC" w:rsidRPr="009D7B9C">
        <w:rPr>
          <w:rFonts w:cs="Times New Roman"/>
          <w:szCs w:val="24"/>
        </w:rPr>
        <w:t xml:space="preserve">evidence to support his assertion and offered no explanation of where the $4.7 million had gone. The Crown, unable to </w:t>
      </w:r>
      <w:r w:rsidR="003C55EC" w:rsidRPr="009D7B9C">
        <w:rPr>
          <w:rFonts w:cs="Times New Roman"/>
          <w:szCs w:val="24"/>
        </w:rPr>
        <w:lastRenderedPageBreak/>
        <w:t xml:space="preserve">trace or locate the funds, urged the court to infer that the funds were still in Mr. </w:t>
      </w:r>
      <w:proofErr w:type="spellStart"/>
      <w:r w:rsidR="003C55EC" w:rsidRPr="009D7B9C">
        <w:rPr>
          <w:rFonts w:cs="Times New Roman"/>
          <w:szCs w:val="24"/>
        </w:rPr>
        <w:t>Topp’s</w:t>
      </w:r>
      <w:proofErr w:type="spellEnd"/>
      <w:r w:rsidR="003C55EC" w:rsidRPr="009D7B9C">
        <w:rPr>
          <w:rFonts w:cs="Times New Roman"/>
          <w:szCs w:val="24"/>
        </w:rPr>
        <w:t xml:space="preserve"> possession.</w:t>
      </w:r>
    </w:p>
    <w:p w:rsidR="00E47C07" w:rsidRPr="009D7B9C" w:rsidRDefault="00E47C07" w:rsidP="002646EC">
      <w:pPr>
        <w:pStyle w:val="ParaNoNdepar-AltN"/>
        <w:rPr>
          <w:rFonts w:cs="Times New Roman"/>
          <w:szCs w:val="24"/>
        </w:rPr>
      </w:pPr>
      <w:r w:rsidRPr="009D7B9C">
        <w:rPr>
          <w:rFonts w:cs="Times New Roman"/>
          <w:szCs w:val="24"/>
        </w:rPr>
        <w:t>In this Court, t</w:t>
      </w:r>
      <w:r w:rsidR="003C55EC" w:rsidRPr="009D7B9C">
        <w:rPr>
          <w:rFonts w:cs="Times New Roman"/>
          <w:szCs w:val="24"/>
        </w:rPr>
        <w:t xml:space="preserve">he Crown </w:t>
      </w:r>
      <w:r w:rsidR="00D972CE" w:rsidRPr="009D7B9C">
        <w:rPr>
          <w:rFonts w:cs="Times New Roman"/>
          <w:szCs w:val="24"/>
        </w:rPr>
        <w:t>argue</w:t>
      </w:r>
      <w:r w:rsidRPr="009D7B9C">
        <w:rPr>
          <w:rFonts w:cs="Times New Roman"/>
          <w:szCs w:val="24"/>
        </w:rPr>
        <w:t>s</w:t>
      </w:r>
      <w:r w:rsidR="00D972CE" w:rsidRPr="009D7B9C">
        <w:rPr>
          <w:rFonts w:cs="Times New Roman"/>
          <w:szCs w:val="24"/>
        </w:rPr>
        <w:t xml:space="preserve"> that </w:t>
      </w:r>
      <w:r w:rsidR="00090E81" w:rsidRPr="009D7B9C">
        <w:rPr>
          <w:rFonts w:cs="Times New Roman"/>
          <w:szCs w:val="24"/>
        </w:rPr>
        <w:t>s. 734(2) require</w:t>
      </w:r>
      <w:r w:rsidR="002B7554" w:rsidRPr="009D7B9C">
        <w:rPr>
          <w:rFonts w:cs="Times New Roman"/>
          <w:szCs w:val="24"/>
        </w:rPr>
        <w:t xml:space="preserve">d Mr. </w:t>
      </w:r>
      <w:proofErr w:type="spellStart"/>
      <w:r w:rsidR="002B7554" w:rsidRPr="009D7B9C">
        <w:rPr>
          <w:rFonts w:cs="Times New Roman"/>
          <w:szCs w:val="24"/>
        </w:rPr>
        <w:t>Topp</w:t>
      </w:r>
      <w:proofErr w:type="spellEnd"/>
      <w:r w:rsidR="002B7554" w:rsidRPr="009D7B9C">
        <w:rPr>
          <w:rFonts w:cs="Times New Roman"/>
          <w:szCs w:val="24"/>
        </w:rPr>
        <w:t xml:space="preserve"> to prove he was unable to pay a fine corresponding to </w:t>
      </w:r>
      <w:r w:rsidRPr="009D7B9C">
        <w:rPr>
          <w:rFonts w:cs="Times New Roman"/>
          <w:szCs w:val="24"/>
        </w:rPr>
        <w:t>the funds he was shown to have fraudulently obtained.  Since he failed to discharge that burden, says the Crown, the trial judge erred in law in declining to impose the requested fine.</w:t>
      </w:r>
    </w:p>
    <w:p w:rsidR="00706ED0" w:rsidRPr="009D7B9C" w:rsidRDefault="00E47C07" w:rsidP="002646EC">
      <w:pPr>
        <w:pStyle w:val="ParaNoNdepar-AltN"/>
        <w:rPr>
          <w:rFonts w:cs="Times New Roman"/>
          <w:szCs w:val="24"/>
        </w:rPr>
      </w:pPr>
      <w:r w:rsidRPr="009D7B9C">
        <w:rPr>
          <w:rFonts w:cs="Times New Roman"/>
          <w:szCs w:val="24"/>
        </w:rPr>
        <w:t>I would dismi</w:t>
      </w:r>
      <w:r w:rsidR="005F6643" w:rsidRPr="009D7B9C">
        <w:rPr>
          <w:rFonts w:cs="Times New Roman"/>
          <w:szCs w:val="24"/>
        </w:rPr>
        <w:t>ss the appeal.</w:t>
      </w:r>
    </w:p>
    <w:p w:rsidR="009F5C2A" w:rsidRPr="009D7B9C" w:rsidRDefault="00D27054" w:rsidP="002646EC">
      <w:pPr>
        <w:pStyle w:val="ParaNoNdepar-AltN"/>
        <w:rPr>
          <w:rFonts w:cs="Times New Roman"/>
          <w:szCs w:val="24"/>
        </w:rPr>
      </w:pPr>
      <w:r w:rsidRPr="009D7B9C">
        <w:rPr>
          <w:rFonts w:cs="Times New Roman"/>
          <w:szCs w:val="24"/>
        </w:rPr>
        <w:t>P</w:t>
      </w:r>
      <w:r w:rsidR="00D07861" w:rsidRPr="009D7B9C">
        <w:rPr>
          <w:rFonts w:cs="Times New Roman"/>
          <w:szCs w:val="24"/>
        </w:rPr>
        <w:t>ast</w:t>
      </w:r>
      <w:r w:rsidR="00773FDA" w:rsidRPr="009D7B9C">
        <w:rPr>
          <w:rFonts w:cs="Times New Roman"/>
          <w:szCs w:val="24"/>
        </w:rPr>
        <w:t xml:space="preserve"> </w:t>
      </w:r>
      <w:r w:rsidR="00D07861" w:rsidRPr="009D7B9C">
        <w:rPr>
          <w:rFonts w:cs="Times New Roman"/>
          <w:szCs w:val="24"/>
        </w:rPr>
        <w:t xml:space="preserve">receipt </w:t>
      </w:r>
      <w:r w:rsidRPr="009D7B9C">
        <w:rPr>
          <w:rFonts w:cs="Times New Roman"/>
          <w:szCs w:val="24"/>
        </w:rPr>
        <w:t xml:space="preserve">of illegally obtained funds </w:t>
      </w:r>
      <w:r w:rsidR="00D07861" w:rsidRPr="009D7B9C">
        <w:rPr>
          <w:rFonts w:cs="Times New Roman"/>
          <w:szCs w:val="24"/>
        </w:rPr>
        <w:t>does not impose a</w:t>
      </w:r>
      <w:r w:rsidRPr="009D7B9C">
        <w:rPr>
          <w:rFonts w:cs="Times New Roman"/>
          <w:szCs w:val="24"/>
        </w:rPr>
        <w:t>n evidential</w:t>
      </w:r>
      <w:r w:rsidR="00D07861" w:rsidRPr="009D7B9C">
        <w:rPr>
          <w:rFonts w:cs="Times New Roman"/>
          <w:szCs w:val="24"/>
        </w:rPr>
        <w:t xml:space="preserve"> burden on </w:t>
      </w:r>
      <w:r w:rsidRPr="009D7B9C">
        <w:rPr>
          <w:rFonts w:cs="Times New Roman"/>
          <w:szCs w:val="24"/>
        </w:rPr>
        <w:t xml:space="preserve">offenders </w:t>
      </w:r>
      <w:r w:rsidR="001F2CAE" w:rsidRPr="009D7B9C">
        <w:rPr>
          <w:rFonts w:cs="Times New Roman"/>
          <w:szCs w:val="24"/>
        </w:rPr>
        <w:t>to prove th</w:t>
      </w:r>
      <w:r w:rsidRPr="009D7B9C">
        <w:rPr>
          <w:rFonts w:cs="Times New Roman"/>
          <w:szCs w:val="24"/>
        </w:rPr>
        <w:t>ey</w:t>
      </w:r>
      <w:r w:rsidR="001F2CAE" w:rsidRPr="009D7B9C">
        <w:rPr>
          <w:rFonts w:cs="Times New Roman"/>
          <w:szCs w:val="24"/>
        </w:rPr>
        <w:t xml:space="preserve"> </w:t>
      </w:r>
      <w:r w:rsidR="000B12B2" w:rsidRPr="009D7B9C">
        <w:rPr>
          <w:rFonts w:cs="Times New Roman"/>
          <w:szCs w:val="24"/>
        </w:rPr>
        <w:t xml:space="preserve">no longer possess </w:t>
      </w:r>
      <w:r w:rsidR="00D07861" w:rsidRPr="009D7B9C">
        <w:rPr>
          <w:rFonts w:cs="Times New Roman"/>
          <w:szCs w:val="24"/>
        </w:rPr>
        <w:t>the</w:t>
      </w:r>
      <w:r w:rsidR="005F6643" w:rsidRPr="009D7B9C">
        <w:rPr>
          <w:rFonts w:cs="Times New Roman"/>
          <w:szCs w:val="24"/>
        </w:rPr>
        <w:t>ir ill-</w:t>
      </w:r>
      <w:r w:rsidRPr="009D7B9C">
        <w:rPr>
          <w:rFonts w:cs="Times New Roman"/>
          <w:szCs w:val="24"/>
        </w:rPr>
        <w:t>gotten gains.</w:t>
      </w:r>
      <w:r w:rsidR="00B67396" w:rsidRPr="009D7B9C">
        <w:rPr>
          <w:rFonts w:cs="Times New Roman"/>
          <w:szCs w:val="24"/>
        </w:rPr>
        <w:t xml:space="preserve">  </w:t>
      </w:r>
      <w:r w:rsidR="00821C1C" w:rsidRPr="009D7B9C">
        <w:rPr>
          <w:rFonts w:cs="Times New Roman"/>
          <w:szCs w:val="24"/>
        </w:rPr>
        <w:t>I</w:t>
      </w:r>
      <w:r w:rsidR="00D07861" w:rsidRPr="009D7B9C">
        <w:rPr>
          <w:rFonts w:cs="Times New Roman"/>
          <w:szCs w:val="24"/>
        </w:rPr>
        <w:t>n the absence of a</w:t>
      </w:r>
      <w:r w:rsidRPr="009D7B9C">
        <w:rPr>
          <w:rFonts w:cs="Times New Roman"/>
          <w:szCs w:val="24"/>
        </w:rPr>
        <w:t xml:space="preserve"> credible</w:t>
      </w:r>
      <w:r w:rsidR="00D07861" w:rsidRPr="009D7B9C">
        <w:rPr>
          <w:rFonts w:cs="Times New Roman"/>
          <w:szCs w:val="24"/>
        </w:rPr>
        <w:t xml:space="preserve"> explanation, </w:t>
      </w:r>
      <w:r w:rsidR="00200A57" w:rsidRPr="009D7B9C">
        <w:rPr>
          <w:rFonts w:cs="Times New Roman"/>
          <w:szCs w:val="24"/>
        </w:rPr>
        <w:t xml:space="preserve">however, </w:t>
      </w:r>
      <w:r w:rsidR="00821C1C" w:rsidRPr="009D7B9C">
        <w:rPr>
          <w:rFonts w:cs="Times New Roman"/>
          <w:szCs w:val="24"/>
        </w:rPr>
        <w:t xml:space="preserve">it will often be open to the court to infer </w:t>
      </w:r>
      <w:r w:rsidR="00D07861" w:rsidRPr="009D7B9C">
        <w:rPr>
          <w:rFonts w:cs="Times New Roman"/>
          <w:szCs w:val="24"/>
        </w:rPr>
        <w:t>that the offender is able to pay a fine</w:t>
      </w:r>
      <w:r w:rsidR="00821C1C" w:rsidRPr="009D7B9C">
        <w:rPr>
          <w:rFonts w:cs="Times New Roman"/>
          <w:szCs w:val="24"/>
        </w:rPr>
        <w:t xml:space="preserve">.  But the court is not legally bound </w:t>
      </w:r>
      <w:r w:rsidR="00B67396" w:rsidRPr="009D7B9C">
        <w:rPr>
          <w:rFonts w:cs="Times New Roman"/>
          <w:szCs w:val="24"/>
        </w:rPr>
        <w:t xml:space="preserve">to do so.  The </w:t>
      </w:r>
      <w:r w:rsidR="00200A57" w:rsidRPr="009D7B9C">
        <w:rPr>
          <w:rFonts w:cs="Times New Roman"/>
          <w:szCs w:val="24"/>
        </w:rPr>
        <w:t xml:space="preserve">probative weight of the </w:t>
      </w:r>
      <w:r w:rsidR="00B67396" w:rsidRPr="009D7B9C">
        <w:rPr>
          <w:rFonts w:cs="Times New Roman"/>
          <w:szCs w:val="24"/>
        </w:rPr>
        <w:t xml:space="preserve">inference will </w:t>
      </w:r>
      <w:r w:rsidR="009F5C2A" w:rsidRPr="009D7B9C">
        <w:rPr>
          <w:rFonts w:cs="Times New Roman"/>
          <w:szCs w:val="24"/>
        </w:rPr>
        <w:t xml:space="preserve">depend on the circumstances, and therefore </w:t>
      </w:r>
      <w:r w:rsidR="00B67396" w:rsidRPr="009D7B9C">
        <w:rPr>
          <w:rFonts w:cs="Times New Roman"/>
          <w:szCs w:val="24"/>
        </w:rPr>
        <w:t>vary from case to case.</w:t>
      </w:r>
    </w:p>
    <w:p w:rsidR="009F5C2A" w:rsidRPr="009D7B9C" w:rsidRDefault="009F5C2A" w:rsidP="002646EC">
      <w:pPr>
        <w:pStyle w:val="ParaNoNdepar-AltN"/>
        <w:rPr>
          <w:rFonts w:cs="Times New Roman"/>
          <w:szCs w:val="24"/>
        </w:rPr>
      </w:pPr>
      <w:r w:rsidRPr="009D7B9C">
        <w:rPr>
          <w:rFonts w:cs="Times New Roman"/>
          <w:szCs w:val="24"/>
        </w:rPr>
        <w:t>I agree with the Court of Appeal that this was a “close call”</w:t>
      </w:r>
      <w:r w:rsidR="009C70E9" w:rsidRPr="009D7B9C">
        <w:rPr>
          <w:rFonts w:cs="Times New Roman"/>
          <w:szCs w:val="24"/>
        </w:rPr>
        <w:t xml:space="preserve"> (</w:t>
      </w:r>
      <w:proofErr w:type="spellStart"/>
      <w:r w:rsidR="009C70E9" w:rsidRPr="009D7B9C">
        <w:rPr>
          <w:rFonts w:cs="Times New Roman"/>
          <w:szCs w:val="24"/>
        </w:rPr>
        <w:t>para</w:t>
      </w:r>
      <w:proofErr w:type="spellEnd"/>
      <w:r w:rsidR="009C70E9" w:rsidRPr="009D7B9C">
        <w:rPr>
          <w:rFonts w:cs="Times New Roman"/>
          <w:szCs w:val="24"/>
        </w:rPr>
        <w:t>. 1)</w:t>
      </w:r>
      <w:r w:rsidRPr="009D7B9C">
        <w:rPr>
          <w:rFonts w:cs="Times New Roman"/>
          <w:szCs w:val="24"/>
        </w:rPr>
        <w:t xml:space="preserve">.  </w:t>
      </w:r>
      <w:r w:rsidR="001D7631" w:rsidRPr="009D7B9C">
        <w:rPr>
          <w:rFonts w:cs="Times New Roman"/>
          <w:szCs w:val="24"/>
        </w:rPr>
        <w:t xml:space="preserve">While another judge might well have decided differently, </w:t>
      </w:r>
      <w:r w:rsidRPr="009D7B9C">
        <w:rPr>
          <w:rFonts w:cs="Times New Roman"/>
          <w:szCs w:val="24"/>
        </w:rPr>
        <w:t>I agree as well that</w:t>
      </w:r>
      <w:r w:rsidR="001D7631" w:rsidRPr="009D7B9C">
        <w:rPr>
          <w:rFonts w:cs="Times New Roman"/>
          <w:szCs w:val="24"/>
        </w:rPr>
        <w:t xml:space="preserve"> </w:t>
      </w:r>
      <w:r w:rsidR="00EC04B4" w:rsidRPr="009D7B9C">
        <w:rPr>
          <w:rFonts w:cs="Times New Roman"/>
          <w:szCs w:val="24"/>
        </w:rPr>
        <w:t xml:space="preserve">it was open to </w:t>
      </w:r>
      <w:r w:rsidR="00586EC3" w:rsidRPr="009D7B9C">
        <w:rPr>
          <w:rFonts w:cs="Times New Roman"/>
          <w:szCs w:val="24"/>
        </w:rPr>
        <w:t>the trial judge</w:t>
      </w:r>
      <w:r w:rsidR="00EC04B4" w:rsidRPr="009D7B9C">
        <w:rPr>
          <w:rFonts w:cs="Times New Roman"/>
          <w:szCs w:val="24"/>
        </w:rPr>
        <w:t>, on the evidence and the information placed before he</w:t>
      </w:r>
      <w:r w:rsidR="005F6643" w:rsidRPr="009D7B9C">
        <w:rPr>
          <w:rFonts w:cs="Times New Roman"/>
          <w:szCs w:val="24"/>
        </w:rPr>
        <w:t>r, to decline to impose a fine.</w:t>
      </w:r>
    </w:p>
    <w:p w:rsidR="00EC2A3B" w:rsidRPr="009D7B9C" w:rsidRDefault="00D25B93" w:rsidP="00BB540A">
      <w:pPr>
        <w:pStyle w:val="TitleTitre-AltT"/>
        <w:jc w:val="center"/>
        <w:rPr>
          <w:rFonts w:cs="Times New Roman"/>
          <w:szCs w:val="24"/>
        </w:rPr>
      </w:pPr>
      <w:r w:rsidRPr="009D7B9C">
        <w:rPr>
          <w:rFonts w:cs="Times New Roman"/>
          <w:szCs w:val="24"/>
        </w:rPr>
        <w:lastRenderedPageBreak/>
        <w:t>II</w:t>
      </w:r>
    </w:p>
    <w:p w:rsidR="004F5097" w:rsidRPr="009D7B9C" w:rsidRDefault="00586EC3" w:rsidP="002646EC">
      <w:pPr>
        <w:pStyle w:val="ParaNoNdepar-AltN"/>
        <w:rPr>
          <w:rFonts w:cs="Times New Roman"/>
          <w:szCs w:val="24"/>
        </w:rPr>
      </w:pPr>
      <w:r w:rsidRPr="009D7B9C">
        <w:rPr>
          <w:rFonts w:cs="Times New Roman"/>
          <w:szCs w:val="24"/>
        </w:rPr>
        <w:t>Mr.</w:t>
      </w:r>
      <w:r w:rsidR="00D25B93" w:rsidRPr="009D7B9C">
        <w:rPr>
          <w:rFonts w:cs="Times New Roman"/>
          <w:szCs w:val="24"/>
        </w:rPr>
        <w:t xml:space="preserve"> </w:t>
      </w:r>
      <w:proofErr w:type="spellStart"/>
      <w:r w:rsidR="00D25B93" w:rsidRPr="009D7B9C">
        <w:rPr>
          <w:rFonts w:cs="Times New Roman"/>
          <w:szCs w:val="24"/>
        </w:rPr>
        <w:t>Topp</w:t>
      </w:r>
      <w:proofErr w:type="spellEnd"/>
      <w:r w:rsidR="00D25B93" w:rsidRPr="009D7B9C">
        <w:rPr>
          <w:rFonts w:cs="Times New Roman"/>
          <w:szCs w:val="24"/>
        </w:rPr>
        <w:t xml:space="preserve"> </w:t>
      </w:r>
      <w:r w:rsidR="004F5097" w:rsidRPr="009D7B9C">
        <w:rPr>
          <w:rFonts w:cs="Times New Roman"/>
          <w:szCs w:val="24"/>
        </w:rPr>
        <w:t>was the owner</w:t>
      </w:r>
      <w:r w:rsidR="00226791" w:rsidRPr="009D7B9C">
        <w:rPr>
          <w:rFonts w:cs="Times New Roman"/>
          <w:szCs w:val="24"/>
        </w:rPr>
        <w:t xml:space="preserve"> and manager</w:t>
      </w:r>
      <w:r w:rsidR="004F5097" w:rsidRPr="009D7B9C">
        <w:rPr>
          <w:rFonts w:cs="Times New Roman"/>
          <w:szCs w:val="24"/>
        </w:rPr>
        <w:t xml:space="preserve"> of </w:t>
      </w:r>
      <w:proofErr w:type="spellStart"/>
      <w:r w:rsidR="002D42DE" w:rsidRPr="009D7B9C">
        <w:rPr>
          <w:rFonts w:cs="Times New Roman"/>
          <w:szCs w:val="24"/>
        </w:rPr>
        <w:t>Topp</w:t>
      </w:r>
      <w:proofErr w:type="spellEnd"/>
      <w:r w:rsidR="002D42DE" w:rsidRPr="009D7B9C">
        <w:rPr>
          <w:rFonts w:cs="Times New Roman"/>
          <w:szCs w:val="24"/>
        </w:rPr>
        <w:t xml:space="preserve"> Customs</w:t>
      </w:r>
      <w:r w:rsidR="009C70E9" w:rsidRPr="009D7B9C">
        <w:rPr>
          <w:rFonts w:cs="Times New Roman"/>
          <w:szCs w:val="24"/>
        </w:rPr>
        <w:t xml:space="preserve"> Services Inc.</w:t>
      </w:r>
      <w:r w:rsidR="003E7B5D" w:rsidRPr="009D7B9C">
        <w:rPr>
          <w:rFonts w:cs="Times New Roman"/>
          <w:szCs w:val="24"/>
        </w:rPr>
        <w:t xml:space="preserve">, a brokerage business </w:t>
      </w:r>
      <w:r w:rsidR="004F5097" w:rsidRPr="009D7B9C">
        <w:rPr>
          <w:rFonts w:cs="Times New Roman"/>
          <w:szCs w:val="24"/>
        </w:rPr>
        <w:t xml:space="preserve">that </w:t>
      </w:r>
      <w:r w:rsidR="00C557B5" w:rsidRPr="009D7B9C">
        <w:rPr>
          <w:rFonts w:cs="Times New Roman"/>
          <w:szCs w:val="24"/>
        </w:rPr>
        <w:t xml:space="preserve">helped importers </w:t>
      </w:r>
      <w:r w:rsidR="00C24475" w:rsidRPr="009D7B9C">
        <w:rPr>
          <w:rFonts w:cs="Times New Roman"/>
          <w:szCs w:val="24"/>
        </w:rPr>
        <w:t>determine</w:t>
      </w:r>
      <w:r w:rsidR="003E7B5D" w:rsidRPr="009D7B9C">
        <w:rPr>
          <w:rFonts w:cs="Times New Roman"/>
          <w:szCs w:val="24"/>
        </w:rPr>
        <w:t xml:space="preserve"> </w:t>
      </w:r>
      <w:r w:rsidR="0041755C" w:rsidRPr="009D7B9C">
        <w:rPr>
          <w:rFonts w:cs="Times New Roman"/>
          <w:szCs w:val="24"/>
        </w:rPr>
        <w:t xml:space="preserve">and satisfy </w:t>
      </w:r>
      <w:r w:rsidR="003E7B5D" w:rsidRPr="009D7B9C">
        <w:rPr>
          <w:rFonts w:cs="Times New Roman"/>
          <w:szCs w:val="24"/>
        </w:rPr>
        <w:t>their customs obligations</w:t>
      </w:r>
      <w:r w:rsidR="00A42CA9" w:rsidRPr="009D7B9C">
        <w:rPr>
          <w:rFonts w:cs="Times New Roman"/>
          <w:szCs w:val="24"/>
        </w:rPr>
        <w:t xml:space="preserve">.  Between 1999 and 2001, </w:t>
      </w:r>
      <w:r w:rsidR="00EC15AD" w:rsidRPr="009D7B9C">
        <w:rPr>
          <w:rFonts w:cs="Times New Roman"/>
          <w:szCs w:val="24"/>
        </w:rPr>
        <w:t xml:space="preserve">on more than 400 separate occasions, </w:t>
      </w:r>
      <w:r w:rsidR="00A42CA9" w:rsidRPr="009D7B9C">
        <w:rPr>
          <w:rFonts w:cs="Times New Roman"/>
          <w:szCs w:val="24"/>
        </w:rPr>
        <w:t xml:space="preserve">he instead helped </w:t>
      </w:r>
      <w:r w:rsidRPr="009D7B9C">
        <w:rPr>
          <w:rFonts w:cs="Times New Roman"/>
          <w:szCs w:val="24"/>
        </w:rPr>
        <w:t>himself</w:t>
      </w:r>
      <w:r w:rsidR="003E7B5D" w:rsidRPr="009D7B9C">
        <w:rPr>
          <w:rFonts w:cs="Times New Roman"/>
          <w:szCs w:val="24"/>
        </w:rPr>
        <w:t xml:space="preserve"> </w:t>
      </w:r>
      <w:r w:rsidR="00304A8B" w:rsidRPr="009D7B9C">
        <w:rPr>
          <w:rFonts w:cs="Times New Roman"/>
          <w:szCs w:val="24"/>
        </w:rPr>
        <w:t xml:space="preserve">to </w:t>
      </w:r>
      <w:r w:rsidR="00A42CA9" w:rsidRPr="009D7B9C">
        <w:rPr>
          <w:rFonts w:cs="Times New Roman"/>
          <w:szCs w:val="24"/>
        </w:rPr>
        <w:t xml:space="preserve">a total of more than </w:t>
      </w:r>
      <w:r w:rsidRPr="009D7B9C">
        <w:rPr>
          <w:rFonts w:cs="Times New Roman"/>
          <w:szCs w:val="24"/>
        </w:rPr>
        <w:t>$4.7 million</w:t>
      </w:r>
      <w:r w:rsidR="00304A8B" w:rsidRPr="009D7B9C">
        <w:rPr>
          <w:rFonts w:cs="Times New Roman"/>
          <w:szCs w:val="24"/>
        </w:rPr>
        <w:t xml:space="preserve"> entrusted to </w:t>
      </w:r>
      <w:r w:rsidRPr="009D7B9C">
        <w:rPr>
          <w:rFonts w:cs="Times New Roman"/>
          <w:szCs w:val="24"/>
        </w:rPr>
        <w:t>his firm</w:t>
      </w:r>
      <w:r w:rsidR="00304A8B" w:rsidRPr="009D7B9C">
        <w:rPr>
          <w:rFonts w:cs="Times New Roman"/>
          <w:szCs w:val="24"/>
        </w:rPr>
        <w:t xml:space="preserve"> for that purpose</w:t>
      </w:r>
      <w:r w:rsidR="00EC15AD" w:rsidRPr="009D7B9C">
        <w:rPr>
          <w:rFonts w:cs="Times New Roman"/>
          <w:szCs w:val="24"/>
        </w:rPr>
        <w:t xml:space="preserve">.  In each instance, </w:t>
      </w:r>
      <w:proofErr w:type="spellStart"/>
      <w:r w:rsidR="00A42CA9" w:rsidRPr="009D7B9C">
        <w:rPr>
          <w:rFonts w:cs="Times New Roman"/>
          <w:szCs w:val="24"/>
        </w:rPr>
        <w:t>T</w:t>
      </w:r>
      <w:r w:rsidR="002D42DE" w:rsidRPr="009D7B9C">
        <w:rPr>
          <w:rFonts w:cs="Times New Roman"/>
          <w:szCs w:val="24"/>
        </w:rPr>
        <w:t>opp</w:t>
      </w:r>
      <w:proofErr w:type="spellEnd"/>
      <w:r w:rsidR="002D42DE" w:rsidRPr="009D7B9C">
        <w:rPr>
          <w:rFonts w:cs="Times New Roman"/>
          <w:szCs w:val="24"/>
        </w:rPr>
        <w:t xml:space="preserve"> Customs </w:t>
      </w:r>
      <w:r w:rsidR="00376AC6" w:rsidRPr="009D7B9C">
        <w:rPr>
          <w:rFonts w:cs="Times New Roman"/>
          <w:szCs w:val="24"/>
        </w:rPr>
        <w:t xml:space="preserve">collected </w:t>
      </w:r>
      <w:r w:rsidR="008C0F1B" w:rsidRPr="009D7B9C">
        <w:rPr>
          <w:rFonts w:cs="Times New Roman"/>
          <w:szCs w:val="24"/>
        </w:rPr>
        <w:t>from its clients</w:t>
      </w:r>
      <w:r w:rsidR="00FF3649" w:rsidRPr="009D7B9C">
        <w:rPr>
          <w:rFonts w:cs="Times New Roman"/>
          <w:szCs w:val="24"/>
        </w:rPr>
        <w:t xml:space="preserve"> </w:t>
      </w:r>
      <w:r w:rsidR="00EC15AD" w:rsidRPr="009D7B9C">
        <w:rPr>
          <w:rFonts w:cs="Times New Roman"/>
          <w:szCs w:val="24"/>
        </w:rPr>
        <w:t>the</w:t>
      </w:r>
      <w:r w:rsidR="00FF3649" w:rsidRPr="009D7B9C">
        <w:rPr>
          <w:rFonts w:cs="Times New Roman"/>
          <w:szCs w:val="24"/>
        </w:rPr>
        <w:t xml:space="preserve"> duties </w:t>
      </w:r>
      <w:r w:rsidR="00226791" w:rsidRPr="009D7B9C">
        <w:rPr>
          <w:rFonts w:cs="Times New Roman"/>
          <w:szCs w:val="24"/>
        </w:rPr>
        <w:t>and taxes properly payable to the government</w:t>
      </w:r>
      <w:r w:rsidR="00EC15AD" w:rsidRPr="009D7B9C">
        <w:rPr>
          <w:rFonts w:cs="Times New Roman"/>
          <w:szCs w:val="24"/>
        </w:rPr>
        <w:t>, but</w:t>
      </w:r>
      <w:r w:rsidR="00376AC6" w:rsidRPr="009D7B9C">
        <w:rPr>
          <w:rFonts w:cs="Times New Roman"/>
          <w:szCs w:val="24"/>
        </w:rPr>
        <w:t xml:space="preserve"> </w:t>
      </w:r>
      <w:r w:rsidR="002D42DE" w:rsidRPr="009D7B9C">
        <w:rPr>
          <w:rFonts w:cs="Times New Roman"/>
          <w:szCs w:val="24"/>
        </w:rPr>
        <w:t xml:space="preserve">submitted </w:t>
      </w:r>
      <w:r w:rsidR="00EC15AD" w:rsidRPr="009D7B9C">
        <w:rPr>
          <w:rFonts w:cs="Times New Roman"/>
          <w:szCs w:val="24"/>
        </w:rPr>
        <w:t xml:space="preserve">false </w:t>
      </w:r>
      <w:r w:rsidR="00C557B5" w:rsidRPr="009D7B9C">
        <w:rPr>
          <w:rFonts w:cs="Times New Roman"/>
          <w:szCs w:val="24"/>
        </w:rPr>
        <w:t>documents</w:t>
      </w:r>
      <w:r w:rsidR="002D42DE" w:rsidRPr="009D7B9C">
        <w:rPr>
          <w:rFonts w:cs="Times New Roman"/>
          <w:szCs w:val="24"/>
        </w:rPr>
        <w:t xml:space="preserve"> to </w:t>
      </w:r>
      <w:r w:rsidR="008A3468" w:rsidRPr="009D7B9C">
        <w:rPr>
          <w:rFonts w:cs="Times New Roman"/>
          <w:szCs w:val="24"/>
        </w:rPr>
        <w:t>Canada Customs</w:t>
      </w:r>
      <w:r w:rsidR="002D42DE" w:rsidRPr="009D7B9C">
        <w:rPr>
          <w:rFonts w:cs="Times New Roman"/>
          <w:szCs w:val="24"/>
        </w:rPr>
        <w:t xml:space="preserve"> indicat</w:t>
      </w:r>
      <w:r w:rsidR="00EC15AD" w:rsidRPr="009D7B9C">
        <w:rPr>
          <w:rFonts w:cs="Times New Roman"/>
          <w:szCs w:val="24"/>
        </w:rPr>
        <w:t>ing</w:t>
      </w:r>
      <w:r w:rsidR="002D42DE" w:rsidRPr="009D7B9C">
        <w:rPr>
          <w:rFonts w:cs="Times New Roman"/>
          <w:szCs w:val="24"/>
        </w:rPr>
        <w:t xml:space="preserve"> that </w:t>
      </w:r>
      <w:r w:rsidR="00376AC6" w:rsidRPr="009D7B9C">
        <w:rPr>
          <w:rFonts w:cs="Times New Roman"/>
          <w:szCs w:val="24"/>
        </w:rPr>
        <w:t xml:space="preserve">the clients owed </w:t>
      </w:r>
      <w:r w:rsidR="002D42DE" w:rsidRPr="009D7B9C">
        <w:rPr>
          <w:rFonts w:cs="Times New Roman"/>
          <w:szCs w:val="24"/>
        </w:rPr>
        <w:t xml:space="preserve">little </w:t>
      </w:r>
      <w:r w:rsidR="00EC15AD" w:rsidRPr="009D7B9C">
        <w:rPr>
          <w:rFonts w:cs="Times New Roman"/>
          <w:szCs w:val="24"/>
        </w:rPr>
        <w:t>or nothing</w:t>
      </w:r>
      <w:r w:rsidR="005F6643" w:rsidRPr="009D7B9C">
        <w:rPr>
          <w:rFonts w:cs="Times New Roman"/>
          <w:szCs w:val="24"/>
        </w:rPr>
        <w:t>.</w:t>
      </w:r>
    </w:p>
    <w:p w:rsidR="00EF72BF" w:rsidRPr="009D7B9C" w:rsidRDefault="002224AD" w:rsidP="002646EC">
      <w:pPr>
        <w:pStyle w:val="ParaNoNdepar-AltN"/>
        <w:rPr>
          <w:rFonts w:cs="Times New Roman"/>
          <w:szCs w:val="24"/>
        </w:rPr>
      </w:pPr>
      <w:r w:rsidRPr="009D7B9C">
        <w:rPr>
          <w:rFonts w:cs="Times New Roman"/>
          <w:szCs w:val="24"/>
        </w:rPr>
        <w:t xml:space="preserve">Mr. </w:t>
      </w:r>
      <w:proofErr w:type="spellStart"/>
      <w:r w:rsidRPr="009D7B9C">
        <w:rPr>
          <w:rFonts w:cs="Times New Roman"/>
          <w:szCs w:val="24"/>
        </w:rPr>
        <w:t>Topp</w:t>
      </w:r>
      <w:proofErr w:type="spellEnd"/>
      <w:r w:rsidR="0041755C" w:rsidRPr="009D7B9C">
        <w:rPr>
          <w:rFonts w:cs="Times New Roman"/>
          <w:szCs w:val="24"/>
        </w:rPr>
        <w:t xml:space="preserve"> was convicted at trial of 16 counts of fraud and attempted fraud under s. 153(</w:t>
      </w:r>
      <w:r w:rsidR="009C70E9" w:rsidRPr="009D7B9C">
        <w:rPr>
          <w:rFonts w:cs="Times New Roman"/>
          <w:i/>
          <w:szCs w:val="24"/>
        </w:rPr>
        <w:t>c</w:t>
      </w:r>
      <w:r w:rsidR="0041755C" w:rsidRPr="009D7B9C">
        <w:rPr>
          <w:rFonts w:cs="Times New Roman"/>
          <w:szCs w:val="24"/>
        </w:rPr>
        <w:t xml:space="preserve">) of the </w:t>
      </w:r>
      <w:r w:rsidR="0041755C" w:rsidRPr="009D7B9C">
        <w:rPr>
          <w:rFonts w:cs="Times New Roman"/>
          <w:i/>
          <w:szCs w:val="24"/>
        </w:rPr>
        <w:t>Customs Act</w:t>
      </w:r>
      <w:r w:rsidR="009C70E9" w:rsidRPr="009D7B9C">
        <w:rPr>
          <w:rFonts w:cs="Times New Roman"/>
          <w:szCs w:val="24"/>
        </w:rPr>
        <w:t>, R.S.C. 1985, c. 1 (2nd Supp.).</w:t>
      </w:r>
      <w:r w:rsidRPr="009D7B9C">
        <w:rPr>
          <w:rFonts w:cs="Times New Roman"/>
          <w:szCs w:val="24"/>
        </w:rPr>
        <w:t xml:space="preserve"> </w:t>
      </w:r>
      <w:r w:rsidR="0041755C" w:rsidRPr="009D7B9C">
        <w:rPr>
          <w:rFonts w:cs="Times New Roman"/>
          <w:szCs w:val="24"/>
        </w:rPr>
        <w:t xml:space="preserve"> </w:t>
      </w:r>
      <w:r w:rsidRPr="009D7B9C">
        <w:rPr>
          <w:rFonts w:cs="Times New Roman"/>
          <w:szCs w:val="24"/>
        </w:rPr>
        <w:t>His</w:t>
      </w:r>
      <w:r w:rsidR="005F6643" w:rsidRPr="009D7B9C">
        <w:rPr>
          <w:rFonts w:cs="Times New Roman"/>
          <w:szCs w:val="24"/>
        </w:rPr>
        <w:t xml:space="preserve"> convictions are not in issue.</w:t>
      </w:r>
    </w:p>
    <w:p w:rsidR="00AC7300" w:rsidRPr="009D7B9C" w:rsidRDefault="002224AD" w:rsidP="002646EC">
      <w:pPr>
        <w:pStyle w:val="ParaNoNdepar-AltN"/>
        <w:rPr>
          <w:rFonts w:cs="Times New Roman"/>
          <w:szCs w:val="24"/>
        </w:rPr>
      </w:pPr>
      <w:r w:rsidRPr="009D7B9C">
        <w:rPr>
          <w:rFonts w:cs="Times New Roman"/>
          <w:szCs w:val="24"/>
        </w:rPr>
        <w:t>The sole issue on this appeal is whether the trial judge</w:t>
      </w:r>
      <w:r w:rsidR="002C0E40" w:rsidRPr="009D7B9C">
        <w:rPr>
          <w:rFonts w:cs="Times New Roman"/>
          <w:szCs w:val="24"/>
        </w:rPr>
        <w:t xml:space="preserve">, </w:t>
      </w:r>
      <w:proofErr w:type="spellStart"/>
      <w:r w:rsidR="002C0E40" w:rsidRPr="009D7B9C">
        <w:rPr>
          <w:rFonts w:cs="Times New Roman"/>
          <w:szCs w:val="24"/>
        </w:rPr>
        <w:t>Baltman</w:t>
      </w:r>
      <w:proofErr w:type="spellEnd"/>
      <w:r w:rsidRPr="009D7B9C">
        <w:rPr>
          <w:rFonts w:cs="Times New Roman"/>
          <w:szCs w:val="24"/>
        </w:rPr>
        <w:t xml:space="preserve"> </w:t>
      </w:r>
      <w:r w:rsidR="002C0E40" w:rsidRPr="009D7B9C">
        <w:rPr>
          <w:rFonts w:cs="Times New Roman"/>
          <w:szCs w:val="24"/>
        </w:rPr>
        <w:t xml:space="preserve">J., </w:t>
      </w:r>
      <w:r w:rsidRPr="009D7B9C">
        <w:rPr>
          <w:rFonts w:cs="Times New Roman"/>
          <w:szCs w:val="24"/>
        </w:rPr>
        <w:t>erred in</w:t>
      </w:r>
      <w:r w:rsidR="00EF72BF" w:rsidRPr="009D7B9C">
        <w:rPr>
          <w:rFonts w:cs="Times New Roman"/>
          <w:szCs w:val="24"/>
        </w:rPr>
        <w:t xml:space="preserve"> law in</w:t>
      </w:r>
      <w:r w:rsidRPr="009D7B9C">
        <w:rPr>
          <w:rFonts w:cs="Times New Roman"/>
          <w:szCs w:val="24"/>
        </w:rPr>
        <w:t xml:space="preserve"> declining to impose a fine</w:t>
      </w:r>
      <w:r w:rsidR="00EC04B4" w:rsidRPr="009D7B9C">
        <w:rPr>
          <w:rFonts w:cs="Times New Roman"/>
          <w:szCs w:val="24"/>
        </w:rPr>
        <w:t>, pursuant to the Crown’s request.</w:t>
      </w:r>
      <w:r w:rsidRPr="009D7B9C">
        <w:rPr>
          <w:rFonts w:cs="Times New Roman"/>
          <w:szCs w:val="24"/>
        </w:rPr>
        <w:t xml:space="preserve"> </w:t>
      </w:r>
      <w:r w:rsidR="009C70E9" w:rsidRPr="009D7B9C">
        <w:rPr>
          <w:rFonts w:cs="Times New Roman"/>
          <w:szCs w:val="24"/>
        </w:rPr>
        <w:t xml:space="preserve"> </w:t>
      </w:r>
      <w:r w:rsidRPr="009D7B9C">
        <w:rPr>
          <w:rFonts w:cs="Times New Roman"/>
          <w:szCs w:val="24"/>
        </w:rPr>
        <w:t xml:space="preserve">More particularly, </w:t>
      </w:r>
      <w:r w:rsidR="00EF72BF" w:rsidRPr="009D7B9C">
        <w:rPr>
          <w:rFonts w:cs="Times New Roman"/>
          <w:szCs w:val="24"/>
        </w:rPr>
        <w:t xml:space="preserve">the decisive question is whether </w:t>
      </w:r>
      <w:r w:rsidR="002C0E40" w:rsidRPr="009D7B9C">
        <w:rPr>
          <w:rFonts w:cs="Times New Roman"/>
          <w:szCs w:val="24"/>
        </w:rPr>
        <w:t xml:space="preserve">Judge </w:t>
      </w:r>
      <w:proofErr w:type="spellStart"/>
      <w:r w:rsidR="002C0E40" w:rsidRPr="009D7B9C">
        <w:rPr>
          <w:rFonts w:cs="Times New Roman"/>
          <w:szCs w:val="24"/>
        </w:rPr>
        <w:t>Baltman</w:t>
      </w:r>
      <w:proofErr w:type="spellEnd"/>
      <w:r w:rsidR="00EF72BF" w:rsidRPr="009D7B9C">
        <w:rPr>
          <w:rFonts w:cs="Times New Roman"/>
          <w:szCs w:val="24"/>
        </w:rPr>
        <w:t xml:space="preserve"> misapplied s. 734(2) of the </w:t>
      </w:r>
      <w:r w:rsidR="00EF72BF" w:rsidRPr="009D7B9C">
        <w:rPr>
          <w:rFonts w:cs="Times New Roman"/>
          <w:i/>
          <w:szCs w:val="24"/>
        </w:rPr>
        <w:t>Criminal Code</w:t>
      </w:r>
      <w:r w:rsidR="00D449EB" w:rsidRPr="009D7B9C">
        <w:rPr>
          <w:rFonts w:cs="Times New Roman"/>
          <w:szCs w:val="24"/>
        </w:rPr>
        <w:t xml:space="preserve">.  More particularly still, the question is whether </w:t>
      </w:r>
      <w:r w:rsidR="002C0E40" w:rsidRPr="009D7B9C">
        <w:rPr>
          <w:rFonts w:cs="Times New Roman"/>
          <w:szCs w:val="24"/>
        </w:rPr>
        <w:t xml:space="preserve">Judge </w:t>
      </w:r>
      <w:proofErr w:type="spellStart"/>
      <w:r w:rsidR="002C0E40" w:rsidRPr="009D7B9C">
        <w:rPr>
          <w:rFonts w:cs="Times New Roman"/>
          <w:szCs w:val="24"/>
        </w:rPr>
        <w:t>Baltman</w:t>
      </w:r>
      <w:proofErr w:type="spellEnd"/>
      <w:r w:rsidR="00D449EB" w:rsidRPr="009D7B9C">
        <w:rPr>
          <w:rFonts w:cs="Times New Roman"/>
          <w:szCs w:val="24"/>
        </w:rPr>
        <w:t xml:space="preserve"> was bound to impose</w:t>
      </w:r>
      <w:r w:rsidR="00EC04B4" w:rsidRPr="009D7B9C">
        <w:rPr>
          <w:rFonts w:cs="Times New Roman"/>
          <w:szCs w:val="24"/>
        </w:rPr>
        <w:t xml:space="preserve"> a </w:t>
      </w:r>
      <w:r w:rsidR="00D449EB" w:rsidRPr="009D7B9C">
        <w:rPr>
          <w:rFonts w:cs="Times New Roman"/>
          <w:szCs w:val="24"/>
        </w:rPr>
        <w:t xml:space="preserve">fine in </w:t>
      </w:r>
      <w:r w:rsidR="00AC7300" w:rsidRPr="009D7B9C">
        <w:rPr>
          <w:rFonts w:cs="Times New Roman"/>
          <w:szCs w:val="24"/>
        </w:rPr>
        <w:t>light of</w:t>
      </w:r>
      <w:r w:rsidR="00D449EB" w:rsidRPr="009D7B9C">
        <w:rPr>
          <w:rFonts w:cs="Times New Roman"/>
          <w:szCs w:val="24"/>
        </w:rPr>
        <w:t xml:space="preserve"> Mr. </w:t>
      </w:r>
      <w:proofErr w:type="spellStart"/>
      <w:r w:rsidR="00D449EB" w:rsidRPr="009D7B9C">
        <w:rPr>
          <w:rFonts w:cs="Times New Roman"/>
          <w:szCs w:val="24"/>
        </w:rPr>
        <w:t>Topp’s</w:t>
      </w:r>
      <w:proofErr w:type="spellEnd"/>
      <w:r w:rsidR="00D449EB" w:rsidRPr="009D7B9C">
        <w:rPr>
          <w:rFonts w:cs="Times New Roman"/>
          <w:szCs w:val="24"/>
        </w:rPr>
        <w:t xml:space="preserve"> failure to explain what had happened to the </w:t>
      </w:r>
      <w:r w:rsidR="00EC04B4" w:rsidRPr="009D7B9C">
        <w:rPr>
          <w:rFonts w:cs="Times New Roman"/>
          <w:szCs w:val="24"/>
        </w:rPr>
        <w:t>$4.7 million he was found by the judge to have misappropriated.</w:t>
      </w:r>
    </w:p>
    <w:p w:rsidR="00985FEC" w:rsidRPr="009D7B9C" w:rsidRDefault="00AC7300" w:rsidP="002646EC">
      <w:pPr>
        <w:pStyle w:val="ParaNoNdepar-AltN"/>
        <w:rPr>
          <w:rFonts w:cs="Times New Roman"/>
          <w:szCs w:val="24"/>
        </w:rPr>
      </w:pPr>
      <w:r w:rsidRPr="009D7B9C">
        <w:rPr>
          <w:rFonts w:cs="Times New Roman"/>
          <w:szCs w:val="24"/>
        </w:rPr>
        <w:t>Section 734(2) provides:</w:t>
      </w:r>
    </w:p>
    <w:p w:rsidR="005F6643" w:rsidRPr="009D7B9C" w:rsidRDefault="00A26BEE" w:rsidP="00A26BEE">
      <w:pPr>
        <w:pStyle w:val="Citation-AltC"/>
        <w:tabs>
          <w:tab w:val="left" w:pos="1620"/>
        </w:tabs>
        <w:spacing w:after="240"/>
        <w:ind w:left="1627" w:hanging="1627"/>
        <w:contextualSpacing w:val="0"/>
        <w:rPr>
          <w:szCs w:val="24"/>
        </w:rPr>
      </w:pPr>
      <w:r w:rsidRPr="009D7B9C">
        <w:rPr>
          <w:b/>
          <w:szCs w:val="24"/>
        </w:rPr>
        <w:lastRenderedPageBreak/>
        <w:tab/>
      </w:r>
      <w:r w:rsidR="005F6643" w:rsidRPr="009D7B9C">
        <w:rPr>
          <w:b/>
          <w:szCs w:val="24"/>
        </w:rPr>
        <w:t>734.</w:t>
      </w:r>
      <w:r w:rsidR="005F6643" w:rsidRPr="009D7B9C">
        <w:rPr>
          <w:szCs w:val="24"/>
        </w:rPr>
        <w:t> . . .</w:t>
      </w:r>
    </w:p>
    <w:p w:rsidR="0030303C" w:rsidRPr="009D7B9C" w:rsidRDefault="00A26BEE" w:rsidP="00A26BEE">
      <w:pPr>
        <w:pStyle w:val="Citation-AltC"/>
        <w:tabs>
          <w:tab w:val="left" w:pos="1710"/>
        </w:tabs>
        <w:ind w:hanging="1166"/>
        <w:rPr>
          <w:szCs w:val="24"/>
        </w:rPr>
      </w:pPr>
      <w:r w:rsidRPr="009D7B9C">
        <w:rPr>
          <w:szCs w:val="24"/>
        </w:rPr>
        <w:tab/>
      </w:r>
      <w:r w:rsidRPr="009D7B9C">
        <w:rPr>
          <w:szCs w:val="24"/>
        </w:rPr>
        <w:tab/>
        <w:t>(2)</w:t>
      </w:r>
      <w:r w:rsidRPr="009D7B9C">
        <w:rPr>
          <w:szCs w:val="24"/>
        </w:rPr>
        <w:tab/>
      </w:r>
      <w:r w:rsidR="00985FEC" w:rsidRPr="009D7B9C">
        <w:rPr>
          <w:szCs w:val="24"/>
        </w:rPr>
        <w:t>Except when the punishment for an offence includes a minimum fine or a fine is imposed in lieu of a forfeiture order, a court may fine an offender under this section only if the court is satisfied that the offender is able to pay the fine or discharge i</w:t>
      </w:r>
      <w:r w:rsidR="00373981" w:rsidRPr="009D7B9C">
        <w:rPr>
          <w:szCs w:val="24"/>
        </w:rPr>
        <w:t>t under section 736.</w:t>
      </w:r>
    </w:p>
    <w:p w:rsidR="0030303C" w:rsidRPr="009D7B9C" w:rsidRDefault="0030303C" w:rsidP="002646EC">
      <w:pPr>
        <w:pStyle w:val="ParaNoNdepar-AltN"/>
        <w:rPr>
          <w:rFonts w:cs="Times New Roman"/>
          <w:szCs w:val="24"/>
        </w:rPr>
      </w:pPr>
      <w:r w:rsidRPr="009D7B9C">
        <w:rPr>
          <w:rFonts w:cs="Times New Roman"/>
          <w:szCs w:val="24"/>
        </w:rPr>
        <w:t xml:space="preserve">Section 736 provides that </w:t>
      </w:r>
      <w:r w:rsidR="009C70E9" w:rsidRPr="009D7B9C">
        <w:rPr>
          <w:rFonts w:cs="Times New Roman"/>
          <w:szCs w:val="24"/>
        </w:rPr>
        <w:t>“[</w:t>
      </w:r>
      <w:r w:rsidRPr="009D7B9C">
        <w:rPr>
          <w:rFonts w:cs="Times New Roman"/>
          <w:szCs w:val="24"/>
        </w:rPr>
        <w:t>a</w:t>
      </w:r>
      <w:r w:rsidR="009C70E9" w:rsidRPr="009D7B9C">
        <w:rPr>
          <w:rFonts w:cs="Times New Roman"/>
          <w:szCs w:val="24"/>
        </w:rPr>
        <w:t>]</w:t>
      </w:r>
      <w:r w:rsidRPr="009D7B9C">
        <w:rPr>
          <w:rFonts w:cs="Times New Roman"/>
          <w:szCs w:val="24"/>
        </w:rPr>
        <w:t xml:space="preserve">n offender who is fined </w:t>
      </w:r>
      <w:r w:rsidR="00A83568" w:rsidRPr="009D7B9C">
        <w:rPr>
          <w:rFonts w:cs="Times New Roman"/>
          <w:szCs w:val="24"/>
        </w:rPr>
        <w:t>under s</w:t>
      </w:r>
      <w:r w:rsidR="00373981" w:rsidRPr="009D7B9C">
        <w:rPr>
          <w:rFonts w:cs="Times New Roman"/>
          <w:szCs w:val="24"/>
        </w:rPr>
        <w:t>ection</w:t>
      </w:r>
      <w:r w:rsidR="00A83568" w:rsidRPr="009D7B9C">
        <w:rPr>
          <w:rFonts w:cs="Times New Roman"/>
          <w:szCs w:val="24"/>
        </w:rPr>
        <w:t xml:space="preserve"> 734 </w:t>
      </w:r>
      <w:proofErr w:type="gramStart"/>
      <w:r w:rsidR="00A83568" w:rsidRPr="009D7B9C">
        <w:rPr>
          <w:rFonts w:cs="Times New Roman"/>
          <w:szCs w:val="24"/>
        </w:rPr>
        <w:t xml:space="preserve">may </w:t>
      </w:r>
      <w:r w:rsidR="009C70E9" w:rsidRPr="009D7B9C">
        <w:rPr>
          <w:rFonts w:cs="Times New Roman"/>
          <w:szCs w:val="24"/>
        </w:rPr>
        <w:t>.</w:t>
      </w:r>
      <w:proofErr w:type="gramEnd"/>
      <w:r w:rsidR="006726E5" w:rsidRPr="009D7B9C">
        <w:rPr>
          <w:rFonts w:cs="Times New Roman"/>
          <w:szCs w:val="24"/>
        </w:rPr>
        <w:t> </w:t>
      </w:r>
      <w:r w:rsidR="009C70E9" w:rsidRPr="009D7B9C">
        <w:rPr>
          <w:rFonts w:cs="Times New Roman"/>
          <w:szCs w:val="24"/>
        </w:rPr>
        <w:t>.</w:t>
      </w:r>
      <w:r w:rsidR="006726E5" w:rsidRPr="009D7B9C">
        <w:rPr>
          <w:rFonts w:cs="Times New Roman"/>
          <w:szCs w:val="24"/>
        </w:rPr>
        <w:t> </w:t>
      </w:r>
      <w:r w:rsidR="009C70E9" w:rsidRPr="009D7B9C">
        <w:rPr>
          <w:rFonts w:cs="Times New Roman"/>
          <w:szCs w:val="24"/>
        </w:rPr>
        <w:t xml:space="preserve">. </w:t>
      </w:r>
      <w:r w:rsidR="00A83568" w:rsidRPr="009D7B9C">
        <w:rPr>
          <w:rFonts w:cs="Times New Roman"/>
          <w:szCs w:val="24"/>
        </w:rPr>
        <w:t xml:space="preserve">discharge the fine in whole or in part by earning credits for work performed during a period not greater than two years in a </w:t>
      </w:r>
      <w:r w:rsidR="00CE10D4" w:rsidRPr="009D7B9C">
        <w:rPr>
          <w:rFonts w:cs="Times New Roman"/>
          <w:szCs w:val="24"/>
        </w:rPr>
        <w:t>[provincial</w:t>
      </w:r>
      <w:r w:rsidR="009C70E9" w:rsidRPr="009D7B9C">
        <w:rPr>
          <w:rFonts w:cs="Times New Roman"/>
          <w:szCs w:val="24"/>
        </w:rPr>
        <w:t>]</w:t>
      </w:r>
      <w:r w:rsidR="00CE10D4" w:rsidRPr="009D7B9C">
        <w:rPr>
          <w:rFonts w:cs="Times New Roman"/>
          <w:szCs w:val="24"/>
        </w:rPr>
        <w:t xml:space="preserve"> </w:t>
      </w:r>
      <w:r w:rsidR="00A83568" w:rsidRPr="009D7B9C">
        <w:rPr>
          <w:rFonts w:cs="Times New Roman"/>
          <w:szCs w:val="24"/>
        </w:rPr>
        <w:t>program established for that purpose”</w:t>
      </w:r>
      <w:r w:rsidR="009C70E9" w:rsidRPr="009D7B9C">
        <w:rPr>
          <w:rFonts w:cs="Times New Roman"/>
          <w:szCs w:val="24"/>
        </w:rPr>
        <w:t>.</w:t>
      </w:r>
      <w:r w:rsidR="00A83568" w:rsidRPr="009D7B9C">
        <w:rPr>
          <w:rFonts w:cs="Times New Roman"/>
          <w:szCs w:val="24"/>
        </w:rPr>
        <w:t xml:space="preserve">  </w:t>
      </w:r>
      <w:r w:rsidR="00EC04B4" w:rsidRPr="009D7B9C">
        <w:rPr>
          <w:rFonts w:cs="Times New Roman"/>
          <w:szCs w:val="24"/>
        </w:rPr>
        <w:t xml:space="preserve">Ontario has not established such a program. </w:t>
      </w:r>
      <w:r w:rsidR="00A83568" w:rsidRPr="009D7B9C">
        <w:rPr>
          <w:rFonts w:cs="Times New Roman"/>
          <w:szCs w:val="24"/>
        </w:rPr>
        <w:t xml:space="preserve"> Accordingly, unless the judge was satisfied that Mr. </w:t>
      </w:r>
      <w:proofErr w:type="spellStart"/>
      <w:r w:rsidR="00A83568" w:rsidRPr="009D7B9C">
        <w:rPr>
          <w:rFonts w:cs="Times New Roman"/>
          <w:szCs w:val="24"/>
        </w:rPr>
        <w:t>Topp</w:t>
      </w:r>
      <w:proofErr w:type="spellEnd"/>
      <w:r w:rsidR="00A83568" w:rsidRPr="009D7B9C">
        <w:rPr>
          <w:rFonts w:cs="Times New Roman"/>
          <w:szCs w:val="24"/>
        </w:rPr>
        <w:t xml:space="preserve"> was able to pay the </w:t>
      </w:r>
      <w:proofErr w:type="gramStart"/>
      <w:r w:rsidR="00A83568" w:rsidRPr="009D7B9C">
        <w:rPr>
          <w:rFonts w:cs="Times New Roman"/>
          <w:szCs w:val="24"/>
        </w:rPr>
        <w:t>fine,</w:t>
      </w:r>
      <w:proofErr w:type="gramEnd"/>
      <w:r w:rsidR="00A83568" w:rsidRPr="009D7B9C">
        <w:rPr>
          <w:rFonts w:cs="Times New Roman"/>
          <w:szCs w:val="24"/>
        </w:rPr>
        <w:t xml:space="preserve"> no fine could legally be imposed.</w:t>
      </w:r>
    </w:p>
    <w:p w:rsidR="00F12A77" w:rsidRPr="009D7B9C" w:rsidRDefault="002C0E40" w:rsidP="002646EC">
      <w:pPr>
        <w:pStyle w:val="ParaNoNdepar-AltN"/>
        <w:rPr>
          <w:rFonts w:cs="Times New Roman"/>
          <w:szCs w:val="24"/>
        </w:rPr>
      </w:pPr>
      <w:r w:rsidRPr="009D7B9C">
        <w:rPr>
          <w:rFonts w:cs="Times New Roman"/>
          <w:szCs w:val="24"/>
        </w:rPr>
        <w:t xml:space="preserve">Judge </w:t>
      </w:r>
      <w:proofErr w:type="spellStart"/>
      <w:r w:rsidR="003D7041" w:rsidRPr="009D7B9C">
        <w:rPr>
          <w:rFonts w:cs="Times New Roman"/>
          <w:szCs w:val="24"/>
        </w:rPr>
        <w:t>Baltman</w:t>
      </w:r>
      <w:proofErr w:type="spellEnd"/>
      <w:r w:rsidR="003D7041" w:rsidRPr="009D7B9C">
        <w:rPr>
          <w:rFonts w:cs="Times New Roman"/>
          <w:szCs w:val="24"/>
        </w:rPr>
        <w:t xml:space="preserve"> </w:t>
      </w:r>
      <w:r w:rsidRPr="009D7B9C">
        <w:rPr>
          <w:rFonts w:cs="Times New Roman"/>
          <w:szCs w:val="24"/>
        </w:rPr>
        <w:t xml:space="preserve">declined to impose a fine. </w:t>
      </w:r>
      <w:r w:rsidR="00AC7300" w:rsidRPr="009D7B9C">
        <w:rPr>
          <w:rFonts w:cs="Times New Roman"/>
          <w:szCs w:val="24"/>
        </w:rPr>
        <w:t xml:space="preserve">After considering counsels’ submissions, </w:t>
      </w:r>
      <w:r w:rsidRPr="009D7B9C">
        <w:rPr>
          <w:rFonts w:cs="Times New Roman"/>
          <w:szCs w:val="24"/>
        </w:rPr>
        <w:t>she</w:t>
      </w:r>
      <w:r w:rsidR="00AC7300" w:rsidRPr="009D7B9C">
        <w:rPr>
          <w:rFonts w:cs="Times New Roman"/>
          <w:szCs w:val="24"/>
        </w:rPr>
        <w:t xml:space="preserve"> explained her conclusion this way:</w:t>
      </w:r>
    </w:p>
    <w:p w:rsidR="00F12A77" w:rsidRPr="009D7B9C" w:rsidRDefault="00F12A77" w:rsidP="009C70E9">
      <w:pPr>
        <w:pStyle w:val="Citation-AltC"/>
        <w:ind w:firstLine="274"/>
        <w:rPr>
          <w:szCs w:val="24"/>
        </w:rPr>
      </w:pPr>
      <w:r w:rsidRPr="009D7B9C">
        <w:rPr>
          <w:szCs w:val="24"/>
        </w:rPr>
        <w:t xml:space="preserve">There is virtually no information about what Mr. </w:t>
      </w:r>
      <w:proofErr w:type="spellStart"/>
      <w:r w:rsidRPr="009D7B9C">
        <w:rPr>
          <w:szCs w:val="24"/>
        </w:rPr>
        <w:t>Topp</w:t>
      </w:r>
      <w:proofErr w:type="spellEnd"/>
      <w:r w:rsidRPr="009D7B9C">
        <w:rPr>
          <w:szCs w:val="24"/>
        </w:rPr>
        <w:t xml:space="preserve"> did with the stolen funds; the Crown attempted to trace the funds and found that some monies had been transferred to a bank account in Antigua, but there was nothing left to recover.  Mr. </w:t>
      </w:r>
      <w:proofErr w:type="spellStart"/>
      <w:r w:rsidRPr="009D7B9C">
        <w:rPr>
          <w:szCs w:val="24"/>
        </w:rPr>
        <w:t>Topp</w:t>
      </w:r>
      <w:proofErr w:type="spellEnd"/>
      <w:r w:rsidRPr="009D7B9C">
        <w:rPr>
          <w:szCs w:val="24"/>
        </w:rPr>
        <w:t xml:space="preserve"> appears to have few tangible assets, and so </w:t>
      </w:r>
      <w:r w:rsidR="00B8626C" w:rsidRPr="009D7B9C">
        <w:rPr>
          <w:szCs w:val="24"/>
        </w:rPr>
        <w:t>where</w:t>
      </w:r>
      <w:r w:rsidRPr="009D7B9C">
        <w:rPr>
          <w:szCs w:val="24"/>
        </w:rPr>
        <w:t xml:space="preserve"> the money went remains a mystery</w:t>
      </w:r>
      <w:r w:rsidR="009C70E9" w:rsidRPr="009D7B9C">
        <w:rPr>
          <w:szCs w:val="24"/>
        </w:rPr>
        <w:t>.</w:t>
      </w:r>
    </w:p>
    <w:p w:rsidR="00BB540A" w:rsidRPr="009D7B9C" w:rsidRDefault="00BB540A" w:rsidP="00BB540A">
      <w:pPr>
        <w:pStyle w:val="Citation-AltC"/>
        <w:rPr>
          <w:szCs w:val="24"/>
        </w:rPr>
      </w:pPr>
    </w:p>
    <w:p w:rsidR="00F12A77" w:rsidRPr="009D7B9C" w:rsidRDefault="00F12A77" w:rsidP="002646EC">
      <w:pPr>
        <w:pStyle w:val="Citation-AltC"/>
        <w:jc w:val="center"/>
        <w:rPr>
          <w:szCs w:val="24"/>
        </w:rPr>
      </w:pPr>
      <w:r w:rsidRPr="009D7B9C">
        <w:rPr>
          <w:szCs w:val="24"/>
        </w:rPr>
        <w:t>.</w:t>
      </w:r>
      <w:r w:rsidR="001420B7" w:rsidRPr="009D7B9C">
        <w:rPr>
          <w:szCs w:val="24"/>
        </w:rPr>
        <w:t xml:space="preserve"> </w:t>
      </w:r>
      <w:r w:rsidRPr="009D7B9C">
        <w:rPr>
          <w:szCs w:val="24"/>
        </w:rPr>
        <w:t>.</w:t>
      </w:r>
      <w:r w:rsidR="001420B7" w:rsidRPr="009D7B9C">
        <w:rPr>
          <w:szCs w:val="24"/>
        </w:rPr>
        <w:t xml:space="preserve"> </w:t>
      </w:r>
      <w:r w:rsidRPr="009D7B9C">
        <w:rPr>
          <w:szCs w:val="24"/>
        </w:rPr>
        <w:t>.</w:t>
      </w:r>
    </w:p>
    <w:p w:rsidR="00D200FF" w:rsidRPr="009D7B9C" w:rsidRDefault="00D200FF" w:rsidP="00F453C6">
      <w:pPr>
        <w:pStyle w:val="Citation-AltC"/>
        <w:jc w:val="center"/>
        <w:rPr>
          <w:szCs w:val="24"/>
        </w:rPr>
      </w:pPr>
    </w:p>
    <w:p w:rsidR="003C6E3F" w:rsidRPr="009D7B9C" w:rsidRDefault="009C70E9" w:rsidP="009C70E9">
      <w:pPr>
        <w:pStyle w:val="Citation-AltC"/>
        <w:ind w:firstLine="274"/>
        <w:rPr>
          <w:szCs w:val="24"/>
        </w:rPr>
      </w:pPr>
      <w:r w:rsidRPr="009D7B9C">
        <w:rPr>
          <w:szCs w:val="24"/>
        </w:rPr>
        <w:t xml:space="preserve">. . . </w:t>
      </w:r>
      <w:r w:rsidR="00F12A77" w:rsidRPr="009D7B9C">
        <w:rPr>
          <w:szCs w:val="24"/>
        </w:rPr>
        <w:t xml:space="preserve">As I am not persuaded the accused has the ability to pay a fine, none is imposed.  </w:t>
      </w:r>
      <w:r w:rsidRPr="009D7B9C">
        <w:rPr>
          <w:szCs w:val="24"/>
        </w:rPr>
        <w:t>[</w:t>
      </w:r>
      <w:proofErr w:type="spellStart"/>
      <w:r w:rsidRPr="009D7B9C">
        <w:rPr>
          <w:szCs w:val="24"/>
        </w:rPr>
        <w:t>paras</w:t>
      </w:r>
      <w:proofErr w:type="spellEnd"/>
      <w:r w:rsidRPr="009D7B9C">
        <w:rPr>
          <w:szCs w:val="24"/>
        </w:rPr>
        <w:t>. 6 and 33]</w:t>
      </w:r>
    </w:p>
    <w:p w:rsidR="00F12A77" w:rsidRPr="009D7B9C" w:rsidRDefault="0030303C" w:rsidP="002646EC">
      <w:pPr>
        <w:pStyle w:val="ParaNoNdepar-AltN"/>
        <w:rPr>
          <w:rFonts w:cs="Times New Roman"/>
          <w:szCs w:val="24"/>
        </w:rPr>
      </w:pPr>
      <w:r w:rsidRPr="009D7B9C">
        <w:rPr>
          <w:rFonts w:cs="Times New Roman"/>
          <w:szCs w:val="24"/>
        </w:rPr>
        <w:lastRenderedPageBreak/>
        <w:t>An appeal by the Crown was dismissed by t</w:t>
      </w:r>
      <w:r w:rsidR="00F12A77" w:rsidRPr="009D7B9C">
        <w:rPr>
          <w:rFonts w:cs="Times New Roman"/>
          <w:szCs w:val="24"/>
        </w:rPr>
        <w:t>he</w:t>
      </w:r>
      <w:r w:rsidR="00B8626C" w:rsidRPr="009D7B9C">
        <w:rPr>
          <w:rFonts w:cs="Times New Roman"/>
          <w:szCs w:val="24"/>
        </w:rPr>
        <w:t xml:space="preserve"> Ontario Court of Appeal</w:t>
      </w:r>
      <w:r w:rsidRPr="009D7B9C">
        <w:rPr>
          <w:rFonts w:cs="Times New Roman"/>
          <w:szCs w:val="24"/>
        </w:rPr>
        <w:t>.  In its brief endorsement, the Court of Appeal described the matter as “</w:t>
      </w:r>
      <w:r w:rsidR="00B8626C" w:rsidRPr="009D7B9C">
        <w:rPr>
          <w:rFonts w:cs="Times New Roman"/>
          <w:szCs w:val="24"/>
        </w:rPr>
        <w:t>a close call</w:t>
      </w:r>
      <w:r w:rsidRPr="009D7B9C">
        <w:rPr>
          <w:rFonts w:cs="Times New Roman"/>
          <w:szCs w:val="24"/>
        </w:rPr>
        <w:t>”</w:t>
      </w:r>
      <w:r w:rsidR="00B8626C" w:rsidRPr="009D7B9C">
        <w:rPr>
          <w:rFonts w:cs="Times New Roman"/>
          <w:szCs w:val="24"/>
        </w:rPr>
        <w:t xml:space="preserve">, </w:t>
      </w:r>
      <w:r w:rsidRPr="009D7B9C">
        <w:rPr>
          <w:rFonts w:cs="Times New Roman"/>
          <w:szCs w:val="24"/>
        </w:rPr>
        <w:t>but found that “</w:t>
      </w:r>
      <w:r w:rsidR="00B8626C" w:rsidRPr="009D7B9C">
        <w:rPr>
          <w:rFonts w:cs="Times New Roman"/>
          <w:szCs w:val="24"/>
        </w:rPr>
        <w:t xml:space="preserve">it was open to the </w:t>
      </w:r>
      <w:r w:rsidR="00FE697B" w:rsidRPr="009D7B9C">
        <w:rPr>
          <w:rFonts w:cs="Times New Roman"/>
          <w:szCs w:val="24"/>
        </w:rPr>
        <w:t>trial judge</w:t>
      </w:r>
      <w:r w:rsidR="00B8626C" w:rsidRPr="009D7B9C">
        <w:rPr>
          <w:rFonts w:cs="Times New Roman"/>
          <w:szCs w:val="24"/>
        </w:rPr>
        <w:t>, on the record before her and the submission</w:t>
      </w:r>
      <w:r w:rsidR="009C70E9" w:rsidRPr="009D7B9C">
        <w:rPr>
          <w:rFonts w:cs="Times New Roman"/>
          <w:szCs w:val="24"/>
        </w:rPr>
        <w:t>s</w:t>
      </w:r>
      <w:r w:rsidR="00B8626C" w:rsidRPr="009D7B9C">
        <w:rPr>
          <w:rFonts w:cs="Times New Roman"/>
          <w:szCs w:val="24"/>
        </w:rPr>
        <w:t xml:space="preserve"> of defence counsel, to find that the respondent did not have the ability to pay </w:t>
      </w:r>
      <w:r w:rsidR="009C70E9" w:rsidRPr="009D7B9C">
        <w:rPr>
          <w:rFonts w:cs="Times New Roman"/>
          <w:szCs w:val="24"/>
        </w:rPr>
        <w:t xml:space="preserve">the </w:t>
      </w:r>
      <w:r w:rsidR="00B8626C" w:rsidRPr="009D7B9C">
        <w:rPr>
          <w:rFonts w:cs="Times New Roman"/>
          <w:szCs w:val="24"/>
        </w:rPr>
        <w:t>fine</w:t>
      </w:r>
      <w:r w:rsidRPr="009D7B9C">
        <w:rPr>
          <w:rFonts w:cs="Times New Roman"/>
          <w:szCs w:val="24"/>
        </w:rPr>
        <w:t>”</w:t>
      </w:r>
      <w:r w:rsidR="009C70E9" w:rsidRPr="009D7B9C">
        <w:rPr>
          <w:rFonts w:cs="Times New Roman"/>
          <w:szCs w:val="24"/>
        </w:rPr>
        <w:t xml:space="preserve"> (</w:t>
      </w:r>
      <w:proofErr w:type="spellStart"/>
      <w:r w:rsidR="009C70E9" w:rsidRPr="009D7B9C">
        <w:rPr>
          <w:rFonts w:cs="Times New Roman"/>
          <w:szCs w:val="24"/>
        </w:rPr>
        <w:t>para</w:t>
      </w:r>
      <w:proofErr w:type="spellEnd"/>
      <w:r w:rsidR="009C70E9" w:rsidRPr="009D7B9C">
        <w:rPr>
          <w:rFonts w:cs="Times New Roman"/>
          <w:szCs w:val="24"/>
        </w:rPr>
        <w:t>. 1)</w:t>
      </w:r>
      <w:r w:rsidR="004C1AAF" w:rsidRPr="009D7B9C">
        <w:rPr>
          <w:rFonts w:cs="Times New Roman"/>
          <w:szCs w:val="24"/>
        </w:rPr>
        <w:t>.</w:t>
      </w:r>
    </w:p>
    <w:p w:rsidR="00EB3C12" w:rsidRPr="009D7B9C" w:rsidRDefault="005F0F94" w:rsidP="00BB540A">
      <w:pPr>
        <w:pStyle w:val="TitleTitre-AltT"/>
        <w:jc w:val="center"/>
        <w:rPr>
          <w:rFonts w:cs="Times New Roman"/>
          <w:szCs w:val="24"/>
        </w:rPr>
      </w:pPr>
      <w:r w:rsidRPr="009D7B9C">
        <w:rPr>
          <w:rFonts w:cs="Times New Roman"/>
          <w:szCs w:val="24"/>
        </w:rPr>
        <w:t>III</w:t>
      </w:r>
    </w:p>
    <w:p w:rsidR="00EB54AE" w:rsidRPr="009D7B9C" w:rsidRDefault="002C0E40" w:rsidP="002646EC">
      <w:pPr>
        <w:pStyle w:val="ParaNoNdepar-AltN"/>
        <w:rPr>
          <w:rFonts w:cs="Times New Roman"/>
          <w:szCs w:val="24"/>
        </w:rPr>
      </w:pPr>
      <w:r w:rsidRPr="009D7B9C">
        <w:rPr>
          <w:rFonts w:cs="Times New Roman"/>
          <w:szCs w:val="24"/>
        </w:rPr>
        <w:t xml:space="preserve">Subject to s. 734(2), the court may impose a fine </w:t>
      </w:r>
      <w:r w:rsidR="00EB54AE" w:rsidRPr="009D7B9C">
        <w:rPr>
          <w:rFonts w:cs="Times New Roman"/>
          <w:szCs w:val="24"/>
        </w:rPr>
        <w:t>“</w:t>
      </w:r>
      <w:r w:rsidRPr="009D7B9C">
        <w:rPr>
          <w:rFonts w:cs="Times New Roman"/>
          <w:szCs w:val="24"/>
        </w:rPr>
        <w:t xml:space="preserve">in addition to or </w:t>
      </w:r>
      <w:r w:rsidR="00EB54AE" w:rsidRPr="009D7B9C">
        <w:rPr>
          <w:rFonts w:cs="Times New Roman"/>
          <w:szCs w:val="24"/>
        </w:rPr>
        <w:t>in lieu of any other sanction” that the court is r</w:t>
      </w:r>
      <w:r w:rsidR="006B2B56" w:rsidRPr="009D7B9C">
        <w:rPr>
          <w:rFonts w:cs="Times New Roman"/>
          <w:szCs w:val="24"/>
        </w:rPr>
        <w:t>equired or authorized to impose</w:t>
      </w:r>
      <w:r w:rsidR="0037520F" w:rsidRPr="009D7B9C">
        <w:rPr>
          <w:rFonts w:cs="Times New Roman"/>
          <w:szCs w:val="24"/>
        </w:rPr>
        <w:t xml:space="preserve"> (s. 734(1</w:t>
      </w:r>
      <w:proofErr w:type="gramStart"/>
      <w:r w:rsidR="0037520F" w:rsidRPr="009D7B9C">
        <w:rPr>
          <w:rFonts w:cs="Times New Roman"/>
          <w:szCs w:val="24"/>
        </w:rPr>
        <w:t>)</w:t>
      </w:r>
      <w:r w:rsidR="00373981" w:rsidRPr="009D7B9C">
        <w:rPr>
          <w:rFonts w:cs="Times New Roman"/>
          <w:szCs w:val="24"/>
        </w:rPr>
        <w:t>(</w:t>
      </w:r>
      <w:proofErr w:type="gramEnd"/>
      <w:r w:rsidR="00373981" w:rsidRPr="009D7B9C">
        <w:rPr>
          <w:rFonts w:cs="Times New Roman"/>
          <w:i/>
          <w:szCs w:val="24"/>
        </w:rPr>
        <w:t>a</w:t>
      </w:r>
      <w:r w:rsidR="00373981" w:rsidRPr="009D7B9C">
        <w:rPr>
          <w:rFonts w:cs="Times New Roman"/>
          <w:szCs w:val="24"/>
        </w:rPr>
        <w:t>)</w:t>
      </w:r>
      <w:r w:rsidR="0037520F" w:rsidRPr="009D7B9C">
        <w:rPr>
          <w:rFonts w:cs="Times New Roman"/>
          <w:szCs w:val="24"/>
        </w:rPr>
        <w:t>).</w:t>
      </w:r>
    </w:p>
    <w:p w:rsidR="000E0793" w:rsidRPr="009D7B9C" w:rsidRDefault="00E91851" w:rsidP="002646EC">
      <w:pPr>
        <w:pStyle w:val="ParaNoNdepar-AltN"/>
        <w:rPr>
          <w:rFonts w:cs="Times New Roman"/>
          <w:szCs w:val="24"/>
        </w:rPr>
      </w:pPr>
      <w:r w:rsidRPr="009D7B9C">
        <w:rPr>
          <w:rFonts w:cs="Times New Roman"/>
          <w:szCs w:val="24"/>
        </w:rPr>
        <w:t>In this case, the Crown urged the court to impose a fine in addition to a lengthy term of imprisonment.  In other cases, t</w:t>
      </w:r>
      <w:r w:rsidR="0091646D" w:rsidRPr="009D7B9C">
        <w:rPr>
          <w:rFonts w:cs="Times New Roman"/>
          <w:szCs w:val="24"/>
        </w:rPr>
        <w:t xml:space="preserve">he offender </w:t>
      </w:r>
      <w:r w:rsidRPr="009D7B9C">
        <w:rPr>
          <w:rFonts w:cs="Times New Roman"/>
          <w:szCs w:val="24"/>
        </w:rPr>
        <w:t>seeks the imposition of</w:t>
      </w:r>
      <w:r w:rsidR="0091646D" w:rsidRPr="009D7B9C">
        <w:rPr>
          <w:rFonts w:cs="Times New Roman"/>
          <w:szCs w:val="24"/>
        </w:rPr>
        <w:t xml:space="preserve"> a fine in lieu of a more severe punishment</w:t>
      </w:r>
      <w:r w:rsidRPr="009D7B9C">
        <w:rPr>
          <w:rFonts w:cs="Times New Roman"/>
          <w:szCs w:val="24"/>
        </w:rPr>
        <w:t xml:space="preserve">.  </w:t>
      </w:r>
      <w:r w:rsidR="00AC3104" w:rsidRPr="009D7B9C">
        <w:rPr>
          <w:rFonts w:cs="Times New Roman"/>
          <w:szCs w:val="24"/>
        </w:rPr>
        <w:t>Moreover, t</w:t>
      </w:r>
      <w:r w:rsidR="0091646D" w:rsidRPr="009D7B9C">
        <w:rPr>
          <w:rFonts w:cs="Times New Roman"/>
          <w:szCs w:val="24"/>
        </w:rPr>
        <w:t xml:space="preserve">he court </w:t>
      </w:r>
      <w:r w:rsidR="00AC3104" w:rsidRPr="009D7B9C">
        <w:rPr>
          <w:rFonts w:cs="Times New Roman"/>
          <w:szCs w:val="24"/>
        </w:rPr>
        <w:t xml:space="preserve">may </w:t>
      </w:r>
      <w:r w:rsidR="0091646D" w:rsidRPr="009D7B9C">
        <w:rPr>
          <w:rFonts w:cs="Times New Roman"/>
          <w:szCs w:val="24"/>
        </w:rPr>
        <w:t xml:space="preserve">impose </w:t>
      </w:r>
      <w:r w:rsidR="00AC3104" w:rsidRPr="009D7B9C">
        <w:rPr>
          <w:rFonts w:cs="Times New Roman"/>
          <w:szCs w:val="24"/>
        </w:rPr>
        <w:t>a fine where none is requested by either side.</w:t>
      </w:r>
      <w:r w:rsidR="0091646D" w:rsidRPr="009D7B9C">
        <w:rPr>
          <w:rFonts w:cs="Times New Roman"/>
          <w:szCs w:val="24"/>
        </w:rPr>
        <w:t xml:space="preserve">  </w:t>
      </w:r>
      <w:r w:rsidR="000E0793" w:rsidRPr="009D7B9C">
        <w:rPr>
          <w:rFonts w:cs="Times New Roman"/>
          <w:szCs w:val="24"/>
        </w:rPr>
        <w:t xml:space="preserve">Section 734(2) applies in all </w:t>
      </w:r>
      <w:r w:rsidRPr="009D7B9C">
        <w:rPr>
          <w:rFonts w:cs="Times New Roman"/>
          <w:szCs w:val="24"/>
        </w:rPr>
        <w:t>three instances</w:t>
      </w:r>
      <w:r w:rsidR="000E0793" w:rsidRPr="009D7B9C">
        <w:rPr>
          <w:rFonts w:cs="Times New Roman"/>
          <w:szCs w:val="24"/>
        </w:rPr>
        <w:t>: T</w:t>
      </w:r>
      <w:r w:rsidR="009C583A" w:rsidRPr="009D7B9C">
        <w:rPr>
          <w:rFonts w:cs="Times New Roman"/>
          <w:szCs w:val="24"/>
        </w:rPr>
        <w:t>he court can only impose a fine if it is satisfied, on the basis of the record before it, that the offender has the means to pay the contemplated fine</w:t>
      </w:r>
      <w:r w:rsidR="000E0793" w:rsidRPr="009D7B9C">
        <w:rPr>
          <w:rFonts w:cs="Times New Roman"/>
          <w:szCs w:val="24"/>
        </w:rPr>
        <w:t xml:space="preserve"> (or to discharge it under s. 736)</w:t>
      </w:r>
      <w:r w:rsidR="00373981" w:rsidRPr="009D7B9C">
        <w:rPr>
          <w:rFonts w:cs="Times New Roman"/>
          <w:szCs w:val="24"/>
        </w:rPr>
        <w:t>.</w:t>
      </w:r>
    </w:p>
    <w:p w:rsidR="009A7B4B" w:rsidRPr="009D7B9C" w:rsidRDefault="00567716" w:rsidP="002646EC">
      <w:pPr>
        <w:pStyle w:val="ParaNoNdepar-AltN"/>
        <w:rPr>
          <w:rFonts w:cs="Times New Roman"/>
          <w:szCs w:val="24"/>
        </w:rPr>
      </w:pPr>
      <w:r w:rsidRPr="009D7B9C">
        <w:rPr>
          <w:rFonts w:cs="Times New Roman"/>
          <w:szCs w:val="24"/>
        </w:rPr>
        <w:t xml:space="preserve">The legislative purpose behind s. 734(2) </w:t>
      </w:r>
      <w:r w:rsidR="009A7B4B" w:rsidRPr="009D7B9C">
        <w:rPr>
          <w:rFonts w:cs="Times New Roman"/>
          <w:szCs w:val="24"/>
        </w:rPr>
        <w:t>is</w:t>
      </w:r>
      <w:r w:rsidRPr="009D7B9C">
        <w:rPr>
          <w:rFonts w:cs="Times New Roman"/>
          <w:szCs w:val="24"/>
        </w:rPr>
        <w:t xml:space="preserve"> to</w:t>
      </w:r>
      <w:r w:rsidR="000258EC" w:rsidRPr="009D7B9C">
        <w:rPr>
          <w:rFonts w:cs="Times New Roman"/>
          <w:szCs w:val="24"/>
        </w:rPr>
        <w:t xml:space="preserve"> prevent offenders from </w:t>
      </w:r>
      <w:r w:rsidR="009A7B4B" w:rsidRPr="009D7B9C">
        <w:rPr>
          <w:rFonts w:cs="Times New Roman"/>
          <w:szCs w:val="24"/>
        </w:rPr>
        <w:t>being fined amounts that they a</w:t>
      </w:r>
      <w:r w:rsidR="000258EC" w:rsidRPr="009D7B9C">
        <w:rPr>
          <w:rFonts w:cs="Times New Roman"/>
          <w:szCs w:val="24"/>
        </w:rPr>
        <w:t>re truly unable to pay, and to correspondingly reduce the n</w:t>
      </w:r>
      <w:r w:rsidR="009A7B4B" w:rsidRPr="009D7B9C">
        <w:rPr>
          <w:rFonts w:cs="Times New Roman"/>
          <w:szCs w:val="24"/>
        </w:rPr>
        <w:t xml:space="preserve">umber of offenders who are incarcerated </w:t>
      </w:r>
      <w:r w:rsidR="000E0793" w:rsidRPr="009D7B9C">
        <w:rPr>
          <w:rFonts w:cs="Times New Roman"/>
          <w:szCs w:val="24"/>
        </w:rPr>
        <w:t>in default of payment</w:t>
      </w:r>
      <w:r w:rsidR="009A7B4B" w:rsidRPr="009D7B9C">
        <w:rPr>
          <w:rFonts w:cs="Times New Roman"/>
          <w:szCs w:val="24"/>
        </w:rPr>
        <w:t xml:space="preserve">. </w:t>
      </w:r>
      <w:r w:rsidR="000E0793" w:rsidRPr="009D7B9C">
        <w:rPr>
          <w:rFonts w:cs="Times New Roman"/>
          <w:szCs w:val="24"/>
        </w:rPr>
        <w:t xml:space="preserve">In proposing its </w:t>
      </w:r>
      <w:r w:rsidR="000E0793" w:rsidRPr="009D7B9C">
        <w:rPr>
          <w:rFonts w:cs="Times New Roman"/>
          <w:szCs w:val="24"/>
        </w:rPr>
        <w:lastRenderedPageBreak/>
        <w:t>adoption in 1994, t</w:t>
      </w:r>
      <w:r w:rsidR="009A7B4B" w:rsidRPr="009D7B9C">
        <w:rPr>
          <w:rFonts w:cs="Times New Roman"/>
          <w:szCs w:val="24"/>
        </w:rPr>
        <w:t xml:space="preserve">he then-Minister of Justice explained the rationale behind s. 734(2) </w:t>
      </w:r>
      <w:r w:rsidR="002646EC" w:rsidRPr="009D7B9C">
        <w:rPr>
          <w:rFonts w:cs="Times New Roman"/>
          <w:szCs w:val="24"/>
        </w:rPr>
        <w:t>this way:</w:t>
      </w:r>
    </w:p>
    <w:p w:rsidR="0037520F" w:rsidRPr="009D7B9C" w:rsidRDefault="00373981" w:rsidP="00136944">
      <w:pPr>
        <w:pStyle w:val="Citation-AltC"/>
        <w:ind w:firstLine="454"/>
        <w:rPr>
          <w:szCs w:val="24"/>
        </w:rPr>
      </w:pPr>
      <w:r w:rsidRPr="009D7B9C">
        <w:rPr>
          <w:smallCaps/>
          <w:szCs w:val="24"/>
        </w:rPr>
        <w:t>[t</w:t>
      </w:r>
      <w:r w:rsidR="00462FAF" w:rsidRPr="009D7B9C">
        <w:rPr>
          <w:smallCaps/>
          <w:szCs w:val="24"/>
        </w:rPr>
        <w:t xml:space="preserve">ranslation]  </w:t>
      </w:r>
      <w:r w:rsidR="00FA07D8" w:rsidRPr="009D7B9C">
        <w:rPr>
          <w:szCs w:val="24"/>
        </w:rPr>
        <w:t xml:space="preserve">At </w:t>
      </w:r>
      <w:r w:rsidR="009A7B4B" w:rsidRPr="009D7B9C">
        <w:rPr>
          <w:szCs w:val="24"/>
        </w:rPr>
        <w:t xml:space="preserve">the present time, nearly a third of </w:t>
      </w:r>
      <w:r w:rsidR="0037520F" w:rsidRPr="009D7B9C">
        <w:rPr>
          <w:szCs w:val="24"/>
        </w:rPr>
        <w:t xml:space="preserve">the </w:t>
      </w:r>
      <w:r w:rsidR="009A7B4B" w:rsidRPr="009D7B9C">
        <w:rPr>
          <w:szCs w:val="24"/>
        </w:rPr>
        <w:t xml:space="preserve">people liable to incarceration in provincial jails are in that situation because they did not pay </w:t>
      </w:r>
      <w:r w:rsidRPr="009D7B9C">
        <w:rPr>
          <w:szCs w:val="24"/>
        </w:rPr>
        <w:t>fines. . . .</w:t>
      </w:r>
    </w:p>
    <w:p w:rsidR="0037520F" w:rsidRPr="009D7B9C" w:rsidRDefault="0037520F" w:rsidP="00136944">
      <w:pPr>
        <w:pStyle w:val="Citation-AltC"/>
        <w:ind w:firstLine="454"/>
        <w:rPr>
          <w:szCs w:val="24"/>
        </w:rPr>
      </w:pPr>
    </w:p>
    <w:p w:rsidR="0037520F" w:rsidRPr="009D7B9C" w:rsidRDefault="009A7B4B" w:rsidP="00136944">
      <w:pPr>
        <w:pStyle w:val="Citation-AltC"/>
        <w:ind w:firstLine="454"/>
        <w:rPr>
          <w:szCs w:val="24"/>
        </w:rPr>
      </w:pPr>
      <w:r w:rsidRPr="009D7B9C">
        <w:rPr>
          <w:szCs w:val="24"/>
        </w:rPr>
        <w:t>The b</w:t>
      </w:r>
      <w:r w:rsidR="00373981" w:rsidRPr="009D7B9C">
        <w:rPr>
          <w:szCs w:val="24"/>
        </w:rPr>
        <w:t>ill recognizes this situation.</w:t>
      </w:r>
    </w:p>
    <w:p w:rsidR="0037520F" w:rsidRPr="009D7B9C" w:rsidRDefault="0037520F" w:rsidP="00136944">
      <w:pPr>
        <w:pStyle w:val="Citation-AltC"/>
        <w:ind w:firstLine="454"/>
        <w:rPr>
          <w:szCs w:val="24"/>
        </w:rPr>
      </w:pPr>
    </w:p>
    <w:p w:rsidR="0037520F" w:rsidRPr="009D7B9C" w:rsidRDefault="009A7B4B" w:rsidP="00136944">
      <w:pPr>
        <w:pStyle w:val="Citation-AltC"/>
        <w:ind w:firstLine="454"/>
        <w:rPr>
          <w:szCs w:val="24"/>
        </w:rPr>
      </w:pPr>
      <w:r w:rsidRPr="009D7B9C">
        <w:rPr>
          <w:szCs w:val="24"/>
        </w:rPr>
        <w:t>These provisions state that the court must be convinced that the offender can pay the fine contemplated before imposing it</w:t>
      </w:r>
      <w:r w:rsidR="0037520F" w:rsidRPr="009D7B9C">
        <w:rPr>
          <w:szCs w:val="24"/>
        </w:rPr>
        <w:t>.</w:t>
      </w:r>
    </w:p>
    <w:p w:rsidR="0037520F" w:rsidRPr="009D7B9C" w:rsidRDefault="0037520F" w:rsidP="0037520F">
      <w:pPr>
        <w:pStyle w:val="Citation-AltC"/>
        <w:rPr>
          <w:szCs w:val="24"/>
        </w:rPr>
      </w:pPr>
    </w:p>
    <w:p w:rsidR="009A7B4B" w:rsidRPr="009D7B9C" w:rsidRDefault="003D7041" w:rsidP="0037520F">
      <w:pPr>
        <w:pStyle w:val="Citation-AltC"/>
        <w:rPr>
          <w:szCs w:val="24"/>
        </w:rPr>
      </w:pPr>
      <w:r w:rsidRPr="009D7B9C">
        <w:rPr>
          <w:szCs w:val="24"/>
        </w:rPr>
        <w:t>(</w:t>
      </w:r>
      <w:r w:rsidRPr="009D7B9C">
        <w:rPr>
          <w:i/>
          <w:szCs w:val="24"/>
        </w:rPr>
        <w:t>House of Commons Debates</w:t>
      </w:r>
      <w:r w:rsidRPr="009D7B9C">
        <w:rPr>
          <w:szCs w:val="24"/>
        </w:rPr>
        <w:t xml:space="preserve">, </w:t>
      </w:r>
      <w:r w:rsidR="0037520F" w:rsidRPr="009D7B9C">
        <w:rPr>
          <w:szCs w:val="24"/>
        </w:rPr>
        <w:t xml:space="preserve">vol. 133, 1st </w:t>
      </w:r>
      <w:r w:rsidRPr="009D7B9C">
        <w:rPr>
          <w:szCs w:val="24"/>
        </w:rPr>
        <w:t>Sess</w:t>
      </w:r>
      <w:r w:rsidR="0037520F" w:rsidRPr="009D7B9C">
        <w:rPr>
          <w:szCs w:val="24"/>
        </w:rPr>
        <w:t>.</w:t>
      </w:r>
      <w:r w:rsidRPr="009D7B9C">
        <w:rPr>
          <w:szCs w:val="24"/>
        </w:rPr>
        <w:t>, 35th Parl</w:t>
      </w:r>
      <w:r w:rsidR="0037520F" w:rsidRPr="009D7B9C">
        <w:rPr>
          <w:szCs w:val="24"/>
        </w:rPr>
        <w:t>.</w:t>
      </w:r>
      <w:r w:rsidR="00884795" w:rsidRPr="009D7B9C">
        <w:rPr>
          <w:szCs w:val="24"/>
        </w:rPr>
        <w:t>,</w:t>
      </w:r>
      <w:r w:rsidR="00AA28AC" w:rsidRPr="009D7B9C">
        <w:rPr>
          <w:szCs w:val="24"/>
        </w:rPr>
        <w:t xml:space="preserve"> September 20, </w:t>
      </w:r>
      <w:r w:rsidR="0037520F" w:rsidRPr="009D7B9C">
        <w:rPr>
          <w:szCs w:val="24"/>
        </w:rPr>
        <w:t>1994</w:t>
      </w:r>
      <w:r w:rsidR="00AA28AC" w:rsidRPr="009D7B9C">
        <w:rPr>
          <w:szCs w:val="24"/>
        </w:rPr>
        <w:t>,</w:t>
      </w:r>
      <w:r w:rsidR="00884795" w:rsidRPr="009D7B9C">
        <w:rPr>
          <w:szCs w:val="24"/>
        </w:rPr>
        <w:t xml:space="preserve"> at</w:t>
      </w:r>
      <w:r w:rsidR="00AA28AC" w:rsidRPr="009D7B9C">
        <w:rPr>
          <w:szCs w:val="24"/>
        </w:rPr>
        <w:t xml:space="preserve"> p. 5872)</w:t>
      </w:r>
    </w:p>
    <w:p w:rsidR="0091646D" w:rsidRPr="009D7B9C" w:rsidRDefault="000E0793" w:rsidP="002646EC">
      <w:pPr>
        <w:pStyle w:val="ParaNoNdepar-AltN"/>
        <w:rPr>
          <w:rFonts w:cs="Times New Roman"/>
          <w:szCs w:val="24"/>
        </w:rPr>
      </w:pPr>
      <w:r w:rsidRPr="009D7B9C">
        <w:rPr>
          <w:rFonts w:cs="Times New Roman"/>
          <w:szCs w:val="24"/>
        </w:rPr>
        <w:t xml:space="preserve">And the effect of the provision was thus </w:t>
      </w:r>
      <w:r w:rsidR="001C274C" w:rsidRPr="009D7B9C">
        <w:rPr>
          <w:rFonts w:cs="Times New Roman"/>
          <w:szCs w:val="24"/>
        </w:rPr>
        <w:t xml:space="preserve">described </w:t>
      </w:r>
      <w:r w:rsidRPr="009D7B9C">
        <w:rPr>
          <w:rFonts w:cs="Times New Roman"/>
          <w:szCs w:val="24"/>
        </w:rPr>
        <w:t xml:space="preserve">by this Court </w:t>
      </w:r>
      <w:r w:rsidR="001C274C" w:rsidRPr="009D7B9C">
        <w:rPr>
          <w:rFonts w:cs="Times New Roman"/>
          <w:szCs w:val="24"/>
        </w:rPr>
        <w:t>in</w:t>
      </w:r>
      <w:r w:rsidR="0091646D" w:rsidRPr="009D7B9C">
        <w:rPr>
          <w:rFonts w:cs="Times New Roman"/>
          <w:szCs w:val="24"/>
        </w:rPr>
        <w:t xml:space="preserve"> </w:t>
      </w:r>
      <w:r w:rsidR="0091646D" w:rsidRPr="009D7B9C">
        <w:rPr>
          <w:rFonts w:cs="Times New Roman"/>
          <w:i/>
          <w:szCs w:val="24"/>
        </w:rPr>
        <w:t>R. v. Wu</w:t>
      </w:r>
      <w:r w:rsidR="00643730" w:rsidRPr="009D7B9C">
        <w:rPr>
          <w:rFonts w:cs="Times New Roman"/>
          <w:szCs w:val="24"/>
        </w:rPr>
        <w:t xml:space="preserve">, </w:t>
      </w:r>
      <w:r w:rsidR="0037520F" w:rsidRPr="009D7B9C">
        <w:rPr>
          <w:rFonts w:cs="Times New Roman"/>
          <w:szCs w:val="24"/>
        </w:rPr>
        <w:t xml:space="preserve">2003 SCC 73, </w:t>
      </w:r>
      <w:r w:rsidR="00643730" w:rsidRPr="009D7B9C">
        <w:rPr>
          <w:rFonts w:cs="Times New Roman"/>
          <w:szCs w:val="24"/>
        </w:rPr>
        <w:t>[2003] 3 S.C.R. 530</w:t>
      </w:r>
      <w:r w:rsidRPr="009D7B9C">
        <w:rPr>
          <w:rFonts w:cs="Times New Roman"/>
          <w:szCs w:val="24"/>
        </w:rPr>
        <w:t>,</w:t>
      </w:r>
      <w:r w:rsidR="00643730" w:rsidRPr="009D7B9C">
        <w:rPr>
          <w:rFonts w:cs="Times New Roman"/>
          <w:szCs w:val="24"/>
        </w:rPr>
        <w:t xml:space="preserve"> at </w:t>
      </w:r>
      <w:proofErr w:type="spellStart"/>
      <w:r w:rsidR="00643730" w:rsidRPr="009D7B9C">
        <w:rPr>
          <w:rFonts w:cs="Times New Roman"/>
          <w:szCs w:val="24"/>
        </w:rPr>
        <w:t>para</w:t>
      </w:r>
      <w:proofErr w:type="spellEnd"/>
      <w:r w:rsidR="00643730" w:rsidRPr="009D7B9C">
        <w:rPr>
          <w:rFonts w:cs="Times New Roman"/>
          <w:szCs w:val="24"/>
        </w:rPr>
        <w:t>. 47:</w:t>
      </w:r>
    </w:p>
    <w:p w:rsidR="0091646D" w:rsidRPr="009D7B9C" w:rsidRDefault="00373981" w:rsidP="00373981">
      <w:pPr>
        <w:pStyle w:val="Citation-AltC"/>
        <w:ind w:firstLine="454"/>
        <w:rPr>
          <w:szCs w:val="24"/>
        </w:rPr>
      </w:pPr>
      <w:r w:rsidRPr="009D7B9C">
        <w:rPr>
          <w:szCs w:val="24"/>
        </w:rPr>
        <w:t xml:space="preserve">. . . </w:t>
      </w:r>
      <w:r w:rsidR="0091646D" w:rsidRPr="009D7B9C">
        <w:rPr>
          <w:szCs w:val="24"/>
        </w:rPr>
        <w:t>Parliament rejected in general the notion that a fine should be set without regard to an offender’s ability to pay.  A means inquiry is now a condition precedent to the imposition of a fine except whe</w:t>
      </w:r>
      <w:r w:rsidRPr="009D7B9C">
        <w:rPr>
          <w:szCs w:val="24"/>
        </w:rPr>
        <w:t>re otherwise provided by law.</w:t>
      </w:r>
    </w:p>
    <w:p w:rsidR="009903A9" w:rsidRPr="009D7B9C" w:rsidRDefault="00C3748F" w:rsidP="002646EC">
      <w:pPr>
        <w:pStyle w:val="ParaNoNdepar-AltN"/>
        <w:rPr>
          <w:rFonts w:cs="Times New Roman"/>
          <w:szCs w:val="24"/>
        </w:rPr>
      </w:pPr>
      <w:r w:rsidRPr="009D7B9C">
        <w:rPr>
          <w:rFonts w:cs="Times New Roman"/>
          <w:szCs w:val="24"/>
        </w:rPr>
        <w:t>A</w:t>
      </w:r>
      <w:r w:rsidR="009903A9" w:rsidRPr="009D7B9C">
        <w:rPr>
          <w:rFonts w:cs="Times New Roman"/>
          <w:szCs w:val="24"/>
        </w:rPr>
        <w:t>n affirmative finding that an offender is able to pay is therefore required before a fine can be imposed.</w:t>
      </w:r>
      <w:r w:rsidR="00C11156" w:rsidRPr="009D7B9C">
        <w:rPr>
          <w:rFonts w:cs="Times New Roman"/>
          <w:szCs w:val="24"/>
        </w:rPr>
        <w:t xml:space="preserve">  In the absence of evidence capable of supporting that finding, the party </w:t>
      </w:r>
      <w:r w:rsidR="00373981" w:rsidRPr="009D7B9C">
        <w:rPr>
          <w:rFonts w:cs="Times New Roman"/>
          <w:szCs w:val="24"/>
        </w:rPr>
        <w:t>seeking a fine cannot succeed.</w:t>
      </w:r>
    </w:p>
    <w:p w:rsidR="008B57FE" w:rsidRPr="009D7B9C" w:rsidRDefault="00995530" w:rsidP="002646EC">
      <w:pPr>
        <w:pStyle w:val="ParaNoNdepar-AltN"/>
        <w:rPr>
          <w:rFonts w:cs="Times New Roman"/>
          <w:szCs w:val="24"/>
        </w:rPr>
      </w:pPr>
      <w:r w:rsidRPr="009D7B9C">
        <w:rPr>
          <w:rFonts w:cs="Times New Roman"/>
          <w:szCs w:val="24"/>
        </w:rPr>
        <w:t>Section 7</w:t>
      </w:r>
      <w:r w:rsidR="009903A9" w:rsidRPr="009D7B9C">
        <w:rPr>
          <w:rFonts w:cs="Times New Roman"/>
          <w:szCs w:val="24"/>
        </w:rPr>
        <w:t>3</w:t>
      </w:r>
      <w:r w:rsidRPr="009D7B9C">
        <w:rPr>
          <w:rFonts w:cs="Times New Roman"/>
          <w:szCs w:val="24"/>
        </w:rPr>
        <w:t xml:space="preserve">4(2) does not impose a formal burden </w:t>
      </w:r>
      <w:r w:rsidR="00DF4CC5" w:rsidRPr="009D7B9C">
        <w:rPr>
          <w:rFonts w:cs="Times New Roman"/>
          <w:szCs w:val="24"/>
        </w:rPr>
        <w:t xml:space="preserve">of proof </w:t>
      </w:r>
      <w:r w:rsidRPr="009D7B9C">
        <w:rPr>
          <w:rFonts w:cs="Times New Roman"/>
          <w:szCs w:val="24"/>
        </w:rPr>
        <w:t xml:space="preserve">on </w:t>
      </w:r>
      <w:r w:rsidR="001C274C" w:rsidRPr="009D7B9C">
        <w:rPr>
          <w:rFonts w:cs="Times New Roman"/>
          <w:szCs w:val="24"/>
        </w:rPr>
        <w:t>the party seeking a fine</w:t>
      </w:r>
      <w:r w:rsidRPr="009D7B9C">
        <w:rPr>
          <w:rFonts w:cs="Times New Roman"/>
          <w:szCs w:val="24"/>
        </w:rPr>
        <w:t xml:space="preserve">.  As a practical matter, </w:t>
      </w:r>
      <w:r w:rsidR="009903A9" w:rsidRPr="009D7B9C">
        <w:rPr>
          <w:rFonts w:cs="Times New Roman"/>
          <w:szCs w:val="24"/>
        </w:rPr>
        <w:t xml:space="preserve">however, </w:t>
      </w:r>
      <w:r w:rsidR="00F21580" w:rsidRPr="009D7B9C">
        <w:rPr>
          <w:rFonts w:cs="Times New Roman"/>
          <w:szCs w:val="24"/>
        </w:rPr>
        <w:t xml:space="preserve">it does </w:t>
      </w:r>
      <w:r w:rsidR="00CE10D4" w:rsidRPr="009D7B9C">
        <w:rPr>
          <w:rFonts w:cs="Times New Roman"/>
          <w:szCs w:val="24"/>
        </w:rPr>
        <w:t xml:space="preserve">so </w:t>
      </w:r>
      <w:r w:rsidR="00F21580" w:rsidRPr="009D7B9C">
        <w:rPr>
          <w:rFonts w:cs="Times New Roman"/>
          <w:szCs w:val="24"/>
        </w:rPr>
        <w:t>to this extent</w:t>
      </w:r>
      <w:r w:rsidR="00DF4CC5" w:rsidRPr="009D7B9C">
        <w:rPr>
          <w:rFonts w:cs="Times New Roman"/>
          <w:szCs w:val="24"/>
        </w:rPr>
        <w:t xml:space="preserve">.  </w:t>
      </w:r>
      <w:r w:rsidR="00637761" w:rsidRPr="009D7B9C">
        <w:rPr>
          <w:rFonts w:cs="Times New Roman"/>
          <w:szCs w:val="24"/>
        </w:rPr>
        <w:t xml:space="preserve">As a matter </w:t>
      </w:r>
      <w:r w:rsidR="00637761" w:rsidRPr="009D7B9C">
        <w:rPr>
          <w:rFonts w:cs="Times New Roman"/>
          <w:szCs w:val="24"/>
        </w:rPr>
        <w:lastRenderedPageBreak/>
        <w:t>of law, t</w:t>
      </w:r>
      <w:r w:rsidR="004C526A" w:rsidRPr="009D7B9C">
        <w:rPr>
          <w:rFonts w:cs="Times New Roman"/>
          <w:szCs w:val="24"/>
        </w:rPr>
        <w:t xml:space="preserve">he court cannot impose a fine </w:t>
      </w:r>
      <w:r w:rsidR="008F44AE" w:rsidRPr="009D7B9C">
        <w:rPr>
          <w:rFonts w:cs="Times New Roman"/>
          <w:szCs w:val="24"/>
        </w:rPr>
        <w:t>unless it is satisfied</w:t>
      </w:r>
      <w:r w:rsidR="004C526A" w:rsidRPr="009D7B9C">
        <w:rPr>
          <w:rFonts w:cs="Times New Roman"/>
          <w:szCs w:val="24"/>
        </w:rPr>
        <w:t xml:space="preserve"> that </w:t>
      </w:r>
      <w:r w:rsidR="008F44AE" w:rsidRPr="009D7B9C">
        <w:rPr>
          <w:rFonts w:cs="Times New Roman"/>
          <w:szCs w:val="24"/>
        </w:rPr>
        <w:t>the</w:t>
      </w:r>
      <w:r w:rsidR="004C526A" w:rsidRPr="009D7B9C">
        <w:rPr>
          <w:rFonts w:cs="Times New Roman"/>
          <w:szCs w:val="24"/>
        </w:rPr>
        <w:t xml:space="preserve"> offender is able to pay</w:t>
      </w:r>
      <w:r w:rsidR="008F44AE" w:rsidRPr="009D7B9C">
        <w:rPr>
          <w:rFonts w:cs="Times New Roman"/>
          <w:szCs w:val="24"/>
        </w:rPr>
        <w:t xml:space="preserve">.  </w:t>
      </w:r>
      <w:r w:rsidR="00C3748F" w:rsidRPr="009D7B9C">
        <w:rPr>
          <w:rFonts w:cs="Times New Roman"/>
          <w:szCs w:val="24"/>
        </w:rPr>
        <w:t>T</w:t>
      </w:r>
      <w:r w:rsidR="008F44AE" w:rsidRPr="009D7B9C">
        <w:rPr>
          <w:rFonts w:cs="Times New Roman"/>
          <w:szCs w:val="24"/>
        </w:rPr>
        <w:t xml:space="preserve">his </w:t>
      </w:r>
      <w:r w:rsidR="00C3748F" w:rsidRPr="009D7B9C">
        <w:rPr>
          <w:rFonts w:cs="Times New Roman"/>
          <w:szCs w:val="24"/>
        </w:rPr>
        <w:t xml:space="preserve">necessarily </w:t>
      </w:r>
      <w:r w:rsidR="008F44AE" w:rsidRPr="009D7B9C">
        <w:rPr>
          <w:rFonts w:cs="Times New Roman"/>
          <w:szCs w:val="24"/>
        </w:rPr>
        <w:t xml:space="preserve">involves an affirmative finding </w:t>
      </w:r>
      <w:r w:rsidR="00771474" w:rsidRPr="009D7B9C">
        <w:rPr>
          <w:rFonts w:cs="Times New Roman"/>
          <w:szCs w:val="24"/>
        </w:rPr>
        <w:t>based on the evidence and information properly before the court pursuant to ss. 720</w:t>
      </w:r>
      <w:r w:rsidR="0037520F" w:rsidRPr="009D7B9C">
        <w:rPr>
          <w:rFonts w:cs="Times New Roman"/>
          <w:szCs w:val="24"/>
        </w:rPr>
        <w:t xml:space="preserve"> to 724</w:t>
      </w:r>
      <w:r w:rsidR="00771474" w:rsidRPr="009D7B9C">
        <w:rPr>
          <w:rFonts w:cs="Times New Roman"/>
          <w:szCs w:val="24"/>
        </w:rPr>
        <w:t xml:space="preserve"> of the </w:t>
      </w:r>
      <w:r w:rsidR="00771474" w:rsidRPr="009D7B9C">
        <w:rPr>
          <w:rFonts w:cs="Times New Roman"/>
          <w:i/>
          <w:szCs w:val="24"/>
        </w:rPr>
        <w:t>Criminal Code</w:t>
      </w:r>
      <w:r w:rsidR="00771474" w:rsidRPr="009D7B9C">
        <w:rPr>
          <w:rFonts w:cs="Times New Roman"/>
          <w:szCs w:val="24"/>
        </w:rPr>
        <w:t xml:space="preserve">.  </w:t>
      </w:r>
      <w:r w:rsidR="00A22F5E" w:rsidRPr="009D7B9C">
        <w:rPr>
          <w:rFonts w:cs="Times New Roman"/>
          <w:szCs w:val="24"/>
        </w:rPr>
        <w:t xml:space="preserve">Absent </w:t>
      </w:r>
      <w:r w:rsidR="00574259" w:rsidRPr="009D7B9C">
        <w:rPr>
          <w:rFonts w:cs="Times New Roman"/>
          <w:szCs w:val="24"/>
        </w:rPr>
        <w:t>a sufficient basis for that finding,</w:t>
      </w:r>
      <w:r w:rsidR="00A22F5E" w:rsidRPr="009D7B9C">
        <w:rPr>
          <w:rFonts w:cs="Times New Roman"/>
          <w:szCs w:val="24"/>
        </w:rPr>
        <w:t xml:space="preserve"> the party seeking the fine </w:t>
      </w:r>
      <w:r w:rsidR="00CE10D4" w:rsidRPr="009D7B9C">
        <w:rPr>
          <w:rFonts w:cs="Times New Roman"/>
          <w:szCs w:val="24"/>
        </w:rPr>
        <w:t>cannot legally succeed</w:t>
      </w:r>
      <w:r w:rsidR="00A22F5E" w:rsidRPr="009D7B9C">
        <w:rPr>
          <w:rFonts w:cs="Times New Roman"/>
          <w:szCs w:val="24"/>
        </w:rPr>
        <w:t>.</w:t>
      </w:r>
    </w:p>
    <w:p w:rsidR="00995530" w:rsidRPr="009D7B9C" w:rsidRDefault="00A91D44" w:rsidP="002646EC">
      <w:pPr>
        <w:pStyle w:val="ParaNoNdepar-AltN"/>
        <w:rPr>
          <w:rFonts w:cs="Times New Roman"/>
          <w:szCs w:val="24"/>
        </w:rPr>
      </w:pPr>
      <w:r w:rsidRPr="009D7B9C">
        <w:rPr>
          <w:rFonts w:cs="Times New Roman"/>
          <w:szCs w:val="24"/>
        </w:rPr>
        <w:t xml:space="preserve">In this sense, </w:t>
      </w:r>
      <w:r w:rsidR="00A22F5E" w:rsidRPr="009D7B9C">
        <w:rPr>
          <w:rFonts w:cs="Times New Roman"/>
          <w:szCs w:val="24"/>
        </w:rPr>
        <w:t xml:space="preserve">s. 734(2) imposes a burden on </w:t>
      </w:r>
      <w:r w:rsidRPr="009D7B9C">
        <w:rPr>
          <w:rFonts w:cs="Times New Roman"/>
          <w:szCs w:val="24"/>
        </w:rPr>
        <w:t xml:space="preserve">the party seeking the fine </w:t>
      </w:r>
      <w:r w:rsidR="00A22F5E" w:rsidRPr="009D7B9C">
        <w:rPr>
          <w:rFonts w:cs="Times New Roman"/>
          <w:szCs w:val="24"/>
        </w:rPr>
        <w:t xml:space="preserve">to satisfy the court that the offender is able to pay.  </w:t>
      </w:r>
      <w:r w:rsidR="008B57FE" w:rsidRPr="009D7B9C">
        <w:rPr>
          <w:rFonts w:cs="Times New Roman"/>
          <w:szCs w:val="24"/>
        </w:rPr>
        <w:t xml:space="preserve">To discharge that burden, the proponent of the fine may rely on all the relevant material before the court on sentencing </w:t>
      </w:r>
      <w:r w:rsidR="00E13384" w:rsidRPr="009D7B9C">
        <w:rPr>
          <w:rFonts w:cs="Times New Roman"/>
          <w:szCs w:val="24"/>
        </w:rPr>
        <w:t>―</w:t>
      </w:r>
      <w:r w:rsidR="008B57FE" w:rsidRPr="009D7B9C">
        <w:rPr>
          <w:rFonts w:cs="Times New Roman"/>
          <w:szCs w:val="24"/>
        </w:rPr>
        <w:t xml:space="preserve"> including evidence or information provided by any other party, or otherwise properly elicited by the judge pursuant, for example, to s. 723(3) of the </w:t>
      </w:r>
      <w:r w:rsidR="008B57FE" w:rsidRPr="009D7B9C">
        <w:rPr>
          <w:rFonts w:cs="Times New Roman"/>
          <w:i/>
          <w:szCs w:val="24"/>
        </w:rPr>
        <w:t>Criminal Code</w:t>
      </w:r>
      <w:r w:rsidR="008B57FE" w:rsidRPr="009D7B9C">
        <w:rPr>
          <w:rFonts w:cs="Times New Roman"/>
          <w:szCs w:val="24"/>
        </w:rPr>
        <w:t>.</w:t>
      </w:r>
    </w:p>
    <w:p w:rsidR="001C274C" w:rsidRPr="009D7B9C" w:rsidRDefault="001C274C" w:rsidP="002646EC">
      <w:pPr>
        <w:pStyle w:val="ParaNoNdepar-AltN"/>
        <w:rPr>
          <w:rFonts w:cs="Times New Roman"/>
          <w:szCs w:val="24"/>
        </w:rPr>
      </w:pPr>
      <w:r w:rsidRPr="009D7B9C">
        <w:rPr>
          <w:rFonts w:cs="Times New Roman"/>
          <w:szCs w:val="24"/>
        </w:rPr>
        <w:t>The</w:t>
      </w:r>
      <w:r w:rsidR="009C583A" w:rsidRPr="009D7B9C">
        <w:rPr>
          <w:rFonts w:cs="Times New Roman"/>
          <w:szCs w:val="24"/>
        </w:rPr>
        <w:t xml:space="preserve"> party opposing a fine</w:t>
      </w:r>
      <w:r w:rsidR="006C4326" w:rsidRPr="009D7B9C">
        <w:rPr>
          <w:rFonts w:cs="Times New Roman"/>
          <w:szCs w:val="24"/>
        </w:rPr>
        <w:t xml:space="preserve"> ―</w:t>
      </w:r>
      <w:r w:rsidR="00F65F86" w:rsidRPr="009D7B9C">
        <w:rPr>
          <w:rFonts w:cs="Times New Roman"/>
          <w:szCs w:val="24"/>
        </w:rPr>
        <w:t xml:space="preserve"> </w:t>
      </w:r>
      <w:r w:rsidR="00CC3343" w:rsidRPr="009D7B9C">
        <w:rPr>
          <w:rFonts w:cs="Times New Roman"/>
          <w:szCs w:val="24"/>
        </w:rPr>
        <w:t>often, but not always,</w:t>
      </w:r>
      <w:r w:rsidR="00F65F86" w:rsidRPr="009D7B9C">
        <w:rPr>
          <w:rFonts w:cs="Times New Roman"/>
          <w:szCs w:val="24"/>
        </w:rPr>
        <w:t xml:space="preserve"> </w:t>
      </w:r>
      <w:r w:rsidRPr="009D7B9C">
        <w:rPr>
          <w:rFonts w:cs="Times New Roman"/>
          <w:szCs w:val="24"/>
        </w:rPr>
        <w:t>the</w:t>
      </w:r>
      <w:r w:rsidR="00F65F86" w:rsidRPr="009D7B9C">
        <w:rPr>
          <w:rFonts w:cs="Times New Roman"/>
          <w:szCs w:val="24"/>
        </w:rPr>
        <w:t xml:space="preserve"> offender </w:t>
      </w:r>
      <w:r w:rsidR="00E13384" w:rsidRPr="009D7B9C">
        <w:rPr>
          <w:rFonts w:cs="Times New Roman"/>
          <w:szCs w:val="24"/>
        </w:rPr>
        <w:t>―</w:t>
      </w:r>
      <w:r w:rsidR="009C583A" w:rsidRPr="009D7B9C">
        <w:rPr>
          <w:rFonts w:cs="Times New Roman"/>
          <w:szCs w:val="24"/>
        </w:rPr>
        <w:t xml:space="preserve"> is entitled</w:t>
      </w:r>
      <w:r w:rsidR="008B57FE" w:rsidRPr="009D7B9C">
        <w:rPr>
          <w:rFonts w:cs="Times New Roman"/>
          <w:szCs w:val="24"/>
        </w:rPr>
        <w:t>, of course,</w:t>
      </w:r>
      <w:r w:rsidR="009C583A" w:rsidRPr="009D7B9C">
        <w:rPr>
          <w:rFonts w:cs="Times New Roman"/>
          <w:szCs w:val="24"/>
        </w:rPr>
        <w:t xml:space="preserve"> to </w:t>
      </w:r>
      <w:r w:rsidR="00B763A1" w:rsidRPr="009D7B9C">
        <w:rPr>
          <w:rFonts w:cs="Times New Roman"/>
          <w:szCs w:val="24"/>
        </w:rPr>
        <w:t xml:space="preserve">present any evidence or information admissible on sentence and tending to show that the offender is unable to pay.  </w:t>
      </w:r>
      <w:r w:rsidR="00F65F86" w:rsidRPr="009D7B9C">
        <w:rPr>
          <w:rFonts w:cs="Times New Roman"/>
          <w:szCs w:val="24"/>
        </w:rPr>
        <w:t xml:space="preserve">But </w:t>
      </w:r>
      <w:r w:rsidR="00B763A1" w:rsidRPr="009D7B9C">
        <w:rPr>
          <w:rFonts w:cs="Times New Roman"/>
          <w:szCs w:val="24"/>
        </w:rPr>
        <w:t xml:space="preserve">that party, in opposing the fine, does not assume </w:t>
      </w:r>
      <w:r w:rsidR="00F65F86" w:rsidRPr="009D7B9C">
        <w:rPr>
          <w:rFonts w:cs="Times New Roman"/>
          <w:szCs w:val="24"/>
        </w:rPr>
        <w:t>a formal burden</w:t>
      </w:r>
      <w:r w:rsidR="00B763A1" w:rsidRPr="009D7B9C">
        <w:rPr>
          <w:rFonts w:cs="Times New Roman"/>
          <w:szCs w:val="24"/>
        </w:rPr>
        <w:t xml:space="preserve"> of proof </w:t>
      </w:r>
      <w:r w:rsidR="0037520F" w:rsidRPr="009D7B9C">
        <w:rPr>
          <w:rFonts w:cs="Times New Roman"/>
          <w:szCs w:val="24"/>
        </w:rPr>
        <w:t>―</w:t>
      </w:r>
      <w:r w:rsidR="00B763A1" w:rsidRPr="009D7B9C">
        <w:rPr>
          <w:rFonts w:cs="Times New Roman"/>
          <w:szCs w:val="24"/>
        </w:rPr>
        <w:t xml:space="preserve"> evidential or persuasive.  </w:t>
      </w:r>
      <w:r w:rsidR="001F73FE" w:rsidRPr="009D7B9C">
        <w:rPr>
          <w:rFonts w:cs="Times New Roman"/>
          <w:szCs w:val="24"/>
        </w:rPr>
        <w:t xml:space="preserve"> </w:t>
      </w:r>
      <w:r w:rsidR="00F149A8" w:rsidRPr="009D7B9C">
        <w:rPr>
          <w:rFonts w:cs="Times New Roman"/>
          <w:szCs w:val="24"/>
        </w:rPr>
        <w:t xml:space="preserve">He or she remains free to argue that the evidence relied on by the proponent of the fine should </w:t>
      </w:r>
      <w:r w:rsidR="00C3748F" w:rsidRPr="009D7B9C">
        <w:rPr>
          <w:rFonts w:cs="Times New Roman"/>
          <w:szCs w:val="24"/>
        </w:rPr>
        <w:t>n</w:t>
      </w:r>
      <w:r w:rsidR="00F149A8" w:rsidRPr="009D7B9C">
        <w:rPr>
          <w:rFonts w:cs="Times New Roman"/>
          <w:szCs w:val="24"/>
        </w:rPr>
        <w:t>ot satisfy the court that the offender is able to pay</w:t>
      </w:r>
      <w:r w:rsidR="001F73FE" w:rsidRPr="009D7B9C">
        <w:rPr>
          <w:rFonts w:cs="Times New Roman"/>
          <w:szCs w:val="24"/>
        </w:rPr>
        <w:t>.</w:t>
      </w:r>
    </w:p>
    <w:p w:rsidR="003D2D36" w:rsidRPr="009D7B9C" w:rsidRDefault="001F73FE" w:rsidP="002646EC">
      <w:pPr>
        <w:pStyle w:val="ParaNoNdepar-AltN"/>
        <w:rPr>
          <w:rFonts w:cs="Times New Roman"/>
          <w:szCs w:val="24"/>
        </w:rPr>
      </w:pPr>
      <w:r w:rsidRPr="009D7B9C">
        <w:rPr>
          <w:rFonts w:cs="Times New Roman"/>
          <w:szCs w:val="24"/>
        </w:rPr>
        <w:t>In determining whether</w:t>
      </w:r>
      <w:r w:rsidR="003D2D36" w:rsidRPr="009D7B9C">
        <w:rPr>
          <w:rFonts w:cs="Times New Roman"/>
          <w:szCs w:val="24"/>
        </w:rPr>
        <w:t xml:space="preserve"> the record contains sufficient evidence to </w:t>
      </w:r>
      <w:r w:rsidR="00F552B4" w:rsidRPr="009D7B9C">
        <w:rPr>
          <w:rFonts w:cs="Times New Roman"/>
          <w:szCs w:val="24"/>
        </w:rPr>
        <w:t>“</w:t>
      </w:r>
      <w:r w:rsidR="003D2D36" w:rsidRPr="009D7B9C">
        <w:rPr>
          <w:rFonts w:cs="Times New Roman"/>
          <w:szCs w:val="24"/>
        </w:rPr>
        <w:t>satisfy</w:t>
      </w:r>
      <w:r w:rsidR="00F552B4" w:rsidRPr="009D7B9C">
        <w:rPr>
          <w:rFonts w:cs="Times New Roman"/>
          <w:szCs w:val="24"/>
        </w:rPr>
        <w:t>”</w:t>
      </w:r>
      <w:r w:rsidR="003D2D36" w:rsidRPr="009D7B9C">
        <w:rPr>
          <w:rFonts w:cs="Times New Roman"/>
          <w:szCs w:val="24"/>
        </w:rPr>
        <w:t xml:space="preserve"> the court that the offender can afford to pay the contemplated fine, the </w:t>
      </w:r>
      <w:r w:rsidR="00FE697B" w:rsidRPr="009D7B9C">
        <w:rPr>
          <w:rFonts w:cs="Times New Roman"/>
          <w:szCs w:val="24"/>
        </w:rPr>
        <w:t xml:space="preserve">trial </w:t>
      </w:r>
      <w:r w:rsidR="00FE697B" w:rsidRPr="009D7B9C">
        <w:rPr>
          <w:rFonts w:cs="Times New Roman"/>
          <w:szCs w:val="24"/>
        </w:rPr>
        <w:lastRenderedPageBreak/>
        <w:t>judge</w:t>
      </w:r>
      <w:r w:rsidR="003D2D36" w:rsidRPr="009D7B9C">
        <w:rPr>
          <w:rFonts w:cs="Times New Roman"/>
          <w:szCs w:val="24"/>
        </w:rPr>
        <w:t xml:space="preserve"> must be satisfied, </w:t>
      </w:r>
      <w:r w:rsidR="003D2D36" w:rsidRPr="009D7B9C">
        <w:rPr>
          <w:rFonts w:cs="Times New Roman"/>
          <w:i/>
          <w:szCs w:val="24"/>
        </w:rPr>
        <w:t>on a balance of probabilities</w:t>
      </w:r>
      <w:r w:rsidR="003D2D36" w:rsidRPr="009D7B9C">
        <w:rPr>
          <w:rFonts w:cs="Times New Roman"/>
          <w:szCs w:val="24"/>
        </w:rPr>
        <w:t xml:space="preserve">, of the offender’s ability to pay.  </w:t>
      </w:r>
      <w:r w:rsidR="00891B35" w:rsidRPr="009D7B9C">
        <w:rPr>
          <w:rFonts w:cs="Times New Roman"/>
          <w:szCs w:val="24"/>
        </w:rPr>
        <w:t>The</w:t>
      </w:r>
      <w:r w:rsidR="003D2D36" w:rsidRPr="009D7B9C">
        <w:rPr>
          <w:rFonts w:cs="Times New Roman"/>
          <w:szCs w:val="24"/>
        </w:rPr>
        <w:t xml:space="preserve"> balance of probabilities standard</w:t>
      </w:r>
      <w:r w:rsidR="00C46705" w:rsidRPr="009D7B9C">
        <w:rPr>
          <w:rFonts w:cs="Times New Roman"/>
          <w:szCs w:val="24"/>
        </w:rPr>
        <w:t xml:space="preserve"> is appropriate</w:t>
      </w:r>
      <w:r w:rsidR="003D2D36" w:rsidRPr="009D7B9C">
        <w:rPr>
          <w:rFonts w:cs="Times New Roman"/>
          <w:szCs w:val="24"/>
        </w:rPr>
        <w:t xml:space="preserve">, in the context of s. 734(2), for </w:t>
      </w:r>
      <w:r w:rsidR="00E857F2" w:rsidRPr="009D7B9C">
        <w:rPr>
          <w:rFonts w:cs="Times New Roman"/>
          <w:szCs w:val="24"/>
        </w:rPr>
        <w:t>two</w:t>
      </w:r>
      <w:r w:rsidR="00373981" w:rsidRPr="009D7B9C">
        <w:rPr>
          <w:rFonts w:cs="Times New Roman"/>
          <w:szCs w:val="24"/>
        </w:rPr>
        <w:t xml:space="preserve"> reasons.</w:t>
      </w:r>
    </w:p>
    <w:p w:rsidR="00EB3C12" w:rsidRPr="009D7B9C" w:rsidRDefault="003D2D36" w:rsidP="002646EC">
      <w:pPr>
        <w:pStyle w:val="ParaNoNdepar-AltN"/>
        <w:rPr>
          <w:rFonts w:cs="Times New Roman"/>
          <w:szCs w:val="24"/>
        </w:rPr>
      </w:pPr>
      <w:r w:rsidRPr="009D7B9C">
        <w:rPr>
          <w:rFonts w:cs="Times New Roman"/>
          <w:szCs w:val="24"/>
        </w:rPr>
        <w:t>First,</w:t>
      </w:r>
      <w:r w:rsidR="00EC04B4" w:rsidRPr="009D7B9C">
        <w:rPr>
          <w:rFonts w:cs="Times New Roman"/>
          <w:szCs w:val="24"/>
        </w:rPr>
        <w:t xml:space="preserve"> as a logical matter, the word “satisfied” in this context cannot signify anything less than the balance of probabilities standard.  I</w:t>
      </w:r>
      <w:r w:rsidRPr="009D7B9C">
        <w:rPr>
          <w:rFonts w:cs="Times New Roman"/>
          <w:szCs w:val="24"/>
        </w:rPr>
        <w:t xml:space="preserve">t would make little sense for a </w:t>
      </w:r>
      <w:r w:rsidR="00FE697B" w:rsidRPr="009D7B9C">
        <w:rPr>
          <w:rFonts w:cs="Times New Roman"/>
          <w:szCs w:val="24"/>
        </w:rPr>
        <w:t>trial judge</w:t>
      </w:r>
      <w:r w:rsidRPr="009D7B9C">
        <w:rPr>
          <w:rFonts w:cs="Times New Roman"/>
          <w:szCs w:val="24"/>
        </w:rPr>
        <w:t xml:space="preserve"> to be satisfied that an offender could pay a contemplated fine, but not believe that the offender was, more likely than not, able to pay</w:t>
      </w:r>
      <w:r w:rsidR="00E71005" w:rsidRPr="009D7B9C">
        <w:rPr>
          <w:rFonts w:cs="Times New Roman"/>
          <w:szCs w:val="24"/>
        </w:rPr>
        <w:t xml:space="preserve"> it</w:t>
      </w:r>
      <w:r w:rsidRPr="009D7B9C">
        <w:rPr>
          <w:rFonts w:cs="Times New Roman"/>
          <w:szCs w:val="24"/>
        </w:rPr>
        <w:t>.</w:t>
      </w:r>
    </w:p>
    <w:p w:rsidR="00EB3C12" w:rsidRPr="009D7B9C" w:rsidRDefault="003D2D36" w:rsidP="002646EC">
      <w:pPr>
        <w:pStyle w:val="ParaNoNdepar-AltN"/>
        <w:rPr>
          <w:rFonts w:cs="Times New Roman"/>
          <w:szCs w:val="24"/>
        </w:rPr>
      </w:pPr>
      <w:r w:rsidRPr="009D7B9C">
        <w:rPr>
          <w:rFonts w:cs="Times New Roman"/>
          <w:szCs w:val="24"/>
        </w:rPr>
        <w:t>Second, the balance of probabilities standard accords with s. 724</w:t>
      </w:r>
      <w:r w:rsidR="00823C39" w:rsidRPr="009D7B9C">
        <w:rPr>
          <w:rFonts w:cs="Times New Roman"/>
          <w:szCs w:val="24"/>
        </w:rPr>
        <w:t>(3</w:t>
      </w:r>
      <w:proofErr w:type="gramStart"/>
      <w:r w:rsidR="00823C39" w:rsidRPr="009D7B9C">
        <w:rPr>
          <w:rFonts w:cs="Times New Roman"/>
          <w:szCs w:val="24"/>
        </w:rPr>
        <w:t>)(</w:t>
      </w:r>
      <w:proofErr w:type="gramEnd"/>
      <w:r w:rsidR="00823C39" w:rsidRPr="009D7B9C">
        <w:rPr>
          <w:rFonts w:cs="Times New Roman"/>
          <w:i/>
          <w:szCs w:val="24"/>
        </w:rPr>
        <w:t>d</w:t>
      </w:r>
      <w:r w:rsidR="00823C39" w:rsidRPr="009D7B9C">
        <w:rPr>
          <w:rFonts w:cs="Times New Roman"/>
          <w:szCs w:val="24"/>
        </w:rPr>
        <w:t>)</w:t>
      </w:r>
      <w:r w:rsidR="0036347B" w:rsidRPr="009D7B9C">
        <w:rPr>
          <w:rFonts w:cs="Times New Roman"/>
          <w:szCs w:val="24"/>
        </w:rPr>
        <w:t xml:space="preserve"> of the </w:t>
      </w:r>
      <w:r w:rsidR="0036347B" w:rsidRPr="009D7B9C">
        <w:rPr>
          <w:rFonts w:cs="Times New Roman"/>
          <w:i/>
          <w:szCs w:val="24"/>
        </w:rPr>
        <w:t>Code</w:t>
      </w:r>
      <w:r w:rsidR="00823C39" w:rsidRPr="009D7B9C">
        <w:rPr>
          <w:rFonts w:cs="Times New Roman"/>
          <w:szCs w:val="24"/>
        </w:rPr>
        <w:t>.  Section 724(3)(</w:t>
      </w:r>
      <w:r w:rsidR="00823C39" w:rsidRPr="009D7B9C">
        <w:rPr>
          <w:rFonts w:cs="Times New Roman"/>
          <w:i/>
          <w:szCs w:val="24"/>
        </w:rPr>
        <w:t>d</w:t>
      </w:r>
      <w:r w:rsidR="00823C39" w:rsidRPr="009D7B9C">
        <w:rPr>
          <w:rFonts w:cs="Times New Roman"/>
          <w:szCs w:val="24"/>
        </w:rPr>
        <w:t>) states:</w:t>
      </w:r>
    </w:p>
    <w:p w:rsidR="0037520F" w:rsidRPr="009D7B9C" w:rsidRDefault="00823C39" w:rsidP="00192007">
      <w:pPr>
        <w:pStyle w:val="Citation-AltC"/>
        <w:ind w:firstLine="454"/>
        <w:rPr>
          <w:szCs w:val="24"/>
        </w:rPr>
      </w:pPr>
      <w:r w:rsidRPr="009D7B9C">
        <w:rPr>
          <w:b/>
          <w:szCs w:val="24"/>
        </w:rPr>
        <w:t>724</w:t>
      </w:r>
      <w:r w:rsidR="0037520F" w:rsidRPr="009D7B9C">
        <w:rPr>
          <w:b/>
          <w:szCs w:val="24"/>
        </w:rPr>
        <w:t>.</w:t>
      </w:r>
      <w:r w:rsidR="0037520F" w:rsidRPr="009D7B9C">
        <w:rPr>
          <w:szCs w:val="24"/>
        </w:rPr>
        <w:t xml:space="preserve">  . . . </w:t>
      </w:r>
    </w:p>
    <w:p w:rsidR="0037520F" w:rsidRPr="009D7B9C" w:rsidRDefault="0037520F" w:rsidP="00192007">
      <w:pPr>
        <w:pStyle w:val="Citation-AltC"/>
        <w:ind w:firstLine="454"/>
        <w:rPr>
          <w:szCs w:val="24"/>
        </w:rPr>
      </w:pPr>
    </w:p>
    <w:p w:rsidR="00823C39" w:rsidRPr="009D7B9C" w:rsidRDefault="00823C39" w:rsidP="00192007">
      <w:pPr>
        <w:pStyle w:val="Citation-AltC"/>
        <w:ind w:firstLine="454"/>
        <w:rPr>
          <w:szCs w:val="24"/>
        </w:rPr>
      </w:pPr>
      <w:r w:rsidRPr="009D7B9C">
        <w:rPr>
          <w:szCs w:val="24"/>
        </w:rPr>
        <w:t>(3) Where there is a dispute with respect to any fact that is relevant to the determination of a sentence,</w:t>
      </w:r>
    </w:p>
    <w:p w:rsidR="00BB540A" w:rsidRPr="009D7B9C" w:rsidRDefault="00BB540A" w:rsidP="00BB540A">
      <w:pPr>
        <w:pStyle w:val="Citation-AltC"/>
        <w:rPr>
          <w:szCs w:val="24"/>
        </w:rPr>
      </w:pPr>
    </w:p>
    <w:p w:rsidR="00823C39" w:rsidRPr="009D7B9C" w:rsidRDefault="00823C39" w:rsidP="002646EC">
      <w:pPr>
        <w:pStyle w:val="Citation-AltC"/>
        <w:jc w:val="center"/>
        <w:rPr>
          <w:szCs w:val="24"/>
        </w:rPr>
      </w:pPr>
      <w:r w:rsidRPr="009D7B9C">
        <w:rPr>
          <w:szCs w:val="24"/>
        </w:rPr>
        <w:t>.</w:t>
      </w:r>
      <w:r w:rsidR="002646EC" w:rsidRPr="009D7B9C">
        <w:rPr>
          <w:szCs w:val="24"/>
        </w:rPr>
        <w:t xml:space="preserve"> </w:t>
      </w:r>
      <w:r w:rsidRPr="009D7B9C">
        <w:rPr>
          <w:szCs w:val="24"/>
        </w:rPr>
        <w:t>.</w:t>
      </w:r>
      <w:r w:rsidR="002646EC" w:rsidRPr="009D7B9C">
        <w:rPr>
          <w:szCs w:val="24"/>
        </w:rPr>
        <w:t xml:space="preserve"> </w:t>
      </w:r>
      <w:r w:rsidRPr="009D7B9C">
        <w:rPr>
          <w:szCs w:val="24"/>
        </w:rPr>
        <w:t>.</w:t>
      </w:r>
    </w:p>
    <w:p w:rsidR="00BB540A" w:rsidRPr="009D7B9C" w:rsidRDefault="00BB540A" w:rsidP="00BB540A">
      <w:pPr>
        <w:pStyle w:val="Citation-AltC"/>
        <w:jc w:val="center"/>
        <w:rPr>
          <w:szCs w:val="24"/>
        </w:rPr>
      </w:pPr>
    </w:p>
    <w:p w:rsidR="00823C39" w:rsidRPr="009D7B9C" w:rsidRDefault="0037520F" w:rsidP="00192007">
      <w:pPr>
        <w:pStyle w:val="Citation-AltC"/>
        <w:ind w:left="1620"/>
        <w:rPr>
          <w:szCs w:val="24"/>
        </w:rPr>
      </w:pPr>
      <w:r w:rsidRPr="009D7B9C">
        <w:rPr>
          <w:szCs w:val="24"/>
        </w:rPr>
        <w:t>(</w:t>
      </w:r>
      <w:r w:rsidR="00823C39" w:rsidRPr="009D7B9C">
        <w:rPr>
          <w:i/>
          <w:szCs w:val="24"/>
        </w:rPr>
        <w:t>d</w:t>
      </w:r>
      <w:r w:rsidR="00823C39" w:rsidRPr="009D7B9C">
        <w:rPr>
          <w:szCs w:val="24"/>
        </w:rPr>
        <w:t xml:space="preserve">) </w:t>
      </w:r>
      <w:proofErr w:type="gramStart"/>
      <w:r w:rsidR="00823C39" w:rsidRPr="009D7B9C">
        <w:rPr>
          <w:szCs w:val="24"/>
        </w:rPr>
        <w:t>subject</w:t>
      </w:r>
      <w:proofErr w:type="gramEnd"/>
      <w:r w:rsidR="00823C39" w:rsidRPr="009D7B9C">
        <w:rPr>
          <w:szCs w:val="24"/>
        </w:rPr>
        <w:t xml:space="preserve"> to paragraph (</w:t>
      </w:r>
      <w:r w:rsidR="00823C39" w:rsidRPr="009D7B9C">
        <w:rPr>
          <w:i/>
          <w:szCs w:val="24"/>
        </w:rPr>
        <w:t>e</w:t>
      </w:r>
      <w:r w:rsidR="00823C39" w:rsidRPr="009D7B9C">
        <w:rPr>
          <w:szCs w:val="24"/>
        </w:rPr>
        <w:t>), the court must be satisfied on a balance of probabilities of the existence of the disputed fact before relying on it in determining the sentence</w:t>
      </w:r>
      <w:r w:rsidR="00192007" w:rsidRPr="009D7B9C">
        <w:rPr>
          <w:szCs w:val="24"/>
        </w:rPr>
        <w:t xml:space="preserve"> </w:t>
      </w:r>
      <w:r w:rsidRPr="009D7B9C">
        <w:rPr>
          <w:szCs w:val="24"/>
        </w:rPr>
        <w:t>.</w:t>
      </w:r>
      <w:r w:rsidR="00823C39" w:rsidRPr="009D7B9C">
        <w:rPr>
          <w:szCs w:val="24"/>
        </w:rPr>
        <w:t xml:space="preserve"> </w:t>
      </w:r>
      <w:r w:rsidR="00192007" w:rsidRPr="009D7B9C">
        <w:rPr>
          <w:szCs w:val="24"/>
        </w:rPr>
        <w:t>. .</w:t>
      </w:r>
    </w:p>
    <w:p w:rsidR="00EC04B4" w:rsidRPr="009D7B9C" w:rsidRDefault="00EC04B4" w:rsidP="00EC04B4">
      <w:pPr>
        <w:pStyle w:val="ContinueParaSuitedupar-AltP"/>
        <w:rPr>
          <w:rFonts w:cs="Times New Roman"/>
          <w:szCs w:val="24"/>
        </w:rPr>
      </w:pPr>
      <w:proofErr w:type="gramStart"/>
      <w:r w:rsidRPr="009D7B9C">
        <w:rPr>
          <w:rFonts w:cs="Times New Roman"/>
          <w:szCs w:val="24"/>
        </w:rPr>
        <w:t>Paragraph (</w:t>
      </w:r>
      <w:r w:rsidRPr="009D7B9C">
        <w:rPr>
          <w:rFonts w:cs="Times New Roman"/>
          <w:i/>
          <w:szCs w:val="24"/>
        </w:rPr>
        <w:t>e</w:t>
      </w:r>
      <w:r w:rsidRPr="009D7B9C">
        <w:rPr>
          <w:rFonts w:cs="Times New Roman"/>
          <w:szCs w:val="24"/>
        </w:rPr>
        <w:t>) states that aggravating facts must be proved by the Crown beyond a reasonable doubt.</w:t>
      </w:r>
      <w:proofErr w:type="gramEnd"/>
      <w:r w:rsidRPr="009D7B9C">
        <w:rPr>
          <w:rFonts w:cs="Times New Roman"/>
          <w:szCs w:val="24"/>
        </w:rPr>
        <w:t xml:space="preserve">  The finding that an offender is able to pay a fine is not an aggravating fact.</w:t>
      </w:r>
    </w:p>
    <w:p w:rsidR="00FA121E" w:rsidRPr="009D7B9C" w:rsidRDefault="00FA121E" w:rsidP="00BB540A">
      <w:pPr>
        <w:pStyle w:val="TitleTitre-AltT"/>
        <w:jc w:val="center"/>
        <w:rPr>
          <w:rFonts w:cs="Times New Roman"/>
          <w:szCs w:val="24"/>
        </w:rPr>
      </w:pPr>
      <w:r w:rsidRPr="009D7B9C">
        <w:rPr>
          <w:rFonts w:cs="Times New Roman"/>
          <w:szCs w:val="24"/>
        </w:rPr>
        <w:lastRenderedPageBreak/>
        <w:t>IV</w:t>
      </w:r>
    </w:p>
    <w:p w:rsidR="00FA121E" w:rsidRPr="009D7B9C" w:rsidRDefault="00207D34" w:rsidP="002646EC">
      <w:pPr>
        <w:pStyle w:val="ParaNoNdepar-AltN"/>
        <w:rPr>
          <w:rFonts w:cs="Times New Roman"/>
          <w:szCs w:val="24"/>
        </w:rPr>
      </w:pPr>
      <w:r w:rsidRPr="009D7B9C">
        <w:rPr>
          <w:rFonts w:cs="Times New Roman"/>
          <w:szCs w:val="24"/>
        </w:rPr>
        <w:t>In the absence of a reasonable explanation to the contrary, p</w:t>
      </w:r>
      <w:r w:rsidR="000067CD" w:rsidRPr="009D7B9C">
        <w:rPr>
          <w:rFonts w:cs="Times New Roman"/>
          <w:szCs w:val="24"/>
        </w:rPr>
        <w:t xml:space="preserve">ast </w:t>
      </w:r>
      <w:r w:rsidR="00FA121E" w:rsidRPr="009D7B9C">
        <w:rPr>
          <w:rFonts w:cs="Times New Roman"/>
          <w:szCs w:val="24"/>
        </w:rPr>
        <w:t>receipt of illegally</w:t>
      </w:r>
      <w:r w:rsidR="0037520F" w:rsidRPr="009D7B9C">
        <w:rPr>
          <w:rFonts w:cs="Times New Roman"/>
          <w:szCs w:val="24"/>
        </w:rPr>
        <w:t xml:space="preserve"> </w:t>
      </w:r>
      <w:r w:rsidR="00FA121E" w:rsidRPr="009D7B9C">
        <w:rPr>
          <w:rFonts w:cs="Times New Roman"/>
          <w:szCs w:val="24"/>
        </w:rPr>
        <w:t>obt</w:t>
      </w:r>
      <w:r w:rsidR="00A840D1" w:rsidRPr="009D7B9C">
        <w:rPr>
          <w:rFonts w:cs="Times New Roman"/>
          <w:szCs w:val="24"/>
        </w:rPr>
        <w:t xml:space="preserve">ained funds </w:t>
      </w:r>
      <w:r w:rsidRPr="009D7B9C">
        <w:rPr>
          <w:rFonts w:cs="Times New Roman"/>
          <w:szCs w:val="24"/>
        </w:rPr>
        <w:t xml:space="preserve">will often </w:t>
      </w:r>
      <w:r w:rsidR="0037520F" w:rsidRPr="009D7B9C">
        <w:rPr>
          <w:rFonts w:cs="Times New Roman"/>
          <w:szCs w:val="24"/>
        </w:rPr>
        <w:t>―</w:t>
      </w:r>
      <w:r w:rsidRPr="009D7B9C">
        <w:rPr>
          <w:rFonts w:cs="Times New Roman"/>
          <w:szCs w:val="24"/>
        </w:rPr>
        <w:t xml:space="preserve"> but not always </w:t>
      </w:r>
      <w:r w:rsidR="0037520F" w:rsidRPr="009D7B9C">
        <w:rPr>
          <w:rFonts w:cs="Times New Roman"/>
          <w:szCs w:val="24"/>
        </w:rPr>
        <w:t>―</w:t>
      </w:r>
      <w:r w:rsidRPr="009D7B9C">
        <w:rPr>
          <w:rFonts w:cs="Times New Roman"/>
          <w:szCs w:val="24"/>
        </w:rPr>
        <w:t xml:space="preserve"> support an inference </w:t>
      </w:r>
      <w:r w:rsidR="00A840D1" w:rsidRPr="009D7B9C">
        <w:rPr>
          <w:rFonts w:cs="Times New Roman"/>
          <w:szCs w:val="24"/>
        </w:rPr>
        <w:t xml:space="preserve">that </w:t>
      </w:r>
      <w:r w:rsidR="00E71005" w:rsidRPr="009D7B9C">
        <w:rPr>
          <w:rFonts w:cs="Times New Roman"/>
          <w:szCs w:val="24"/>
        </w:rPr>
        <w:t>the offender</w:t>
      </w:r>
      <w:r w:rsidR="00A840D1" w:rsidRPr="009D7B9C">
        <w:rPr>
          <w:rFonts w:cs="Times New Roman"/>
          <w:szCs w:val="24"/>
        </w:rPr>
        <w:t xml:space="preserve"> </w:t>
      </w:r>
      <w:r w:rsidR="00E857F2" w:rsidRPr="009D7B9C">
        <w:rPr>
          <w:rFonts w:cs="Times New Roman"/>
          <w:szCs w:val="24"/>
        </w:rPr>
        <w:t xml:space="preserve">still </w:t>
      </w:r>
      <w:r w:rsidR="00A840D1" w:rsidRPr="009D7B9C">
        <w:rPr>
          <w:rFonts w:cs="Times New Roman"/>
          <w:szCs w:val="24"/>
        </w:rPr>
        <w:t>possesses sufficient funds to pay a fine</w:t>
      </w:r>
      <w:r w:rsidR="00EE6EA2" w:rsidRPr="009D7B9C">
        <w:rPr>
          <w:rFonts w:cs="Times New Roman"/>
          <w:szCs w:val="24"/>
        </w:rPr>
        <w:t xml:space="preserve"> at the time of sentencing</w:t>
      </w:r>
      <w:r w:rsidR="00192007" w:rsidRPr="009D7B9C">
        <w:rPr>
          <w:rFonts w:cs="Times New Roman"/>
          <w:szCs w:val="24"/>
        </w:rPr>
        <w:t>:</w:t>
      </w:r>
      <w:r w:rsidR="00A840D1" w:rsidRPr="009D7B9C">
        <w:rPr>
          <w:rFonts w:cs="Times New Roman"/>
          <w:szCs w:val="24"/>
        </w:rPr>
        <w:t xml:space="preserve">  </w:t>
      </w:r>
      <w:r w:rsidR="00201EBC" w:rsidRPr="009D7B9C">
        <w:rPr>
          <w:rFonts w:cs="Times New Roman"/>
          <w:i/>
          <w:szCs w:val="24"/>
        </w:rPr>
        <w:t xml:space="preserve">R. v. </w:t>
      </w:r>
      <w:proofErr w:type="spellStart"/>
      <w:r w:rsidR="00201EBC" w:rsidRPr="009D7B9C">
        <w:rPr>
          <w:rFonts w:cs="Times New Roman"/>
          <w:i/>
          <w:szCs w:val="24"/>
        </w:rPr>
        <w:t>Grimberg</w:t>
      </w:r>
      <w:proofErr w:type="spellEnd"/>
      <w:r w:rsidR="00201EBC" w:rsidRPr="009D7B9C">
        <w:rPr>
          <w:rFonts w:cs="Times New Roman"/>
          <w:szCs w:val="24"/>
        </w:rPr>
        <w:t xml:space="preserve"> (2002), 155 O.A.C. </w:t>
      </w:r>
      <w:r w:rsidR="0037520F" w:rsidRPr="009D7B9C">
        <w:rPr>
          <w:rFonts w:cs="Times New Roman"/>
          <w:szCs w:val="24"/>
        </w:rPr>
        <w:t>296,</w:t>
      </w:r>
      <w:r w:rsidR="00201EBC" w:rsidRPr="009D7B9C">
        <w:rPr>
          <w:rFonts w:cs="Times New Roman"/>
          <w:szCs w:val="24"/>
        </w:rPr>
        <w:t xml:space="preserve"> at </w:t>
      </w:r>
      <w:proofErr w:type="spellStart"/>
      <w:r w:rsidR="00201EBC" w:rsidRPr="009D7B9C">
        <w:rPr>
          <w:rFonts w:cs="Times New Roman"/>
          <w:szCs w:val="24"/>
        </w:rPr>
        <w:t>paras</w:t>
      </w:r>
      <w:proofErr w:type="spellEnd"/>
      <w:r w:rsidR="00201EBC" w:rsidRPr="009D7B9C">
        <w:rPr>
          <w:rFonts w:cs="Times New Roman"/>
          <w:szCs w:val="24"/>
        </w:rPr>
        <w:t>. 17-20;</w:t>
      </w:r>
      <w:r w:rsidR="00201EBC" w:rsidRPr="009D7B9C">
        <w:rPr>
          <w:rFonts w:cs="Times New Roman"/>
          <w:i/>
          <w:szCs w:val="24"/>
        </w:rPr>
        <w:t xml:space="preserve"> </w:t>
      </w:r>
      <w:r w:rsidR="00DC1393" w:rsidRPr="009D7B9C">
        <w:rPr>
          <w:rFonts w:cs="Times New Roman"/>
          <w:i/>
          <w:szCs w:val="24"/>
        </w:rPr>
        <w:t>R. v. Desjardins</w:t>
      </w:r>
      <w:r w:rsidR="00DC1393" w:rsidRPr="009D7B9C">
        <w:rPr>
          <w:rFonts w:cs="Times New Roman"/>
          <w:szCs w:val="24"/>
        </w:rPr>
        <w:t xml:space="preserve"> (1996), 182 N</w:t>
      </w:r>
      <w:r w:rsidR="0037520F" w:rsidRPr="009D7B9C">
        <w:rPr>
          <w:rFonts w:cs="Times New Roman"/>
          <w:szCs w:val="24"/>
        </w:rPr>
        <w:t>.B.R. (2d) 321</w:t>
      </w:r>
      <w:r w:rsidR="00192007" w:rsidRPr="009D7B9C">
        <w:rPr>
          <w:rFonts w:cs="Times New Roman"/>
          <w:szCs w:val="24"/>
        </w:rPr>
        <w:t xml:space="preserve"> (C.A.)</w:t>
      </w:r>
      <w:r w:rsidR="0037520F" w:rsidRPr="009D7B9C">
        <w:rPr>
          <w:rFonts w:cs="Times New Roman"/>
          <w:szCs w:val="24"/>
        </w:rPr>
        <w:t xml:space="preserve">, at </w:t>
      </w:r>
      <w:proofErr w:type="spellStart"/>
      <w:r w:rsidR="0037520F" w:rsidRPr="009D7B9C">
        <w:rPr>
          <w:rFonts w:cs="Times New Roman"/>
          <w:szCs w:val="24"/>
        </w:rPr>
        <w:t>para</w:t>
      </w:r>
      <w:proofErr w:type="spellEnd"/>
      <w:r w:rsidR="0037520F" w:rsidRPr="009D7B9C">
        <w:rPr>
          <w:rFonts w:cs="Times New Roman"/>
          <w:szCs w:val="24"/>
        </w:rPr>
        <w:t>. 29</w:t>
      </w:r>
      <w:r w:rsidR="00DC1393" w:rsidRPr="009D7B9C">
        <w:rPr>
          <w:rFonts w:cs="Times New Roman"/>
          <w:szCs w:val="24"/>
        </w:rPr>
        <w:t xml:space="preserve">; </w:t>
      </w:r>
      <w:r w:rsidR="00A840D1" w:rsidRPr="009D7B9C">
        <w:rPr>
          <w:rFonts w:cs="Times New Roman"/>
          <w:i/>
          <w:szCs w:val="24"/>
        </w:rPr>
        <w:t xml:space="preserve">R. v. Dow </w:t>
      </w:r>
      <w:r w:rsidR="00A840D1" w:rsidRPr="009D7B9C">
        <w:rPr>
          <w:rFonts w:cs="Times New Roman"/>
          <w:szCs w:val="24"/>
        </w:rPr>
        <w:t>(1976), 1 C.R. (3d) S</w:t>
      </w:r>
      <w:r w:rsidR="00192007" w:rsidRPr="009D7B9C">
        <w:rPr>
          <w:rFonts w:cs="Times New Roman"/>
          <w:szCs w:val="24"/>
        </w:rPr>
        <w:t>.</w:t>
      </w:r>
      <w:r w:rsidR="00192007" w:rsidRPr="009D7B9C">
        <w:rPr>
          <w:rFonts w:cs="Times New Roman"/>
          <w:szCs w:val="24"/>
        </w:rPr>
        <w:noBreakHyphen/>
      </w:r>
      <w:r w:rsidR="00A840D1" w:rsidRPr="009D7B9C">
        <w:rPr>
          <w:rFonts w:cs="Times New Roman"/>
          <w:szCs w:val="24"/>
        </w:rPr>
        <w:t>9</w:t>
      </w:r>
      <w:r w:rsidR="00192007" w:rsidRPr="009D7B9C">
        <w:rPr>
          <w:rFonts w:cs="Times New Roman"/>
          <w:szCs w:val="24"/>
        </w:rPr>
        <w:t xml:space="preserve"> (B.C.C.A.)</w:t>
      </w:r>
      <w:r w:rsidR="0037520F" w:rsidRPr="009D7B9C">
        <w:rPr>
          <w:rFonts w:cs="Times New Roman"/>
          <w:szCs w:val="24"/>
        </w:rPr>
        <w:t>,</w:t>
      </w:r>
      <w:r w:rsidR="00A840D1" w:rsidRPr="009D7B9C">
        <w:rPr>
          <w:rFonts w:cs="Times New Roman"/>
          <w:szCs w:val="24"/>
        </w:rPr>
        <w:t xml:space="preserve"> at p</w:t>
      </w:r>
      <w:r w:rsidR="0037520F" w:rsidRPr="009D7B9C">
        <w:rPr>
          <w:rFonts w:cs="Times New Roman"/>
          <w:szCs w:val="24"/>
        </w:rPr>
        <w:t>p</w:t>
      </w:r>
      <w:r w:rsidR="00A840D1" w:rsidRPr="009D7B9C">
        <w:rPr>
          <w:rFonts w:cs="Times New Roman"/>
          <w:szCs w:val="24"/>
        </w:rPr>
        <w:t>.</w:t>
      </w:r>
      <w:r w:rsidR="007B4FCE" w:rsidRPr="009D7B9C">
        <w:rPr>
          <w:rFonts w:cs="Times New Roman"/>
          <w:szCs w:val="24"/>
        </w:rPr>
        <w:t xml:space="preserve"> S</w:t>
      </w:r>
      <w:r w:rsidR="00192007" w:rsidRPr="009D7B9C">
        <w:rPr>
          <w:rFonts w:cs="Times New Roman"/>
          <w:szCs w:val="24"/>
        </w:rPr>
        <w:t>.</w:t>
      </w:r>
      <w:r w:rsidR="00192007" w:rsidRPr="009D7B9C">
        <w:rPr>
          <w:rFonts w:cs="Times New Roman"/>
          <w:szCs w:val="24"/>
        </w:rPr>
        <w:noBreakHyphen/>
      </w:r>
      <w:r w:rsidR="007B4FCE" w:rsidRPr="009D7B9C">
        <w:rPr>
          <w:rFonts w:cs="Times New Roman"/>
          <w:szCs w:val="24"/>
        </w:rPr>
        <w:t>14</w:t>
      </w:r>
      <w:r w:rsidR="00192007" w:rsidRPr="009D7B9C">
        <w:rPr>
          <w:rFonts w:cs="Times New Roman"/>
          <w:szCs w:val="24"/>
        </w:rPr>
        <w:t xml:space="preserve"> to S.</w:t>
      </w:r>
      <w:r w:rsidR="00192007" w:rsidRPr="009D7B9C">
        <w:rPr>
          <w:rFonts w:cs="Times New Roman"/>
          <w:szCs w:val="24"/>
        </w:rPr>
        <w:noBreakHyphen/>
      </w:r>
      <w:r w:rsidR="007B4FCE" w:rsidRPr="009D7B9C">
        <w:rPr>
          <w:rFonts w:cs="Times New Roman"/>
          <w:szCs w:val="24"/>
        </w:rPr>
        <w:t>15</w:t>
      </w:r>
      <w:r w:rsidR="00A840D1" w:rsidRPr="009D7B9C">
        <w:rPr>
          <w:rFonts w:cs="Times New Roman"/>
          <w:szCs w:val="24"/>
        </w:rPr>
        <w:t xml:space="preserve">; </w:t>
      </w:r>
      <w:r w:rsidR="008C6026" w:rsidRPr="009D7B9C">
        <w:rPr>
          <w:rFonts w:cs="Times New Roman"/>
          <w:i/>
          <w:szCs w:val="24"/>
        </w:rPr>
        <w:t xml:space="preserve">R. v. </w:t>
      </w:r>
      <w:proofErr w:type="spellStart"/>
      <w:r w:rsidR="008C6026" w:rsidRPr="009D7B9C">
        <w:rPr>
          <w:rFonts w:cs="Times New Roman"/>
          <w:i/>
          <w:szCs w:val="24"/>
        </w:rPr>
        <w:t>Noseworthy</w:t>
      </w:r>
      <w:proofErr w:type="spellEnd"/>
      <w:r w:rsidR="007B4FCE" w:rsidRPr="009D7B9C">
        <w:rPr>
          <w:rFonts w:cs="Times New Roman"/>
          <w:szCs w:val="24"/>
        </w:rPr>
        <w:t xml:space="preserve">, 2000 NFCA 45, </w:t>
      </w:r>
      <w:r w:rsidR="008C6026" w:rsidRPr="009D7B9C">
        <w:rPr>
          <w:rFonts w:cs="Times New Roman"/>
          <w:szCs w:val="24"/>
        </w:rPr>
        <w:t>192 Nfld. &amp; P.E.I.R. 120</w:t>
      </w:r>
      <w:r w:rsidR="007B4FCE" w:rsidRPr="009D7B9C">
        <w:rPr>
          <w:rFonts w:cs="Times New Roman"/>
          <w:szCs w:val="24"/>
        </w:rPr>
        <w:t>,</w:t>
      </w:r>
      <w:r w:rsidR="008C6026" w:rsidRPr="009D7B9C">
        <w:rPr>
          <w:rFonts w:cs="Times New Roman"/>
          <w:szCs w:val="24"/>
        </w:rPr>
        <w:t xml:space="preserve"> at </w:t>
      </w:r>
      <w:proofErr w:type="spellStart"/>
      <w:r w:rsidR="008C6026" w:rsidRPr="009D7B9C">
        <w:rPr>
          <w:rFonts w:cs="Times New Roman"/>
          <w:szCs w:val="24"/>
        </w:rPr>
        <w:t>para</w:t>
      </w:r>
      <w:proofErr w:type="spellEnd"/>
      <w:r w:rsidR="008C6026" w:rsidRPr="009D7B9C">
        <w:rPr>
          <w:rFonts w:cs="Times New Roman"/>
          <w:szCs w:val="24"/>
        </w:rPr>
        <w:t>. 21</w:t>
      </w:r>
      <w:r w:rsidR="00884795" w:rsidRPr="009D7B9C">
        <w:rPr>
          <w:rFonts w:cs="Times New Roman"/>
          <w:szCs w:val="24"/>
        </w:rPr>
        <w:t>;</w:t>
      </w:r>
      <w:r w:rsidR="008C6026" w:rsidRPr="009D7B9C">
        <w:rPr>
          <w:rFonts w:cs="Times New Roman"/>
          <w:szCs w:val="24"/>
        </w:rPr>
        <w:t xml:space="preserve"> </w:t>
      </w:r>
      <w:r w:rsidR="00A840D1" w:rsidRPr="009D7B9C">
        <w:rPr>
          <w:rFonts w:cs="Times New Roman"/>
          <w:i/>
          <w:szCs w:val="24"/>
        </w:rPr>
        <w:t>R. v. Guppy</w:t>
      </w:r>
      <w:r w:rsidR="00A840D1" w:rsidRPr="009D7B9C">
        <w:rPr>
          <w:rFonts w:cs="Times New Roman"/>
          <w:szCs w:val="24"/>
        </w:rPr>
        <w:t xml:space="preserve"> </w:t>
      </w:r>
      <w:r w:rsidR="007B4FCE" w:rsidRPr="009D7B9C">
        <w:rPr>
          <w:rFonts w:cs="Times New Roman"/>
          <w:szCs w:val="24"/>
        </w:rPr>
        <w:t>(</w:t>
      </w:r>
      <w:r w:rsidR="00A840D1" w:rsidRPr="009D7B9C">
        <w:rPr>
          <w:rFonts w:cs="Times New Roman"/>
          <w:szCs w:val="24"/>
        </w:rPr>
        <w:t>1995</w:t>
      </w:r>
      <w:r w:rsidR="007B4FCE" w:rsidRPr="009D7B9C">
        <w:rPr>
          <w:rFonts w:cs="Times New Roman"/>
          <w:szCs w:val="24"/>
        </w:rPr>
        <w:t>)</w:t>
      </w:r>
      <w:r w:rsidR="00192007" w:rsidRPr="009D7B9C">
        <w:rPr>
          <w:rFonts w:cs="Times New Roman"/>
          <w:szCs w:val="24"/>
        </w:rPr>
        <w:t>,</w:t>
      </w:r>
      <w:r w:rsidR="00945CE2" w:rsidRPr="009D7B9C">
        <w:rPr>
          <w:rFonts w:cs="Times New Roman"/>
          <w:szCs w:val="24"/>
        </w:rPr>
        <w:t xml:space="preserve"> 16 Cr. App. R.</w:t>
      </w:r>
      <w:r w:rsidR="007B4FCE" w:rsidRPr="009D7B9C">
        <w:rPr>
          <w:rFonts w:cs="Times New Roman"/>
          <w:szCs w:val="24"/>
        </w:rPr>
        <w:t xml:space="preserve"> </w:t>
      </w:r>
      <w:r w:rsidR="00945CE2" w:rsidRPr="009D7B9C">
        <w:rPr>
          <w:rFonts w:cs="Times New Roman"/>
          <w:szCs w:val="24"/>
        </w:rPr>
        <w:t xml:space="preserve">(S.) 25 </w:t>
      </w:r>
      <w:r w:rsidR="00DC1393" w:rsidRPr="009D7B9C">
        <w:rPr>
          <w:rFonts w:cs="Times New Roman"/>
          <w:szCs w:val="24"/>
        </w:rPr>
        <w:t>(C.A.)</w:t>
      </w:r>
      <w:r w:rsidR="003E4C34" w:rsidRPr="009D7B9C">
        <w:rPr>
          <w:rFonts w:cs="Times New Roman"/>
          <w:szCs w:val="24"/>
        </w:rPr>
        <w:t>.</w:t>
      </w:r>
      <w:r w:rsidR="00957BA6" w:rsidRPr="009D7B9C">
        <w:rPr>
          <w:rFonts w:cs="Times New Roman"/>
          <w:szCs w:val="24"/>
        </w:rPr>
        <w:t xml:space="preserve">  </w:t>
      </w:r>
      <w:r w:rsidR="00C8468C" w:rsidRPr="009D7B9C">
        <w:rPr>
          <w:rFonts w:cs="Times New Roman"/>
          <w:szCs w:val="24"/>
        </w:rPr>
        <w:t xml:space="preserve">See also </w:t>
      </w:r>
      <w:r w:rsidR="00C8468C" w:rsidRPr="009D7B9C">
        <w:rPr>
          <w:rFonts w:cs="Times New Roman"/>
          <w:i/>
          <w:szCs w:val="24"/>
        </w:rPr>
        <w:t>R. v. Johnson</w:t>
      </w:r>
      <w:r w:rsidR="00C46705" w:rsidRPr="009D7B9C">
        <w:rPr>
          <w:rFonts w:cs="Times New Roman"/>
          <w:szCs w:val="24"/>
        </w:rPr>
        <w:t>, 2010 ABCA 392</w:t>
      </w:r>
      <w:r w:rsidR="007B4FCE" w:rsidRPr="009D7B9C">
        <w:rPr>
          <w:rFonts w:cs="Times New Roman"/>
          <w:szCs w:val="24"/>
        </w:rPr>
        <w:t xml:space="preserve">, 493 A.R. 74, </w:t>
      </w:r>
      <w:r w:rsidR="00C46705" w:rsidRPr="009D7B9C">
        <w:rPr>
          <w:rFonts w:cs="Times New Roman"/>
          <w:szCs w:val="24"/>
        </w:rPr>
        <w:t xml:space="preserve">at </w:t>
      </w:r>
      <w:proofErr w:type="spellStart"/>
      <w:r w:rsidR="00C46705" w:rsidRPr="009D7B9C">
        <w:rPr>
          <w:rFonts w:cs="Times New Roman"/>
          <w:szCs w:val="24"/>
        </w:rPr>
        <w:t>para</w:t>
      </w:r>
      <w:proofErr w:type="spellEnd"/>
      <w:r w:rsidR="00C46705" w:rsidRPr="009D7B9C">
        <w:rPr>
          <w:rFonts w:cs="Times New Roman"/>
          <w:szCs w:val="24"/>
        </w:rPr>
        <w:t xml:space="preserve">. 23; </w:t>
      </w:r>
      <w:r w:rsidR="00C46705" w:rsidRPr="009D7B9C">
        <w:rPr>
          <w:rFonts w:cs="Times New Roman"/>
          <w:i/>
          <w:szCs w:val="24"/>
        </w:rPr>
        <w:t>R. v. Castro</w:t>
      </w:r>
      <w:r w:rsidR="007B4FCE" w:rsidRPr="009D7B9C">
        <w:rPr>
          <w:rFonts w:cs="Times New Roman"/>
          <w:szCs w:val="24"/>
        </w:rPr>
        <w:t>,</w:t>
      </w:r>
      <w:r w:rsidR="00960657" w:rsidRPr="009D7B9C">
        <w:rPr>
          <w:rFonts w:cs="Times New Roman"/>
          <w:szCs w:val="24"/>
        </w:rPr>
        <w:t xml:space="preserve"> 2010</w:t>
      </w:r>
      <w:r w:rsidR="007B4FCE" w:rsidRPr="009D7B9C">
        <w:rPr>
          <w:rFonts w:cs="Times New Roman"/>
          <w:szCs w:val="24"/>
        </w:rPr>
        <w:t xml:space="preserve"> ONCA 718, </w:t>
      </w:r>
      <w:r w:rsidR="00960657" w:rsidRPr="009D7B9C">
        <w:rPr>
          <w:rFonts w:cs="Times New Roman"/>
          <w:szCs w:val="24"/>
        </w:rPr>
        <w:t xml:space="preserve">102 O.R. (3d) </w:t>
      </w:r>
      <w:r w:rsidR="007B4FCE" w:rsidRPr="009D7B9C">
        <w:rPr>
          <w:rFonts w:cs="Times New Roman"/>
          <w:szCs w:val="24"/>
        </w:rPr>
        <w:t>609</w:t>
      </w:r>
      <w:r w:rsidR="00884795" w:rsidRPr="009D7B9C">
        <w:rPr>
          <w:rFonts w:cs="Times New Roman"/>
          <w:szCs w:val="24"/>
        </w:rPr>
        <w:t>,</w:t>
      </w:r>
      <w:r w:rsidR="00960657" w:rsidRPr="009D7B9C">
        <w:rPr>
          <w:rFonts w:cs="Times New Roman"/>
          <w:szCs w:val="24"/>
        </w:rPr>
        <w:t xml:space="preserve"> at </w:t>
      </w:r>
      <w:proofErr w:type="spellStart"/>
      <w:r w:rsidR="00960657" w:rsidRPr="009D7B9C">
        <w:rPr>
          <w:rFonts w:cs="Times New Roman"/>
          <w:szCs w:val="24"/>
        </w:rPr>
        <w:t>para</w:t>
      </w:r>
      <w:proofErr w:type="spellEnd"/>
      <w:r w:rsidR="00960657" w:rsidRPr="009D7B9C">
        <w:rPr>
          <w:rFonts w:cs="Times New Roman"/>
          <w:szCs w:val="24"/>
        </w:rPr>
        <w:t>. 34</w:t>
      </w:r>
      <w:r w:rsidR="007B4FCE" w:rsidRPr="009D7B9C">
        <w:rPr>
          <w:rFonts w:cs="Times New Roman"/>
          <w:szCs w:val="24"/>
        </w:rPr>
        <w:t>,</w:t>
      </w:r>
      <w:r w:rsidR="00960657" w:rsidRPr="009D7B9C">
        <w:rPr>
          <w:rFonts w:cs="Times New Roman"/>
          <w:szCs w:val="24"/>
        </w:rPr>
        <w:t xml:space="preserve"> </w:t>
      </w:r>
      <w:r w:rsidR="00574259" w:rsidRPr="009D7B9C">
        <w:rPr>
          <w:rFonts w:cs="Times New Roman"/>
          <w:szCs w:val="24"/>
        </w:rPr>
        <w:t>which deal with restitution orders, a related but different matter</w:t>
      </w:r>
      <w:r w:rsidR="00960657" w:rsidRPr="009D7B9C">
        <w:rPr>
          <w:rFonts w:cs="Times New Roman"/>
          <w:szCs w:val="24"/>
        </w:rPr>
        <w:t>.</w:t>
      </w:r>
    </w:p>
    <w:p w:rsidR="00201EBC" w:rsidRPr="009D7B9C" w:rsidRDefault="005811C2" w:rsidP="002646EC">
      <w:pPr>
        <w:pStyle w:val="ParaNoNdepar-AltN"/>
        <w:rPr>
          <w:rFonts w:cs="Times New Roman"/>
          <w:szCs w:val="24"/>
        </w:rPr>
      </w:pPr>
      <w:r w:rsidRPr="009D7B9C">
        <w:rPr>
          <w:rFonts w:cs="Times New Roman"/>
          <w:szCs w:val="24"/>
        </w:rPr>
        <w:t>As stated earlier, the strength of th</w:t>
      </w:r>
      <w:r w:rsidR="00CE10D4" w:rsidRPr="009D7B9C">
        <w:rPr>
          <w:rFonts w:cs="Times New Roman"/>
          <w:szCs w:val="24"/>
        </w:rPr>
        <w:t>at</w:t>
      </w:r>
      <w:r w:rsidRPr="009D7B9C">
        <w:rPr>
          <w:rFonts w:cs="Times New Roman"/>
          <w:szCs w:val="24"/>
        </w:rPr>
        <w:t xml:space="preserve"> inference will depend on the </w:t>
      </w:r>
      <w:r w:rsidR="00CE10D4" w:rsidRPr="009D7B9C">
        <w:rPr>
          <w:rFonts w:cs="Times New Roman"/>
          <w:szCs w:val="24"/>
        </w:rPr>
        <w:t xml:space="preserve">circumstances and </w:t>
      </w:r>
      <w:r w:rsidRPr="009D7B9C">
        <w:rPr>
          <w:rFonts w:cs="Times New Roman"/>
          <w:szCs w:val="24"/>
        </w:rPr>
        <w:t>vary from case to case.  None of the cases mentioned have addressed the issue in the precise circumstances</w:t>
      </w:r>
      <w:r w:rsidR="006E17D6" w:rsidRPr="009D7B9C">
        <w:rPr>
          <w:rFonts w:cs="Times New Roman"/>
          <w:szCs w:val="24"/>
        </w:rPr>
        <w:t xml:space="preserve"> </w:t>
      </w:r>
      <w:r w:rsidRPr="009D7B9C">
        <w:rPr>
          <w:rFonts w:cs="Times New Roman"/>
          <w:szCs w:val="24"/>
        </w:rPr>
        <w:t>of this case</w:t>
      </w:r>
      <w:r w:rsidR="006E17D6" w:rsidRPr="009D7B9C">
        <w:rPr>
          <w:rFonts w:cs="Times New Roman"/>
          <w:szCs w:val="24"/>
        </w:rPr>
        <w:t>.  Nor have they fully canvassed the legal issue before us on this appeal</w:t>
      </w:r>
      <w:r w:rsidR="00CE10D4" w:rsidRPr="009D7B9C">
        <w:rPr>
          <w:rFonts w:cs="Times New Roman"/>
          <w:szCs w:val="24"/>
        </w:rPr>
        <w:t xml:space="preserve">: Is a </w:t>
      </w:r>
      <w:r w:rsidR="00FE697B" w:rsidRPr="009D7B9C">
        <w:rPr>
          <w:rFonts w:cs="Times New Roman"/>
          <w:szCs w:val="24"/>
        </w:rPr>
        <w:t>trial judge</w:t>
      </w:r>
      <w:r w:rsidR="000067CD" w:rsidRPr="009D7B9C">
        <w:rPr>
          <w:rFonts w:cs="Times New Roman"/>
          <w:szCs w:val="24"/>
        </w:rPr>
        <w:t xml:space="preserve"> </w:t>
      </w:r>
      <w:r w:rsidR="00CD3B42" w:rsidRPr="009D7B9C">
        <w:rPr>
          <w:rFonts w:cs="Times New Roman"/>
          <w:szCs w:val="24"/>
        </w:rPr>
        <w:t>not</w:t>
      </w:r>
      <w:r w:rsidR="0006437E" w:rsidRPr="009D7B9C">
        <w:rPr>
          <w:rFonts w:cs="Times New Roman"/>
          <w:i/>
          <w:szCs w:val="24"/>
        </w:rPr>
        <w:t xml:space="preserve"> </w:t>
      </w:r>
      <w:r w:rsidR="00CD3B42" w:rsidRPr="009D7B9C">
        <w:rPr>
          <w:rFonts w:cs="Times New Roman"/>
          <w:szCs w:val="24"/>
        </w:rPr>
        <w:t xml:space="preserve">only </w:t>
      </w:r>
      <w:r w:rsidR="0006437E" w:rsidRPr="009D7B9C">
        <w:rPr>
          <w:rFonts w:cs="Times New Roman"/>
          <w:i/>
          <w:szCs w:val="24"/>
        </w:rPr>
        <w:t>permitted</w:t>
      </w:r>
      <w:r w:rsidR="0006437E" w:rsidRPr="009D7B9C">
        <w:rPr>
          <w:rFonts w:cs="Times New Roman"/>
          <w:szCs w:val="24"/>
        </w:rPr>
        <w:t xml:space="preserve">, </w:t>
      </w:r>
      <w:r w:rsidR="00CD3B42" w:rsidRPr="009D7B9C">
        <w:rPr>
          <w:rFonts w:cs="Times New Roman"/>
          <w:szCs w:val="24"/>
        </w:rPr>
        <w:t xml:space="preserve">but </w:t>
      </w:r>
      <w:r w:rsidR="000067CD" w:rsidRPr="009D7B9C">
        <w:rPr>
          <w:rFonts w:cs="Times New Roman"/>
          <w:i/>
          <w:szCs w:val="24"/>
        </w:rPr>
        <w:t>bound</w:t>
      </w:r>
      <w:r w:rsidR="000067CD" w:rsidRPr="009D7B9C">
        <w:rPr>
          <w:rFonts w:cs="Times New Roman"/>
          <w:szCs w:val="24"/>
        </w:rPr>
        <w:t xml:space="preserve"> </w:t>
      </w:r>
      <w:r w:rsidR="000067CD" w:rsidRPr="009D7B9C">
        <w:rPr>
          <w:rFonts w:cs="Times New Roman"/>
          <w:i/>
          <w:szCs w:val="24"/>
        </w:rPr>
        <w:t>as a matter of law</w:t>
      </w:r>
      <w:r w:rsidR="000067CD" w:rsidRPr="009D7B9C">
        <w:rPr>
          <w:rFonts w:cs="Times New Roman"/>
          <w:szCs w:val="24"/>
        </w:rPr>
        <w:t>, to find that an offender still possesses the fruits of his crime</w:t>
      </w:r>
      <w:r w:rsidR="00433FF6" w:rsidRPr="009D7B9C">
        <w:rPr>
          <w:rFonts w:cs="Times New Roman"/>
          <w:szCs w:val="24"/>
        </w:rPr>
        <w:t>,</w:t>
      </w:r>
      <w:r w:rsidR="000067CD" w:rsidRPr="009D7B9C">
        <w:rPr>
          <w:rFonts w:cs="Times New Roman"/>
          <w:szCs w:val="24"/>
        </w:rPr>
        <w:t xml:space="preserve"> unless the offender </w:t>
      </w:r>
      <w:r w:rsidR="008D1F96" w:rsidRPr="009D7B9C">
        <w:rPr>
          <w:rFonts w:cs="Times New Roman"/>
          <w:szCs w:val="24"/>
        </w:rPr>
        <w:t>explains</w:t>
      </w:r>
      <w:r w:rsidR="000067CD" w:rsidRPr="009D7B9C">
        <w:rPr>
          <w:rFonts w:cs="Times New Roman"/>
          <w:szCs w:val="24"/>
        </w:rPr>
        <w:t xml:space="preserve"> what happened to the funds</w:t>
      </w:r>
      <w:r w:rsidR="00CD3B42" w:rsidRPr="009D7B9C">
        <w:rPr>
          <w:rFonts w:cs="Times New Roman"/>
          <w:szCs w:val="24"/>
        </w:rPr>
        <w:t>?</w:t>
      </w:r>
    </w:p>
    <w:p w:rsidR="009A1988" w:rsidRPr="009D7B9C" w:rsidRDefault="006E17D6" w:rsidP="002646EC">
      <w:pPr>
        <w:pStyle w:val="ParaNoNdepar-AltN"/>
        <w:rPr>
          <w:rFonts w:cs="Times New Roman"/>
          <w:szCs w:val="24"/>
        </w:rPr>
      </w:pPr>
      <w:r w:rsidRPr="009D7B9C">
        <w:rPr>
          <w:rFonts w:cs="Times New Roman"/>
          <w:szCs w:val="24"/>
        </w:rPr>
        <w:t>I would answer that question in the negative</w:t>
      </w:r>
      <w:r w:rsidR="009A1988" w:rsidRPr="009D7B9C">
        <w:rPr>
          <w:rFonts w:cs="Times New Roman"/>
          <w:szCs w:val="24"/>
        </w:rPr>
        <w:t>, essentially for two reasons</w:t>
      </w:r>
      <w:r w:rsidR="006A5A0B" w:rsidRPr="009D7B9C">
        <w:rPr>
          <w:rFonts w:cs="Times New Roman"/>
          <w:szCs w:val="24"/>
        </w:rPr>
        <w:t>.</w:t>
      </w:r>
    </w:p>
    <w:p w:rsidR="00116C4A" w:rsidRPr="009D7B9C" w:rsidRDefault="009A1988" w:rsidP="002646EC">
      <w:pPr>
        <w:pStyle w:val="ParaNoNdepar-AltN"/>
        <w:rPr>
          <w:rFonts w:cs="Times New Roman"/>
          <w:szCs w:val="24"/>
        </w:rPr>
      </w:pPr>
      <w:r w:rsidRPr="009D7B9C">
        <w:rPr>
          <w:rFonts w:cs="Times New Roman"/>
          <w:szCs w:val="24"/>
        </w:rPr>
        <w:lastRenderedPageBreak/>
        <w:t>First, i</w:t>
      </w:r>
      <w:r w:rsidR="005E22DB" w:rsidRPr="009D7B9C">
        <w:rPr>
          <w:rFonts w:cs="Times New Roman"/>
          <w:szCs w:val="24"/>
        </w:rPr>
        <w:t xml:space="preserve">n my view, </w:t>
      </w:r>
      <w:r w:rsidR="00C8468C" w:rsidRPr="009D7B9C">
        <w:rPr>
          <w:rFonts w:cs="Times New Roman"/>
          <w:szCs w:val="24"/>
        </w:rPr>
        <w:t xml:space="preserve">the </w:t>
      </w:r>
      <w:r w:rsidR="00773FDA" w:rsidRPr="009D7B9C">
        <w:rPr>
          <w:rFonts w:cs="Times New Roman"/>
          <w:szCs w:val="24"/>
        </w:rPr>
        <w:t xml:space="preserve">weight </w:t>
      </w:r>
      <w:r w:rsidR="00CD3B42" w:rsidRPr="009D7B9C">
        <w:rPr>
          <w:rFonts w:cs="Times New Roman"/>
          <w:szCs w:val="24"/>
        </w:rPr>
        <w:t xml:space="preserve">reasonably </w:t>
      </w:r>
      <w:r w:rsidR="00773FDA" w:rsidRPr="009D7B9C">
        <w:rPr>
          <w:rFonts w:cs="Times New Roman"/>
          <w:szCs w:val="24"/>
        </w:rPr>
        <w:t>attribut</w:t>
      </w:r>
      <w:r w:rsidR="00CD3B42" w:rsidRPr="009D7B9C">
        <w:rPr>
          <w:rFonts w:cs="Times New Roman"/>
          <w:szCs w:val="24"/>
        </w:rPr>
        <w:t>able</w:t>
      </w:r>
      <w:r w:rsidR="00773FDA" w:rsidRPr="009D7B9C">
        <w:rPr>
          <w:rFonts w:cs="Times New Roman"/>
          <w:szCs w:val="24"/>
        </w:rPr>
        <w:t xml:space="preserve"> to the</w:t>
      </w:r>
      <w:r w:rsidR="00C8468C" w:rsidRPr="009D7B9C">
        <w:rPr>
          <w:rFonts w:cs="Times New Roman"/>
          <w:szCs w:val="24"/>
        </w:rPr>
        <w:t xml:space="preserve"> past receipt </w:t>
      </w:r>
      <w:r w:rsidR="00773FDA" w:rsidRPr="009D7B9C">
        <w:rPr>
          <w:rFonts w:cs="Times New Roman"/>
          <w:szCs w:val="24"/>
        </w:rPr>
        <w:t xml:space="preserve">of funds </w:t>
      </w:r>
      <w:r w:rsidR="00C8468C" w:rsidRPr="009D7B9C">
        <w:rPr>
          <w:rFonts w:cs="Times New Roman"/>
          <w:szCs w:val="24"/>
        </w:rPr>
        <w:t xml:space="preserve">will vary with </w:t>
      </w:r>
      <w:r w:rsidR="00116C4A" w:rsidRPr="009D7B9C">
        <w:rPr>
          <w:rFonts w:cs="Times New Roman"/>
          <w:szCs w:val="24"/>
        </w:rPr>
        <w:t xml:space="preserve">at least </w:t>
      </w:r>
      <w:r w:rsidR="00C8468C" w:rsidRPr="009D7B9C">
        <w:rPr>
          <w:rFonts w:cs="Times New Roman"/>
          <w:szCs w:val="24"/>
        </w:rPr>
        <w:t xml:space="preserve">two factors: the length of time that has passed between the </w:t>
      </w:r>
      <w:r w:rsidR="00CD3B42" w:rsidRPr="009D7B9C">
        <w:rPr>
          <w:rFonts w:cs="Times New Roman"/>
          <w:szCs w:val="24"/>
        </w:rPr>
        <w:t>acquisition</w:t>
      </w:r>
      <w:r w:rsidR="00C8468C" w:rsidRPr="009D7B9C">
        <w:rPr>
          <w:rFonts w:cs="Times New Roman"/>
          <w:szCs w:val="24"/>
        </w:rPr>
        <w:t xml:space="preserve"> of the funds and the </w:t>
      </w:r>
      <w:r w:rsidR="00B5134C" w:rsidRPr="009D7B9C">
        <w:rPr>
          <w:rFonts w:cs="Times New Roman"/>
          <w:szCs w:val="24"/>
        </w:rPr>
        <w:t>imposition of sentence</w:t>
      </w:r>
      <w:r w:rsidRPr="009D7B9C">
        <w:rPr>
          <w:rFonts w:cs="Times New Roman"/>
          <w:szCs w:val="24"/>
        </w:rPr>
        <w:t xml:space="preserve">, </w:t>
      </w:r>
      <w:r w:rsidR="00C8468C" w:rsidRPr="009D7B9C">
        <w:rPr>
          <w:rFonts w:cs="Times New Roman"/>
          <w:szCs w:val="24"/>
        </w:rPr>
        <w:t>and</w:t>
      </w:r>
      <w:r w:rsidR="00CD3B42" w:rsidRPr="009D7B9C">
        <w:rPr>
          <w:rFonts w:cs="Times New Roman"/>
          <w:szCs w:val="24"/>
        </w:rPr>
        <w:t xml:space="preserve"> </w:t>
      </w:r>
      <w:r w:rsidR="00C8468C" w:rsidRPr="009D7B9C">
        <w:rPr>
          <w:rFonts w:cs="Times New Roman"/>
          <w:szCs w:val="24"/>
        </w:rPr>
        <w:t xml:space="preserve">the </w:t>
      </w:r>
      <w:r w:rsidRPr="009D7B9C">
        <w:rPr>
          <w:rFonts w:cs="Times New Roman"/>
          <w:szCs w:val="24"/>
        </w:rPr>
        <w:t xml:space="preserve">amount of </w:t>
      </w:r>
      <w:r w:rsidR="00C8468C" w:rsidRPr="009D7B9C">
        <w:rPr>
          <w:rFonts w:cs="Times New Roman"/>
          <w:szCs w:val="24"/>
        </w:rPr>
        <w:t>funds</w:t>
      </w:r>
      <w:r w:rsidR="00CD3B42" w:rsidRPr="009D7B9C">
        <w:rPr>
          <w:rFonts w:cs="Times New Roman"/>
          <w:szCs w:val="24"/>
        </w:rPr>
        <w:t xml:space="preserve"> acquired</w:t>
      </w:r>
      <w:r w:rsidR="00C8468C" w:rsidRPr="009D7B9C">
        <w:rPr>
          <w:rFonts w:cs="Times New Roman"/>
          <w:szCs w:val="24"/>
        </w:rPr>
        <w:t>.</w:t>
      </w:r>
      <w:r w:rsidR="00116C4A" w:rsidRPr="009D7B9C">
        <w:rPr>
          <w:rFonts w:cs="Times New Roman"/>
          <w:szCs w:val="24"/>
        </w:rPr>
        <w:t xml:space="preserve">  The more time that has passed </w:t>
      </w:r>
      <w:r w:rsidR="004549E3" w:rsidRPr="009D7B9C">
        <w:rPr>
          <w:rFonts w:cs="Times New Roman"/>
          <w:szCs w:val="24"/>
        </w:rPr>
        <w:t>since</w:t>
      </w:r>
      <w:r w:rsidR="00116C4A" w:rsidRPr="009D7B9C">
        <w:rPr>
          <w:rFonts w:cs="Times New Roman"/>
          <w:szCs w:val="24"/>
        </w:rPr>
        <w:t xml:space="preserve"> the </w:t>
      </w:r>
      <w:r w:rsidR="00CD3B42" w:rsidRPr="009D7B9C">
        <w:rPr>
          <w:rFonts w:cs="Times New Roman"/>
          <w:szCs w:val="24"/>
        </w:rPr>
        <w:t>acquisition</w:t>
      </w:r>
      <w:r w:rsidR="00116C4A" w:rsidRPr="009D7B9C">
        <w:rPr>
          <w:rFonts w:cs="Times New Roman"/>
          <w:szCs w:val="24"/>
        </w:rPr>
        <w:t xml:space="preserve"> of the funds, the less likely it is that the offender sti</w:t>
      </w:r>
      <w:r w:rsidR="00CD3B42" w:rsidRPr="009D7B9C">
        <w:rPr>
          <w:rFonts w:cs="Times New Roman"/>
          <w:szCs w:val="24"/>
        </w:rPr>
        <w:t>ll possesses the full amount.  And t</w:t>
      </w:r>
      <w:r w:rsidR="00116C4A" w:rsidRPr="009D7B9C">
        <w:rPr>
          <w:rFonts w:cs="Times New Roman"/>
          <w:szCs w:val="24"/>
        </w:rPr>
        <w:t xml:space="preserve">he </w:t>
      </w:r>
      <w:r w:rsidR="00CD3B42" w:rsidRPr="009D7B9C">
        <w:rPr>
          <w:rFonts w:cs="Times New Roman"/>
          <w:szCs w:val="24"/>
        </w:rPr>
        <w:t>lower</w:t>
      </w:r>
      <w:r w:rsidR="00116C4A" w:rsidRPr="009D7B9C">
        <w:rPr>
          <w:rFonts w:cs="Times New Roman"/>
          <w:szCs w:val="24"/>
        </w:rPr>
        <w:t xml:space="preserve"> the amount of funds </w:t>
      </w:r>
      <w:r w:rsidR="00CD3B42" w:rsidRPr="009D7B9C">
        <w:rPr>
          <w:rFonts w:cs="Times New Roman"/>
          <w:szCs w:val="24"/>
        </w:rPr>
        <w:t xml:space="preserve">acquired, </w:t>
      </w:r>
      <w:r w:rsidR="00116C4A" w:rsidRPr="009D7B9C">
        <w:rPr>
          <w:rFonts w:cs="Times New Roman"/>
          <w:szCs w:val="24"/>
        </w:rPr>
        <w:t xml:space="preserve">the less likely it is that the offender still possesses </w:t>
      </w:r>
      <w:r w:rsidR="00835277" w:rsidRPr="009D7B9C">
        <w:rPr>
          <w:rFonts w:cs="Times New Roman"/>
          <w:szCs w:val="24"/>
        </w:rPr>
        <w:t>much or all of</w:t>
      </w:r>
      <w:r w:rsidR="004549E3" w:rsidRPr="009D7B9C">
        <w:rPr>
          <w:rFonts w:cs="Times New Roman"/>
          <w:szCs w:val="24"/>
        </w:rPr>
        <w:t xml:space="preserve"> the funds.  </w:t>
      </w:r>
      <w:r w:rsidR="00835277" w:rsidRPr="009D7B9C">
        <w:rPr>
          <w:rFonts w:cs="Times New Roman"/>
          <w:szCs w:val="24"/>
        </w:rPr>
        <w:t>A</w:t>
      </w:r>
      <w:r w:rsidR="00116C4A" w:rsidRPr="009D7B9C">
        <w:rPr>
          <w:rFonts w:cs="Times New Roman"/>
          <w:szCs w:val="24"/>
        </w:rPr>
        <w:t xml:space="preserve"> small sum is more likely </w:t>
      </w:r>
      <w:r w:rsidR="00B5134C" w:rsidRPr="009D7B9C">
        <w:rPr>
          <w:rFonts w:cs="Times New Roman"/>
          <w:szCs w:val="24"/>
        </w:rPr>
        <w:t>than a large sum to be gone in its entirety</w:t>
      </w:r>
      <w:r w:rsidR="006A5A0B" w:rsidRPr="009D7B9C">
        <w:rPr>
          <w:rFonts w:cs="Times New Roman"/>
          <w:szCs w:val="24"/>
        </w:rPr>
        <w:t>.</w:t>
      </w:r>
    </w:p>
    <w:p w:rsidR="00116C4A" w:rsidRPr="009D7B9C" w:rsidRDefault="000C5B54" w:rsidP="002646EC">
      <w:pPr>
        <w:pStyle w:val="ParaNoNdepar-AltN"/>
        <w:rPr>
          <w:rFonts w:cs="Times New Roman"/>
          <w:szCs w:val="24"/>
        </w:rPr>
      </w:pPr>
      <w:r w:rsidRPr="009D7B9C">
        <w:rPr>
          <w:rFonts w:cs="Times New Roman"/>
          <w:szCs w:val="24"/>
        </w:rPr>
        <w:t>Sentencing courts must retain their accepted measure of discretion</w:t>
      </w:r>
      <w:r w:rsidR="00BF3AEA" w:rsidRPr="009D7B9C">
        <w:rPr>
          <w:rFonts w:cs="Times New Roman"/>
          <w:szCs w:val="24"/>
        </w:rPr>
        <w:t xml:space="preserve"> </w:t>
      </w:r>
      <w:r w:rsidRPr="009D7B9C">
        <w:rPr>
          <w:rFonts w:cs="Times New Roman"/>
          <w:szCs w:val="24"/>
        </w:rPr>
        <w:t xml:space="preserve">in determining how much </w:t>
      </w:r>
      <w:r w:rsidR="00BF3AEA" w:rsidRPr="009D7B9C">
        <w:rPr>
          <w:rFonts w:cs="Times New Roman"/>
          <w:szCs w:val="24"/>
        </w:rPr>
        <w:t xml:space="preserve">weight </w:t>
      </w:r>
      <w:r w:rsidRPr="009D7B9C">
        <w:rPr>
          <w:rFonts w:cs="Times New Roman"/>
          <w:szCs w:val="24"/>
        </w:rPr>
        <w:t xml:space="preserve">they should assign to </w:t>
      </w:r>
      <w:r w:rsidR="005E22DB" w:rsidRPr="009D7B9C">
        <w:rPr>
          <w:rFonts w:cs="Times New Roman"/>
          <w:szCs w:val="24"/>
        </w:rPr>
        <w:t xml:space="preserve">proof of past possession, bearing in mind the variables I have mentioned and </w:t>
      </w:r>
      <w:r w:rsidR="00BF3AEA" w:rsidRPr="009D7B9C">
        <w:rPr>
          <w:rFonts w:cs="Times New Roman"/>
          <w:szCs w:val="24"/>
        </w:rPr>
        <w:t>other factors</w:t>
      </w:r>
      <w:r w:rsidR="005E22DB" w:rsidRPr="009D7B9C">
        <w:rPr>
          <w:rFonts w:cs="Times New Roman"/>
          <w:szCs w:val="24"/>
        </w:rPr>
        <w:t xml:space="preserve"> </w:t>
      </w:r>
      <w:r w:rsidRPr="009D7B9C">
        <w:rPr>
          <w:rFonts w:cs="Times New Roman"/>
          <w:szCs w:val="24"/>
        </w:rPr>
        <w:t xml:space="preserve">they find </w:t>
      </w:r>
      <w:r w:rsidR="00BF3AEA" w:rsidRPr="009D7B9C">
        <w:rPr>
          <w:rFonts w:cs="Times New Roman"/>
          <w:szCs w:val="24"/>
        </w:rPr>
        <w:t>relevant</w:t>
      </w:r>
      <w:r w:rsidR="005E22DB" w:rsidRPr="009D7B9C">
        <w:rPr>
          <w:rFonts w:cs="Times New Roman"/>
          <w:szCs w:val="24"/>
        </w:rPr>
        <w:t xml:space="preserve"> </w:t>
      </w:r>
      <w:r w:rsidRPr="009D7B9C">
        <w:rPr>
          <w:rFonts w:cs="Times New Roman"/>
          <w:szCs w:val="24"/>
        </w:rPr>
        <w:t xml:space="preserve">in the particular circumstances of the case. </w:t>
      </w:r>
      <w:r w:rsidR="00A94BF2" w:rsidRPr="009D7B9C">
        <w:rPr>
          <w:rFonts w:cs="Times New Roman"/>
          <w:szCs w:val="24"/>
        </w:rPr>
        <w:t>For example, w</w:t>
      </w:r>
      <w:r w:rsidR="005E22DB" w:rsidRPr="009D7B9C">
        <w:rPr>
          <w:rFonts w:cs="Times New Roman"/>
          <w:szCs w:val="24"/>
        </w:rPr>
        <w:t xml:space="preserve">here much </w:t>
      </w:r>
      <w:r w:rsidR="00116C4A" w:rsidRPr="009D7B9C">
        <w:rPr>
          <w:rFonts w:cs="Times New Roman"/>
          <w:szCs w:val="24"/>
        </w:rPr>
        <w:t xml:space="preserve">time has passed and </w:t>
      </w:r>
      <w:r w:rsidR="005E22DB" w:rsidRPr="009D7B9C">
        <w:rPr>
          <w:rFonts w:cs="Times New Roman"/>
          <w:szCs w:val="24"/>
        </w:rPr>
        <w:t>little money was stolen</w:t>
      </w:r>
      <w:r w:rsidR="00116C4A" w:rsidRPr="009D7B9C">
        <w:rPr>
          <w:rFonts w:cs="Times New Roman"/>
          <w:szCs w:val="24"/>
        </w:rPr>
        <w:t xml:space="preserve">, </w:t>
      </w:r>
      <w:r w:rsidR="005E22DB" w:rsidRPr="009D7B9C">
        <w:rPr>
          <w:rFonts w:cs="Times New Roman"/>
          <w:szCs w:val="24"/>
        </w:rPr>
        <w:t xml:space="preserve">past possession alone </w:t>
      </w:r>
      <w:r w:rsidRPr="009D7B9C">
        <w:rPr>
          <w:rFonts w:cs="Times New Roman"/>
          <w:szCs w:val="24"/>
        </w:rPr>
        <w:t xml:space="preserve">may not </w:t>
      </w:r>
      <w:r w:rsidR="00116C4A" w:rsidRPr="009D7B9C">
        <w:rPr>
          <w:rFonts w:cs="Times New Roman"/>
          <w:szCs w:val="24"/>
        </w:rPr>
        <w:t xml:space="preserve">satisfy the </w:t>
      </w:r>
      <w:r w:rsidR="00A94BF2" w:rsidRPr="009D7B9C">
        <w:rPr>
          <w:rFonts w:cs="Times New Roman"/>
          <w:szCs w:val="24"/>
        </w:rPr>
        <w:t>court</w:t>
      </w:r>
      <w:r w:rsidR="00116C4A" w:rsidRPr="009D7B9C">
        <w:rPr>
          <w:rFonts w:cs="Times New Roman"/>
          <w:szCs w:val="24"/>
        </w:rPr>
        <w:t xml:space="preserve"> </w:t>
      </w:r>
      <w:r w:rsidR="002646EC" w:rsidRPr="009D7B9C">
        <w:rPr>
          <w:rFonts w:cs="Times New Roman"/>
          <w:szCs w:val="24"/>
        </w:rPr>
        <w:t>―</w:t>
      </w:r>
      <w:r w:rsidR="00A94BF2" w:rsidRPr="009D7B9C">
        <w:rPr>
          <w:rFonts w:cs="Times New Roman"/>
          <w:szCs w:val="24"/>
        </w:rPr>
        <w:t xml:space="preserve"> even in the absence of an explanation by the offender </w:t>
      </w:r>
      <w:r w:rsidR="002646EC" w:rsidRPr="009D7B9C">
        <w:rPr>
          <w:rFonts w:cs="Times New Roman"/>
          <w:szCs w:val="24"/>
        </w:rPr>
        <w:t>―</w:t>
      </w:r>
      <w:r w:rsidR="00A94BF2" w:rsidRPr="009D7B9C">
        <w:rPr>
          <w:rFonts w:cs="Times New Roman"/>
          <w:szCs w:val="24"/>
        </w:rPr>
        <w:t xml:space="preserve"> </w:t>
      </w:r>
      <w:r w:rsidR="00116C4A" w:rsidRPr="009D7B9C">
        <w:rPr>
          <w:rFonts w:cs="Times New Roman"/>
          <w:szCs w:val="24"/>
        </w:rPr>
        <w:t xml:space="preserve">that the offender </w:t>
      </w:r>
      <w:r w:rsidR="00A94BF2" w:rsidRPr="009D7B9C">
        <w:rPr>
          <w:rFonts w:cs="Times New Roman"/>
          <w:szCs w:val="24"/>
        </w:rPr>
        <w:t xml:space="preserve">can </w:t>
      </w:r>
      <w:r w:rsidRPr="009D7B9C">
        <w:rPr>
          <w:rFonts w:cs="Times New Roman"/>
          <w:szCs w:val="24"/>
        </w:rPr>
        <w:t>still</w:t>
      </w:r>
      <w:r w:rsidR="00116C4A" w:rsidRPr="009D7B9C">
        <w:rPr>
          <w:rFonts w:cs="Times New Roman"/>
          <w:szCs w:val="24"/>
        </w:rPr>
        <w:t xml:space="preserve"> </w:t>
      </w:r>
      <w:r w:rsidR="00A94BF2" w:rsidRPr="009D7B9C">
        <w:rPr>
          <w:rFonts w:cs="Times New Roman"/>
          <w:szCs w:val="24"/>
        </w:rPr>
        <w:t>pay the fine</w:t>
      </w:r>
      <w:r w:rsidR="00116C4A" w:rsidRPr="009D7B9C">
        <w:rPr>
          <w:rFonts w:cs="Times New Roman"/>
          <w:szCs w:val="24"/>
        </w:rPr>
        <w:t>.</w:t>
      </w:r>
      <w:r w:rsidR="004C1AAF" w:rsidRPr="009D7B9C">
        <w:rPr>
          <w:rFonts w:cs="Times New Roman"/>
          <w:szCs w:val="24"/>
        </w:rPr>
        <w:t xml:space="preserve">  </w:t>
      </w:r>
      <w:r w:rsidR="00E56343" w:rsidRPr="009D7B9C">
        <w:rPr>
          <w:rFonts w:cs="Times New Roman"/>
          <w:szCs w:val="24"/>
        </w:rPr>
        <w:t xml:space="preserve">On the other hand, recent possession of a large sum will generally suffice, in the absence of a credible explanation, to satisfy the court that the offender still controls a significant chunk of the stash. </w:t>
      </w:r>
      <w:r w:rsidR="004C1AAF" w:rsidRPr="009D7B9C">
        <w:rPr>
          <w:rFonts w:cs="Times New Roman"/>
          <w:szCs w:val="24"/>
        </w:rPr>
        <w:t xml:space="preserve">In </w:t>
      </w:r>
      <w:r w:rsidR="00E56343" w:rsidRPr="009D7B9C">
        <w:rPr>
          <w:rFonts w:cs="Times New Roman"/>
          <w:szCs w:val="24"/>
        </w:rPr>
        <w:t xml:space="preserve">both cases, </w:t>
      </w:r>
      <w:r w:rsidR="004C1AAF" w:rsidRPr="009D7B9C">
        <w:rPr>
          <w:rFonts w:cs="Times New Roman"/>
          <w:szCs w:val="24"/>
        </w:rPr>
        <w:t xml:space="preserve">the past </w:t>
      </w:r>
      <w:r w:rsidR="00A94BF2" w:rsidRPr="009D7B9C">
        <w:rPr>
          <w:rFonts w:cs="Times New Roman"/>
          <w:szCs w:val="24"/>
        </w:rPr>
        <w:t>acquisition</w:t>
      </w:r>
      <w:r w:rsidR="004C1AAF" w:rsidRPr="009D7B9C">
        <w:rPr>
          <w:rFonts w:cs="Times New Roman"/>
          <w:szCs w:val="24"/>
        </w:rPr>
        <w:t xml:space="preserve"> of fraudulently</w:t>
      </w:r>
      <w:r w:rsidR="009A1988" w:rsidRPr="009D7B9C">
        <w:rPr>
          <w:rFonts w:cs="Times New Roman"/>
          <w:szCs w:val="24"/>
        </w:rPr>
        <w:t xml:space="preserve"> </w:t>
      </w:r>
      <w:r w:rsidR="004C1AAF" w:rsidRPr="009D7B9C">
        <w:rPr>
          <w:rFonts w:cs="Times New Roman"/>
          <w:szCs w:val="24"/>
        </w:rPr>
        <w:t xml:space="preserve">obtained funds </w:t>
      </w:r>
      <w:r w:rsidR="00E56343" w:rsidRPr="009D7B9C">
        <w:rPr>
          <w:rFonts w:cs="Times New Roman"/>
          <w:szCs w:val="24"/>
        </w:rPr>
        <w:t xml:space="preserve">will have the same probative effect as </w:t>
      </w:r>
      <w:r w:rsidR="004C1AAF" w:rsidRPr="009D7B9C">
        <w:rPr>
          <w:rFonts w:cs="Times New Roman"/>
          <w:szCs w:val="24"/>
        </w:rPr>
        <w:t xml:space="preserve">past </w:t>
      </w:r>
      <w:r w:rsidR="00A94BF2" w:rsidRPr="009D7B9C">
        <w:rPr>
          <w:rFonts w:cs="Times New Roman"/>
          <w:szCs w:val="24"/>
        </w:rPr>
        <w:t>possession of legally acquired assets</w:t>
      </w:r>
      <w:r w:rsidR="006A5A0B" w:rsidRPr="009D7B9C">
        <w:rPr>
          <w:rFonts w:cs="Times New Roman"/>
          <w:szCs w:val="24"/>
        </w:rPr>
        <w:t>.</w:t>
      </w:r>
    </w:p>
    <w:p w:rsidR="005E6F34" w:rsidRPr="009D7B9C" w:rsidRDefault="00A2275C" w:rsidP="002646EC">
      <w:pPr>
        <w:pStyle w:val="ParaNoNdepar-AltN"/>
        <w:rPr>
          <w:rFonts w:cs="Times New Roman"/>
          <w:szCs w:val="24"/>
        </w:rPr>
      </w:pPr>
      <w:r w:rsidRPr="009D7B9C">
        <w:rPr>
          <w:rFonts w:cs="Times New Roman"/>
          <w:szCs w:val="24"/>
        </w:rPr>
        <w:t>Second</w:t>
      </w:r>
      <w:r w:rsidR="00055DEF" w:rsidRPr="009D7B9C">
        <w:rPr>
          <w:rFonts w:cs="Times New Roman"/>
          <w:szCs w:val="24"/>
        </w:rPr>
        <w:t>,</w:t>
      </w:r>
      <w:r w:rsidR="00123D30" w:rsidRPr="009D7B9C">
        <w:rPr>
          <w:rFonts w:cs="Times New Roman"/>
          <w:szCs w:val="24"/>
        </w:rPr>
        <w:t xml:space="preserve"> </w:t>
      </w:r>
      <w:r w:rsidR="001D6105" w:rsidRPr="009D7B9C">
        <w:rPr>
          <w:rFonts w:cs="Times New Roman"/>
          <w:szCs w:val="24"/>
        </w:rPr>
        <w:t>the</w:t>
      </w:r>
      <w:r w:rsidR="00DE50F4" w:rsidRPr="009D7B9C">
        <w:rPr>
          <w:rFonts w:cs="Times New Roman"/>
          <w:szCs w:val="24"/>
        </w:rPr>
        <w:t xml:space="preserve"> </w:t>
      </w:r>
      <w:r w:rsidR="00465647" w:rsidRPr="009D7B9C">
        <w:rPr>
          <w:rFonts w:cs="Times New Roman"/>
          <w:szCs w:val="24"/>
        </w:rPr>
        <w:t>text of s. 734(2)</w:t>
      </w:r>
      <w:r w:rsidR="00055DEF" w:rsidRPr="009D7B9C">
        <w:rPr>
          <w:rFonts w:cs="Times New Roman"/>
          <w:szCs w:val="24"/>
        </w:rPr>
        <w:t xml:space="preserve"> </w:t>
      </w:r>
      <w:r w:rsidR="00465647" w:rsidRPr="009D7B9C">
        <w:rPr>
          <w:rFonts w:cs="Times New Roman"/>
          <w:szCs w:val="24"/>
        </w:rPr>
        <w:t xml:space="preserve">and the legislative intention to avoid the incarceration of offenders who are truly unable to pay their fines </w:t>
      </w:r>
      <w:r w:rsidR="00055DEF" w:rsidRPr="009D7B9C">
        <w:rPr>
          <w:rFonts w:cs="Times New Roman"/>
          <w:szCs w:val="24"/>
        </w:rPr>
        <w:t xml:space="preserve">support the </w:t>
      </w:r>
      <w:r w:rsidR="00055DEF" w:rsidRPr="009D7B9C">
        <w:rPr>
          <w:rFonts w:cs="Times New Roman"/>
          <w:szCs w:val="24"/>
        </w:rPr>
        <w:lastRenderedPageBreak/>
        <w:t xml:space="preserve">conclusion that proof of past receipt is not always conclusive of </w:t>
      </w:r>
      <w:r w:rsidR="009A1988" w:rsidRPr="009D7B9C">
        <w:rPr>
          <w:rFonts w:cs="Times New Roman"/>
          <w:szCs w:val="24"/>
        </w:rPr>
        <w:t xml:space="preserve">a </w:t>
      </w:r>
      <w:r w:rsidR="00055DEF" w:rsidRPr="009D7B9C">
        <w:rPr>
          <w:rFonts w:cs="Times New Roman"/>
          <w:szCs w:val="24"/>
        </w:rPr>
        <w:t>present ability to pay</w:t>
      </w:r>
      <w:r w:rsidR="00773FDA" w:rsidRPr="009D7B9C">
        <w:rPr>
          <w:rFonts w:cs="Times New Roman"/>
          <w:szCs w:val="24"/>
        </w:rPr>
        <w:t>.</w:t>
      </w:r>
      <w:r w:rsidR="00DE50F4" w:rsidRPr="009D7B9C" w:rsidDel="00A224DD">
        <w:rPr>
          <w:rFonts w:cs="Times New Roman"/>
          <w:szCs w:val="24"/>
        </w:rPr>
        <w:t xml:space="preserve"> </w:t>
      </w:r>
      <w:r w:rsidR="005E6F34" w:rsidRPr="009D7B9C">
        <w:rPr>
          <w:rFonts w:cs="Times New Roman"/>
          <w:szCs w:val="24"/>
        </w:rPr>
        <w:t>Under s. 734</w:t>
      </w:r>
      <w:r w:rsidR="0021716E" w:rsidRPr="009D7B9C">
        <w:rPr>
          <w:rFonts w:cs="Times New Roman"/>
          <w:szCs w:val="24"/>
        </w:rPr>
        <w:t>(5)</w:t>
      </w:r>
      <w:r w:rsidR="005E6F34" w:rsidRPr="009D7B9C">
        <w:rPr>
          <w:rFonts w:cs="Times New Roman"/>
          <w:szCs w:val="24"/>
        </w:rPr>
        <w:t xml:space="preserve">, Mr. </w:t>
      </w:r>
      <w:proofErr w:type="spellStart"/>
      <w:r w:rsidR="005E6F34" w:rsidRPr="009D7B9C">
        <w:rPr>
          <w:rFonts w:cs="Times New Roman"/>
          <w:szCs w:val="24"/>
        </w:rPr>
        <w:t>Topp</w:t>
      </w:r>
      <w:proofErr w:type="spellEnd"/>
      <w:r w:rsidR="005E6F34" w:rsidRPr="009D7B9C">
        <w:rPr>
          <w:rFonts w:cs="Times New Roman"/>
          <w:szCs w:val="24"/>
        </w:rPr>
        <w:t xml:space="preserve"> would receive a </w:t>
      </w:r>
      <w:r w:rsidR="0055748C" w:rsidRPr="009D7B9C">
        <w:rPr>
          <w:rFonts w:cs="Times New Roman"/>
          <w:szCs w:val="24"/>
        </w:rPr>
        <w:t>substantial</w:t>
      </w:r>
      <w:r w:rsidR="0021716E" w:rsidRPr="009D7B9C">
        <w:rPr>
          <w:rFonts w:cs="Times New Roman"/>
          <w:szCs w:val="24"/>
        </w:rPr>
        <w:t xml:space="preserve"> prison</w:t>
      </w:r>
      <w:r w:rsidR="005E6F34" w:rsidRPr="009D7B9C">
        <w:rPr>
          <w:rFonts w:cs="Times New Roman"/>
          <w:szCs w:val="24"/>
        </w:rPr>
        <w:t xml:space="preserve"> </w:t>
      </w:r>
      <w:r w:rsidR="0021716E" w:rsidRPr="009D7B9C">
        <w:rPr>
          <w:rFonts w:cs="Times New Roman"/>
          <w:szCs w:val="24"/>
        </w:rPr>
        <w:t xml:space="preserve">term </w:t>
      </w:r>
      <w:r w:rsidR="005E6F34" w:rsidRPr="009D7B9C">
        <w:rPr>
          <w:rFonts w:cs="Times New Roman"/>
          <w:szCs w:val="24"/>
        </w:rPr>
        <w:t xml:space="preserve">if he </w:t>
      </w:r>
      <w:r w:rsidR="0055748C" w:rsidRPr="009D7B9C">
        <w:rPr>
          <w:rFonts w:cs="Times New Roman"/>
          <w:szCs w:val="24"/>
        </w:rPr>
        <w:t>defaulted on the</w:t>
      </w:r>
      <w:r w:rsidR="00E71005" w:rsidRPr="009D7B9C">
        <w:rPr>
          <w:rFonts w:cs="Times New Roman"/>
          <w:szCs w:val="24"/>
        </w:rPr>
        <w:t xml:space="preserve"> $4.7 million fine and was unable to show at the time of default that he no longer possessed the fraudulently obtained funds.</w:t>
      </w:r>
      <w:r w:rsidR="009F58F3" w:rsidRPr="009D7B9C">
        <w:rPr>
          <w:rFonts w:cs="Times New Roman"/>
          <w:szCs w:val="24"/>
        </w:rPr>
        <w:t xml:space="preserve"> </w:t>
      </w:r>
      <w:r w:rsidR="0087708D" w:rsidRPr="009D7B9C">
        <w:rPr>
          <w:rFonts w:cs="Times New Roman"/>
          <w:szCs w:val="24"/>
        </w:rPr>
        <w:t xml:space="preserve"> It seems to me more consistent with the text and purpose of s. 734(2) to </w:t>
      </w:r>
      <w:r w:rsidR="00F20C72" w:rsidRPr="009D7B9C">
        <w:rPr>
          <w:rFonts w:cs="Times New Roman"/>
          <w:szCs w:val="24"/>
        </w:rPr>
        <w:t>permit</w:t>
      </w:r>
      <w:r w:rsidR="0087708D" w:rsidRPr="009D7B9C">
        <w:rPr>
          <w:rFonts w:cs="Times New Roman"/>
          <w:szCs w:val="24"/>
        </w:rPr>
        <w:t xml:space="preserve"> </w:t>
      </w:r>
      <w:r w:rsidR="0071488B" w:rsidRPr="009D7B9C">
        <w:rPr>
          <w:rFonts w:cs="Times New Roman"/>
          <w:szCs w:val="24"/>
        </w:rPr>
        <w:t>t</w:t>
      </w:r>
      <w:r w:rsidR="00DE50F4" w:rsidRPr="009D7B9C">
        <w:rPr>
          <w:rFonts w:cs="Times New Roman"/>
          <w:szCs w:val="24"/>
        </w:rPr>
        <w:t>rial courts</w:t>
      </w:r>
      <w:r w:rsidR="0087708D" w:rsidRPr="009D7B9C">
        <w:rPr>
          <w:rFonts w:cs="Times New Roman"/>
          <w:szCs w:val="24"/>
        </w:rPr>
        <w:t xml:space="preserve"> </w:t>
      </w:r>
      <w:r w:rsidR="0071488B" w:rsidRPr="009D7B9C">
        <w:rPr>
          <w:rFonts w:cs="Times New Roman"/>
          <w:szCs w:val="24"/>
        </w:rPr>
        <w:t xml:space="preserve">to </w:t>
      </w:r>
      <w:r w:rsidR="00F20C72" w:rsidRPr="009D7B9C">
        <w:rPr>
          <w:rFonts w:cs="Times New Roman"/>
          <w:szCs w:val="24"/>
        </w:rPr>
        <w:t xml:space="preserve">discharge their duty under that remedial provision </w:t>
      </w:r>
      <w:r w:rsidR="006860CB" w:rsidRPr="009D7B9C">
        <w:rPr>
          <w:rFonts w:cs="Times New Roman"/>
          <w:szCs w:val="24"/>
        </w:rPr>
        <w:t>judicially</w:t>
      </w:r>
      <w:r w:rsidR="009D69F3" w:rsidRPr="009D7B9C">
        <w:rPr>
          <w:rFonts w:cs="Times New Roman"/>
          <w:szCs w:val="24"/>
        </w:rPr>
        <w:t>.  And this they cannot do without</w:t>
      </w:r>
      <w:r w:rsidR="00F20C72" w:rsidRPr="009D7B9C">
        <w:rPr>
          <w:rFonts w:cs="Times New Roman"/>
          <w:szCs w:val="24"/>
        </w:rPr>
        <w:t xml:space="preserve"> </w:t>
      </w:r>
      <w:r w:rsidR="0071488B" w:rsidRPr="009D7B9C">
        <w:rPr>
          <w:rFonts w:cs="Times New Roman"/>
          <w:szCs w:val="24"/>
        </w:rPr>
        <w:t>determin</w:t>
      </w:r>
      <w:r w:rsidR="00F20C72" w:rsidRPr="009D7B9C">
        <w:rPr>
          <w:rFonts w:cs="Times New Roman"/>
          <w:szCs w:val="24"/>
        </w:rPr>
        <w:t>ing</w:t>
      </w:r>
      <w:r w:rsidR="0071488B" w:rsidRPr="009D7B9C">
        <w:rPr>
          <w:rFonts w:cs="Times New Roman"/>
          <w:szCs w:val="24"/>
        </w:rPr>
        <w:t xml:space="preserve"> for themselves whether they </w:t>
      </w:r>
      <w:r w:rsidR="0087708D" w:rsidRPr="009D7B9C">
        <w:rPr>
          <w:rFonts w:cs="Times New Roman"/>
          <w:szCs w:val="24"/>
        </w:rPr>
        <w:t>are satisfied</w:t>
      </w:r>
      <w:r w:rsidR="006860CB" w:rsidRPr="009D7B9C">
        <w:rPr>
          <w:rFonts w:cs="Times New Roman"/>
          <w:szCs w:val="24"/>
        </w:rPr>
        <w:t xml:space="preserve">, in light of all the circumstances and the materials placed before them, </w:t>
      </w:r>
      <w:r w:rsidR="009D69F3" w:rsidRPr="009D7B9C">
        <w:rPr>
          <w:rFonts w:cs="Times New Roman"/>
          <w:szCs w:val="24"/>
        </w:rPr>
        <w:t>that the offender is able to pay a fine</w:t>
      </w:r>
      <w:r w:rsidR="006A5A0B" w:rsidRPr="009D7B9C">
        <w:rPr>
          <w:rFonts w:cs="Times New Roman"/>
          <w:szCs w:val="24"/>
        </w:rPr>
        <w:t>.</w:t>
      </w:r>
    </w:p>
    <w:p w:rsidR="00E71005" w:rsidRPr="009D7B9C" w:rsidRDefault="005E6F34" w:rsidP="002646EC">
      <w:pPr>
        <w:pStyle w:val="ParaNoNdepar-AltN"/>
        <w:rPr>
          <w:rFonts w:cs="Times New Roman"/>
          <w:szCs w:val="24"/>
        </w:rPr>
      </w:pPr>
      <w:r w:rsidRPr="009D7B9C">
        <w:rPr>
          <w:rFonts w:cs="Times New Roman"/>
          <w:szCs w:val="24"/>
        </w:rPr>
        <w:t xml:space="preserve">The Crown </w:t>
      </w:r>
      <w:r w:rsidR="009D69F3" w:rsidRPr="009D7B9C">
        <w:rPr>
          <w:rFonts w:cs="Times New Roman"/>
          <w:szCs w:val="24"/>
        </w:rPr>
        <w:t>submits</w:t>
      </w:r>
      <w:r w:rsidR="00DE50F4" w:rsidRPr="009D7B9C">
        <w:rPr>
          <w:rFonts w:cs="Times New Roman"/>
          <w:szCs w:val="24"/>
        </w:rPr>
        <w:t xml:space="preserve"> </w:t>
      </w:r>
      <w:r w:rsidR="00E71005" w:rsidRPr="009D7B9C">
        <w:rPr>
          <w:rFonts w:cs="Times New Roman"/>
          <w:szCs w:val="24"/>
        </w:rPr>
        <w:t>that the offender</w:t>
      </w:r>
      <w:r w:rsidR="00513D5C" w:rsidRPr="009D7B9C">
        <w:rPr>
          <w:rFonts w:cs="Times New Roman"/>
          <w:szCs w:val="24"/>
        </w:rPr>
        <w:t xml:space="preserve"> bear</w:t>
      </w:r>
      <w:r w:rsidR="00C3748F" w:rsidRPr="009D7B9C">
        <w:rPr>
          <w:rFonts w:cs="Times New Roman"/>
          <w:szCs w:val="24"/>
        </w:rPr>
        <w:t>s</w:t>
      </w:r>
      <w:r w:rsidR="00513D5C" w:rsidRPr="009D7B9C">
        <w:rPr>
          <w:rFonts w:cs="Times New Roman"/>
          <w:szCs w:val="24"/>
        </w:rPr>
        <w:t xml:space="preserve"> an onus </w:t>
      </w:r>
      <w:r w:rsidR="00C3748F" w:rsidRPr="009D7B9C">
        <w:rPr>
          <w:rFonts w:cs="Times New Roman"/>
          <w:szCs w:val="24"/>
        </w:rPr>
        <w:t xml:space="preserve">to </w:t>
      </w:r>
      <w:r w:rsidR="00513D5C" w:rsidRPr="009D7B9C">
        <w:rPr>
          <w:rFonts w:cs="Times New Roman"/>
          <w:szCs w:val="24"/>
        </w:rPr>
        <w:t>explain what happened to the funds</w:t>
      </w:r>
      <w:r w:rsidR="00E71005" w:rsidRPr="009D7B9C">
        <w:rPr>
          <w:rFonts w:cs="Times New Roman"/>
          <w:szCs w:val="24"/>
        </w:rPr>
        <w:t xml:space="preserve"> because </w:t>
      </w:r>
      <w:r w:rsidR="000C230A" w:rsidRPr="009D7B9C">
        <w:rPr>
          <w:rFonts w:cs="Times New Roman"/>
          <w:szCs w:val="24"/>
        </w:rPr>
        <w:t>the offender</w:t>
      </w:r>
      <w:r w:rsidR="004E00C5" w:rsidRPr="009D7B9C">
        <w:rPr>
          <w:rFonts w:cs="Times New Roman"/>
          <w:szCs w:val="24"/>
        </w:rPr>
        <w:t xml:space="preserve"> </w:t>
      </w:r>
      <w:r w:rsidR="0041755C" w:rsidRPr="009D7B9C">
        <w:rPr>
          <w:rFonts w:cs="Times New Roman"/>
          <w:szCs w:val="24"/>
        </w:rPr>
        <w:t xml:space="preserve">is in a better position to </w:t>
      </w:r>
      <w:r w:rsidR="000C230A" w:rsidRPr="009D7B9C">
        <w:rPr>
          <w:rFonts w:cs="Times New Roman"/>
          <w:szCs w:val="24"/>
        </w:rPr>
        <w:t xml:space="preserve">obtain and </w:t>
      </w:r>
      <w:r w:rsidR="00886A7A" w:rsidRPr="009D7B9C">
        <w:rPr>
          <w:rFonts w:cs="Times New Roman"/>
          <w:szCs w:val="24"/>
        </w:rPr>
        <w:t>adduce</w:t>
      </w:r>
      <w:r w:rsidR="000C230A" w:rsidRPr="009D7B9C">
        <w:rPr>
          <w:rFonts w:cs="Times New Roman"/>
          <w:szCs w:val="24"/>
        </w:rPr>
        <w:t xml:space="preserve"> </w:t>
      </w:r>
      <w:r w:rsidR="007D1D75" w:rsidRPr="009D7B9C">
        <w:rPr>
          <w:rFonts w:cs="Times New Roman"/>
          <w:szCs w:val="24"/>
        </w:rPr>
        <w:t xml:space="preserve">relevant </w:t>
      </w:r>
      <w:r w:rsidR="000C230A" w:rsidRPr="009D7B9C">
        <w:rPr>
          <w:rFonts w:cs="Times New Roman"/>
          <w:szCs w:val="24"/>
        </w:rPr>
        <w:t>evidence</w:t>
      </w:r>
      <w:r w:rsidR="004E00C5" w:rsidRPr="009D7B9C">
        <w:rPr>
          <w:rFonts w:cs="Times New Roman"/>
          <w:szCs w:val="24"/>
        </w:rPr>
        <w:t xml:space="preserve"> than the Crown</w:t>
      </w:r>
      <w:r w:rsidR="00E71005" w:rsidRPr="009D7B9C">
        <w:rPr>
          <w:rFonts w:cs="Times New Roman"/>
          <w:szCs w:val="24"/>
        </w:rPr>
        <w:t xml:space="preserve">. </w:t>
      </w:r>
      <w:r w:rsidR="00513D5C" w:rsidRPr="009D7B9C">
        <w:rPr>
          <w:rFonts w:cs="Times New Roman"/>
          <w:szCs w:val="24"/>
        </w:rPr>
        <w:t>I</w:t>
      </w:r>
      <w:r w:rsidR="00E71005" w:rsidRPr="009D7B9C">
        <w:rPr>
          <w:rFonts w:cs="Times New Roman"/>
          <w:szCs w:val="24"/>
        </w:rPr>
        <w:t>t is often impossible for the Crown to trace the proceeds of crime.  In the present case, for example, the Crown lost track of the fraudulently</w:t>
      </w:r>
      <w:r w:rsidR="006726E5" w:rsidRPr="009D7B9C">
        <w:rPr>
          <w:rFonts w:cs="Times New Roman"/>
          <w:szCs w:val="24"/>
        </w:rPr>
        <w:t xml:space="preserve"> </w:t>
      </w:r>
      <w:r w:rsidR="00E71005" w:rsidRPr="009D7B9C">
        <w:rPr>
          <w:rFonts w:cs="Times New Roman"/>
          <w:szCs w:val="24"/>
        </w:rPr>
        <w:t>obtained funds after tracing them</w:t>
      </w:r>
      <w:r w:rsidR="006A5A0B" w:rsidRPr="009D7B9C">
        <w:rPr>
          <w:rFonts w:cs="Times New Roman"/>
          <w:szCs w:val="24"/>
        </w:rPr>
        <w:t xml:space="preserve"> to a bank account in Antigua.</w:t>
      </w:r>
    </w:p>
    <w:p w:rsidR="00217737" w:rsidRPr="009D7B9C" w:rsidRDefault="009D69F3" w:rsidP="002646EC">
      <w:pPr>
        <w:pStyle w:val="ParaNoNdepar-AltN"/>
        <w:rPr>
          <w:rFonts w:cs="Times New Roman"/>
          <w:szCs w:val="24"/>
        </w:rPr>
      </w:pPr>
      <w:r w:rsidRPr="009D7B9C">
        <w:rPr>
          <w:rFonts w:cs="Times New Roman"/>
          <w:szCs w:val="24"/>
        </w:rPr>
        <w:t xml:space="preserve">This submission is attractive at first glance but </w:t>
      </w:r>
      <w:r w:rsidR="007D1D75" w:rsidRPr="009D7B9C">
        <w:rPr>
          <w:rFonts w:cs="Times New Roman"/>
          <w:szCs w:val="24"/>
        </w:rPr>
        <w:t xml:space="preserve">loses its appeal </w:t>
      </w:r>
      <w:r w:rsidR="006A5A0B" w:rsidRPr="009D7B9C">
        <w:rPr>
          <w:rFonts w:cs="Times New Roman"/>
          <w:szCs w:val="24"/>
        </w:rPr>
        <w:t>on closer scrutiny.</w:t>
      </w:r>
    </w:p>
    <w:p w:rsidR="004E00C5" w:rsidRPr="009D7B9C" w:rsidRDefault="00254DC8" w:rsidP="002646EC">
      <w:pPr>
        <w:pStyle w:val="ParaNoNdepar-AltN"/>
        <w:rPr>
          <w:rFonts w:cs="Times New Roman"/>
          <w:szCs w:val="24"/>
        </w:rPr>
      </w:pPr>
      <w:r w:rsidRPr="009D7B9C">
        <w:rPr>
          <w:rFonts w:cs="Times New Roman"/>
          <w:szCs w:val="24"/>
        </w:rPr>
        <w:t xml:space="preserve">First, </w:t>
      </w:r>
      <w:r w:rsidR="004E00C5" w:rsidRPr="009D7B9C">
        <w:rPr>
          <w:rFonts w:cs="Times New Roman"/>
          <w:szCs w:val="24"/>
        </w:rPr>
        <w:t xml:space="preserve">the Crown is not required to identify </w:t>
      </w:r>
      <w:r w:rsidR="009D69F3" w:rsidRPr="009D7B9C">
        <w:rPr>
          <w:rFonts w:cs="Times New Roman"/>
          <w:szCs w:val="24"/>
        </w:rPr>
        <w:t xml:space="preserve">or locate </w:t>
      </w:r>
      <w:r w:rsidR="004E00C5" w:rsidRPr="009D7B9C">
        <w:rPr>
          <w:rFonts w:cs="Times New Roman"/>
          <w:szCs w:val="24"/>
        </w:rPr>
        <w:t xml:space="preserve">the specific assets that the offender can use to pay the fine, though </w:t>
      </w:r>
      <w:r w:rsidR="00217737" w:rsidRPr="009D7B9C">
        <w:rPr>
          <w:rFonts w:cs="Times New Roman"/>
          <w:szCs w:val="24"/>
        </w:rPr>
        <w:t xml:space="preserve">direct </w:t>
      </w:r>
      <w:r w:rsidR="009D69F3" w:rsidRPr="009D7B9C">
        <w:rPr>
          <w:rFonts w:cs="Times New Roman"/>
          <w:szCs w:val="24"/>
        </w:rPr>
        <w:t xml:space="preserve">evidence of this </w:t>
      </w:r>
      <w:r w:rsidR="00217737" w:rsidRPr="009D7B9C">
        <w:rPr>
          <w:rFonts w:cs="Times New Roman"/>
          <w:szCs w:val="24"/>
        </w:rPr>
        <w:t>sort, when available to the Crown, is by its nature particularly persuasive.</w:t>
      </w:r>
      <w:r w:rsidR="004E00C5" w:rsidRPr="009D7B9C">
        <w:rPr>
          <w:rFonts w:cs="Times New Roman"/>
          <w:szCs w:val="24"/>
        </w:rPr>
        <w:t xml:space="preserve">  </w:t>
      </w:r>
      <w:r w:rsidR="00217737" w:rsidRPr="009D7B9C">
        <w:rPr>
          <w:rFonts w:cs="Times New Roman"/>
          <w:szCs w:val="24"/>
        </w:rPr>
        <w:t>In its absence, t</w:t>
      </w:r>
      <w:r w:rsidR="004E00C5" w:rsidRPr="009D7B9C">
        <w:rPr>
          <w:rFonts w:cs="Times New Roman"/>
          <w:szCs w:val="24"/>
        </w:rPr>
        <w:t xml:space="preserve">he </w:t>
      </w:r>
      <w:r w:rsidR="004E00C5" w:rsidRPr="009D7B9C">
        <w:rPr>
          <w:rFonts w:cs="Times New Roman"/>
          <w:szCs w:val="24"/>
        </w:rPr>
        <w:lastRenderedPageBreak/>
        <w:t xml:space="preserve">Crown </w:t>
      </w:r>
      <w:r w:rsidR="00217737" w:rsidRPr="009D7B9C">
        <w:rPr>
          <w:rFonts w:cs="Times New Roman"/>
          <w:szCs w:val="24"/>
        </w:rPr>
        <w:t>may instead rely on various types of indirect evidence</w:t>
      </w:r>
      <w:r w:rsidR="004E00C5" w:rsidRPr="009D7B9C">
        <w:rPr>
          <w:rFonts w:cs="Times New Roman"/>
          <w:szCs w:val="24"/>
        </w:rPr>
        <w:t xml:space="preserve"> to satisfy the </w:t>
      </w:r>
      <w:r w:rsidR="00FE697B" w:rsidRPr="009D7B9C">
        <w:rPr>
          <w:rFonts w:cs="Times New Roman"/>
          <w:szCs w:val="24"/>
        </w:rPr>
        <w:t>trial judge</w:t>
      </w:r>
      <w:r w:rsidR="004E00C5" w:rsidRPr="009D7B9C">
        <w:rPr>
          <w:rFonts w:cs="Times New Roman"/>
          <w:szCs w:val="24"/>
        </w:rPr>
        <w:t xml:space="preserve"> of the offender’s ability to pay</w:t>
      </w:r>
      <w:r w:rsidR="00217737" w:rsidRPr="009D7B9C">
        <w:rPr>
          <w:rFonts w:cs="Times New Roman"/>
          <w:szCs w:val="24"/>
        </w:rPr>
        <w:t xml:space="preserve"> </w:t>
      </w:r>
      <w:r w:rsidR="002646EC" w:rsidRPr="009D7B9C">
        <w:rPr>
          <w:rFonts w:cs="Times New Roman"/>
          <w:szCs w:val="24"/>
        </w:rPr>
        <w:t>―</w:t>
      </w:r>
      <w:r w:rsidR="00217737" w:rsidRPr="009D7B9C">
        <w:rPr>
          <w:rFonts w:cs="Times New Roman"/>
          <w:szCs w:val="24"/>
        </w:rPr>
        <w:t xml:space="preserve"> including evidence</w:t>
      </w:r>
      <w:r w:rsidR="004E00C5" w:rsidRPr="009D7B9C">
        <w:rPr>
          <w:rFonts w:cs="Times New Roman"/>
          <w:szCs w:val="24"/>
        </w:rPr>
        <w:t xml:space="preserve"> </w:t>
      </w:r>
      <w:r w:rsidR="00217737" w:rsidRPr="009D7B9C">
        <w:rPr>
          <w:rFonts w:cs="Times New Roman"/>
          <w:szCs w:val="24"/>
        </w:rPr>
        <w:t xml:space="preserve">that the offender had possession </w:t>
      </w:r>
      <w:r w:rsidR="004549E3" w:rsidRPr="009D7B9C">
        <w:rPr>
          <w:rFonts w:cs="Times New Roman"/>
          <w:szCs w:val="24"/>
        </w:rPr>
        <w:t xml:space="preserve">of </w:t>
      </w:r>
      <w:r w:rsidR="00217737" w:rsidRPr="009D7B9C">
        <w:rPr>
          <w:rFonts w:cs="Times New Roman"/>
          <w:szCs w:val="24"/>
        </w:rPr>
        <w:t>impugned funds</w:t>
      </w:r>
      <w:r w:rsidR="006A5A0B" w:rsidRPr="009D7B9C">
        <w:rPr>
          <w:rFonts w:cs="Times New Roman"/>
          <w:szCs w:val="24"/>
        </w:rPr>
        <w:t xml:space="preserve"> in the relatively recent past,</w:t>
      </w:r>
      <w:r w:rsidR="004E00C5" w:rsidRPr="009D7B9C">
        <w:rPr>
          <w:rFonts w:cs="Times New Roman"/>
          <w:szCs w:val="24"/>
        </w:rPr>
        <w:t xml:space="preserve"> evidence of a</w:t>
      </w:r>
      <w:r w:rsidR="00217737" w:rsidRPr="009D7B9C">
        <w:rPr>
          <w:rFonts w:cs="Times New Roman"/>
          <w:szCs w:val="24"/>
        </w:rPr>
        <w:t>n ongoing</w:t>
      </w:r>
      <w:r w:rsidR="004E00C5" w:rsidRPr="009D7B9C">
        <w:rPr>
          <w:rFonts w:cs="Times New Roman"/>
          <w:szCs w:val="24"/>
        </w:rPr>
        <w:t xml:space="preserve"> lavish lifestyle</w:t>
      </w:r>
      <w:r w:rsidR="004549E3" w:rsidRPr="009D7B9C">
        <w:rPr>
          <w:rFonts w:cs="Times New Roman"/>
          <w:szCs w:val="24"/>
        </w:rPr>
        <w:t xml:space="preserve">, </w:t>
      </w:r>
      <w:r w:rsidR="00217737" w:rsidRPr="009D7B9C">
        <w:rPr>
          <w:rFonts w:cs="Times New Roman"/>
          <w:szCs w:val="24"/>
        </w:rPr>
        <w:t>and</w:t>
      </w:r>
      <w:r w:rsidR="004549E3" w:rsidRPr="009D7B9C">
        <w:rPr>
          <w:rFonts w:cs="Times New Roman"/>
          <w:szCs w:val="24"/>
        </w:rPr>
        <w:t xml:space="preserve"> evidence of </w:t>
      </w:r>
      <w:r w:rsidR="00217737" w:rsidRPr="009D7B9C">
        <w:rPr>
          <w:rFonts w:cs="Times New Roman"/>
          <w:szCs w:val="24"/>
        </w:rPr>
        <w:t xml:space="preserve">the offender’s </w:t>
      </w:r>
      <w:r w:rsidR="004549E3" w:rsidRPr="009D7B9C">
        <w:rPr>
          <w:rFonts w:cs="Times New Roman"/>
          <w:szCs w:val="24"/>
        </w:rPr>
        <w:t>earning potential</w:t>
      </w:r>
      <w:r w:rsidR="006A5A0B" w:rsidRPr="009D7B9C">
        <w:rPr>
          <w:rFonts w:cs="Times New Roman"/>
          <w:szCs w:val="24"/>
        </w:rPr>
        <w:t>.</w:t>
      </w:r>
    </w:p>
    <w:p w:rsidR="002F3CCE" w:rsidRPr="009D7B9C" w:rsidRDefault="004E00C5" w:rsidP="002646EC">
      <w:pPr>
        <w:pStyle w:val="ParaNoNdepar-AltN"/>
        <w:rPr>
          <w:rFonts w:cs="Times New Roman"/>
          <w:szCs w:val="24"/>
        </w:rPr>
      </w:pPr>
      <w:r w:rsidRPr="009D7B9C">
        <w:rPr>
          <w:rFonts w:cs="Times New Roman"/>
          <w:szCs w:val="24"/>
        </w:rPr>
        <w:t>Second, the Crown’s argument</w:t>
      </w:r>
      <w:r w:rsidR="00513D5C" w:rsidRPr="009D7B9C">
        <w:rPr>
          <w:rFonts w:cs="Times New Roman"/>
          <w:szCs w:val="24"/>
        </w:rPr>
        <w:t xml:space="preserve"> disregards the text of s. 734(2)</w:t>
      </w:r>
      <w:r w:rsidRPr="009D7B9C">
        <w:rPr>
          <w:rFonts w:cs="Times New Roman"/>
          <w:szCs w:val="24"/>
        </w:rPr>
        <w:t xml:space="preserve">.  It may be desirable from a truth-seeking </w:t>
      </w:r>
      <w:r w:rsidR="002153C0" w:rsidRPr="009D7B9C">
        <w:rPr>
          <w:rFonts w:cs="Times New Roman"/>
          <w:szCs w:val="24"/>
        </w:rPr>
        <w:t>perspective</w:t>
      </w:r>
      <w:r w:rsidRPr="009D7B9C">
        <w:rPr>
          <w:rFonts w:cs="Times New Roman"/>
          <w:szCs w:val="24"/>
        </w:rPr>
        <w:t xml:space="preserve"> to place an evidentiary onus on the party that is best</w:t>
      </w:r>
      <w:r w:rsidR="007575A0" w:rsidRPr="009D7B9C">
        <w:rPr>
          <w:rFonts w:cs="Times New Roman"/>
          <w:szCs w:val="24"/>
        </w:rPr>
        <w:t xml:space="preserve"> </w:t>
      </w:r>
      <w:r w:rsidRPr="009D7B9C">
        <w:rPr>
          <w:rFonts w:cs="Times New Roman"/>
          <w:szCs w:val="24"/>
        </w:rPr>
        <w:t>positioned to produce evidence.  Parliament</w:t>
      </w:r>
      <w:r w:rsidR="007575A0" w:rsidRPr="009D7B9C">
        <w:rPr>
          <w:rFonts w:cs="Times New Roman"/>
          <w:szCs w:val="24"/>
        </w:rPr>
        <w:t xml:space="preserve"> well understood that the offender is better positioned to produce evidence of his finances than the Crown.  But Parliament has nonetheless explicitly </w:t>
      </w:r>
      <w:r w:rsidRPr="009D7B9C">
        <w:rPr>
          <w:rFonts w:cs="Times New Roman"/>
          <w:szCs w:val="24"/>
        </w:rPr>
        <w:t xml:space="preserve">chosen to require </w:t>
      </w:r>
      <w:r w:rsidR="002153C0" w:rsidRPr="009D7B9C">
        <w:rPr>
          <w:rFonts w:cs="Times New Roman"/>
          <w:szCs w:val="24"/>
        </w:rPr>
        <w:t xml:space="preserve">an affirmative finding that the offender is </w:t>
      </w:r>
      <w:r w:rsidR="002153C0" w:rsidRPr="009D7B9C">
        <w:rPr>
          <w:rFonts w:cs="Times New Roman"/>
          <w:i/>
          <w:szCs w:val="24"/>
        </w:rPr>
        <w:t xml:space="preserve">able </w:t>
      </w:r>
      <w:r w:rsidR="002153C0" w:rsidRPr="009D7B9C">
        <w:rPr>
          <w:rFonts w:cs="Times New Roman"/>
          <w:szCs w:val="24"/>
        </w:rPr>
        <w:t>to pay</w:t>
      </w:r>
      <w:r w:rsidR="007575A0" w:rsidRPr="009D7B9C">
        <w:rPr>
          <w:rFonts w:cs="Times New Roman"/>
          <w:szCs w:val="24"/>
        </w:rPr>
        <w:t xml:space="preserve"> a fine</w:t>
      </w:r>
      <w:r w:rsidR="002153C0" w:rsidRPr="009D7B9C">
        <w:rPr>
          <w:rFonts w:cs="Times New Roman"/>
          <w:szCs w:val="24"/>
        </w:rPr>
        <w:t xml:space="preserve">, </w:t>
      </w:r>
      <w:r w:rsidR="007575A0" w:rsidRPr="009D7B9C">
        <w:rPr>
          <w:rFonts w:cs="Times New Roman"/>
          <w:szCs w:val="24"/>
        </w:rPr>
        <w:t xml:space="preserve">instead of requiring the offender who opposes a fine to satisfy the court that he or she is </w:t>
      </w:r>
      <w:r w:rsidR="007575A0" w:rsidRPr="009D7B9C">
        <w:rPr>
          <w:rFonts w:cs="Times New Roman"/>
          <w:i/>
          <w:szCs w:val="24"/>
        </w:rPr>
        <w:t>unable</w:t>
      </w:r>
      <w:r w:rsidR="007575A0" w:rsidRPr="009D7B9C">
        <w:rPr>
          <w:rFonts w:cs="Times New Roman"/>
          <w:szCs w:val="24"/>
        </w:rPr>
        <w:t xml:space="preserve"> to pay.</w:t>
      </w:r>
    </w:p>
    <w:p w:rsidR="00005973" w:rsidRPr="009D7B9C" w:rsidRDefault="004E00C5" w:rsidP="002646EC">
      <w:pPr>
        <w:pStyle w:val="ParaNoNdepar-AltN"/>
        <w:rPr>
          <w:rFonts w:cs="Times New Roman"/>
          <w:szCs w:val="24"/>
        </w:rPr>
      </w:pPr>
      <w:r w:rsidRPr="009D7B9C">
        <w:rPr>
          <w:rFonts w:cs="Times New Roman"/>
          <w:szCs w:val="24"/>
        </w:rPr>
        <w:t>The C</w:t>
      </w:r>
      <w:r w:rsidR="007653A5" w:rsidRPr="009D7B9C">
        <w:rPr>
          <w:rFonts w:cs="Times New Roman"/>
          <w:szCs w:val="24"/>
        </w:rPr>
        <w:t xml:space="preserve">rown </w:t>
      </w:r>
      <w:r w:rsidR="001D6105" w:rsidRPr="009D7B9C">
        <w:rPr>
          <w:rFonts w:cs="Times New Roman"/>
          <w:szCs w:val="24"/>
        </w:rPr>
        <w:t>also argues that the interpretation of s. 734(2) should be influenced by case law</w:t>
      </w:r>
      <w:r w:rsidR="00DE50F4" w:rsidRPr="009D7B9C">
        <w:rPr>
          <w:rFonts w:cs="Times New Roman"/>
          <w:szCs w:val="24"/>
        </w:rPr>
        <w:t xml:space="preserve"> relating to restitution and the common law </w:t>
      </w:r>
      <w:r w:rsidR="00886A7A" w:rsidRPr="009D7B9C">
        <w:rPr>
          <w:rFonts w:cs="Times New Roman"/>
          <w:szCs w:val="24"/>
        </w:rPr>
        <w:t>rules regarding the imposition of fines</w:t>
      </w:r>
      <w:r w:rsidR="000C230A" w:rsidRPr="009D7B9C">
        <w:rPr>
          <w:rFonts w:cs="Times New Roman"/>
          <w:szCs w:val="24"/>
        </w:rPr>
        <w:t>.</w:t>
      </w:r>
      <w:r w:rsidR="00005973" w:rsidRPr="009D7B9C">
        <w:rPr>
          <w:rFonts w:cs="Times New Roman"/>
          <w:szCs w:val="24"/>
        </w:rPr>
        <w:t xml:space="preserve"> </w:t>
      </w:r>
      <w:r w:rsidR="00005973" w:rsidRPr="009D7B9C">
        <w:rPr>
          <w:rFonts w:cs="Times New Roman"/>
          <w:i/>
          <w:szCs w:val="24"/>
        </w:rPr>
        <w:t xml:space="preserve"> </w:t>
      </w:r>
      <w:r w:rsidR="00005973" w:rsidRPr="009D7B9C">
        <w:rPr>
          <w:rFonts w:cs="Times New Roman"/>
          <w:szCs w:val="24"/>
        </w:rPr>
        <w:t>With respect, the cases cited by the Cro</w:t>
      </w:r>
      <w:r w:rsidR="006A5A0B" w:rsidRPr="009D7B9C">
        <w:rPr>
          <w:rFonts w:cs="Times New Roman"/>
          <w:szCs w:val="24"/>
        </w:rPr>
        <w:t>wn are readily distinguishable.</w:t>
      </w:r>
    </w:p>
    <w:p w:rsidR="00886A7A" w:rsidRPr="009D7B9C" w:rsidRDefault="00886A7A" w:rsidP="002646EC">
      <w:pPr>
        <w:pStyle w:val="ParaNoNdepar-AltN"/>
        <w:rPr>
          <w:rFonts w:cs="Times New Roman"/>
          <w:szCs w:val="24"/>
        </w:rPr>
      </w:pPr>
      <w:r w:rsidRPr="009D7B9C">
        <w:rPr>
          <w:rFonts w:cs="Times New Roman"/>
          <w:szCs w:val="24"/>
        </w:rPr>
        <w:t xml:space="preserve">In </w:t>
      </w:r>
      <w:r w:rsidRPr="009D7B9C">
        <w:rPr>
          <w:rFonts w:cs="Times New Roman"/>
          <w:i/>
          <w:szCs w:val="24"/>
        </w:rPr>
        <w:t>Johnson</w:t>
      </w:r>
      <w:r w:rsidRPr="009D7B9C">
        <w:rPr>
          <w:rFonts w:cs="Times New Roman"/>
          <w:szCs w:val="24"/>
        </w:rPr>
        <w:t xml:space="preserve"> and </w:t>
      </w:r>
      <w:r w:rsidRPr="009D7B9C">
        <w:rPr>
          <w:rFonts w:cs="Times New Roman"/>
          <w:i/>
          <w:szCs w:val="24"/>
        </w:rPr>
        <w:t>Castro</w:t>
      </w:r>
      <w:r w:rsidRPr="009D7B9C">
        <w:rPr>
          <w:rFonts w:cs="Times New Roman"/>
          <w:szCs w:val="24"/>
        </w:rPr>
        <w:t xml:space="preserve">, the Alberta and Ontario Courts of Appeal respectively held that, in the context of a </w:t>
      </w:r>
      <w:r w:rsidRPr="009D7B9C">
        <w:rPr>
          <w:rFonts w:cs="Times New Roman"/>
          <w:i/>
          <w:szCs w:val="24"/>
        </w:rPr>
        <w:t>restitution</w:t>
      </w:r>
      <w:r w:rsidRPr="009D7B9C">
        <w:rPr>
          <w:rFonts w:cs="Times New Roman"/>
          <w:szCs w:val="24"/>
        </w:rPr>
        <w:t xml:space="preserve"> order, past receipt of ill-gotten gains places a burden on the offender to explain </w:t>
      </w:r>
      <w:r w:rsidR="00E959C7" w:rsidRPr="009D7B9C">
        <w:rPr>
          <w:rFonts w:cs="Times New Roman"/>
          <w:szCs w:val="24"/>
        </w:rPr>
        <w:t>where they have gone.</w:t>
      </w:r>
      <w:r w:rsidRPr="009D7B9C">
        <w:rPr>
          <w:rFonts w:cs="Times New Roman"/>
          <w:szCs w:val="24"/>
        </w:rPr>
        <w:t xml:space="preserve">  Restitution</w:t>
      </w:r>
      <w:r w:rsidR="004C1AAF" w:rsidRPr="009D7B9C">
        <w:rPr>
          <w:rFonts w:cs="Times New Roman"/>
          <w:szCs w:val="24"/>
        </w:rPr>
        <w:t>, however,</w:t>
      </w:r>
      <w:r w:rsidRPr="009D7B9C">
        <w:rPr>
          <w:rFonts w:cs="Times New Roman"/>
          <w:szCs w:val="24"/>
        </w:rPr>
        <w:t xml:space="preserve"> differs from a fine in two </w:t>
      </w:r>
      <w:r w:rsidR="007575A0" w:rsidRPr="009D7B9C">
        <w:rPr>
          <w:rFonts w:cs="Times New Roman"/>
          <w:szCs w:val="24"/>
        </w:rPr>
        <w:t>important respects</w:t>
      </w:r>
      <w:r w:rsidRPr="009D7B9C">
        <w:rPr>
          <w:rFonts w:cs="Times New Roman"/>
          <w:szCs w:val="24"/>
        </w:rPr>
        <w:t xml:space="preserve">.  First, </w:t>
      </w:r>
      <w:r w:rsidR="007575A0" w:rsidRPr="009D7B9C">
        <w:rPr>
          <w:rFonts w:cs="Times New Roman"/>
          <w:szCs w:val="24"/>
        </w:rPr>
        <w:t xml:space="preserve">and perhaps most </w:t>
      </w:r>
      <w:r w:rsidR="007575A0" w:rsidRPr="009D7B9C">
        <w:rPr>
          <w:rFonts w:cs="Times New Roman"/>
          <w:szCs w:val="24"/>
        </w:rPr>
        <w:lastRenderedPageBreak/>
        <w:t xml:space="preserve">important, </w:t>
      </w:r>
      <w:r w:rsidRPr="009D7B9C">
        <w:rPr>
          <w:rFonts w:cs="Times New Roman"/>
          <w:szCs w:val="24"/>
        </w:rPr>
        <w:t xml:space="preserve">restitution orders are not subject to s. 734(2).  Second, an offender who defaults on a restitution order </w:t>
      </w:r>
      <w:r w:rsidR="006726E5" w:rsidRPr="009D7B9C">
        <w:rPr>
          <w:rFonts w:cs="Times New Roman"/>
          <w:szCs w:val="24"/>
        </w:rPr>
        <w:t>―</w:t>
      </w:r>
      <w:r w:rsidR="00E959C7" w:rsidRPr="009D7B9C">
        <w:rPr>
          <w:rFonts w:cs="Times New Roman"/>
          <w:szCs w:val="24"/>
        </w:rPr>
        <w:t xml:space="preserve"> unlike an offender who defaults on a fine </w:t>
      </w:r>
      <w:r w:rsidR="002646EC" w:rsidRPr="009D7B9C">
        <w:rPr>
          <w:rFonts w:cs="Times New Roman"/>
          <w:szCs w:val="24"/>
        </w:rPr>
        <w:t>―</w:t>
      </w:r>
      <w:r w:rsidR="00E959C7" w:rsidRPr="009D7B9C">
        <w:rPr>
          <w:rFonts w:cs="Times New Roman"/>
          <w:szCs w:val="24"/>
        </w:rPr>
        <w:t xml:space="preserve"> </w:t>
      </w:r>
      <w:r w:rsidR="007575A0" w:rsidRPr="009D7B9C">
        <w:rPr>
          <w:rFonts w:cs="Times New Roman"/>
          <w:szCs w:val="24"/>
        </w:rPr>
        <w:t>is not subject to impr</w:t>
      </w:r>
      <w:r w:rsidR="006A5A0B" w:rsidRPr="009D7B9C">
        <w:rPr>
          <w:rFonts w:cs="Times New Roman"/>
          <w:szCs w:val="24"/>
        </w:rPr>
        <w:t>isonment as a consequence.</w:t>
      </w:r>
    </w:p>
    <w:p w:rsidR="008F703F" w:rsidRPr="009D7B9C" w:rsidRDefault="00005973" w:rsidP="002646EC">
      <w:pPr>
        <w:pStyle w:val="ParaNoNdepar-AltN"/>
        <w:rPr>
          <w:rFonts w:cs="Times New Roman"/>
          <w:szCs w:val="24"/>
        </w:rPr>
      </w:pPr>
      <w:r w:rsidRPr="009D7B9C">
        <w:rPr>
          <w:rFonts w:cs="Times New Roman"/>
          <w:szCs w:val="24"/>
        </w:rPr>
        <w:t xml:space="preserve">In </w:t>
      </w:r>
      <w:proofErr w:type="spellStart"/>
      <w:r w:rsidRPr="009D7B9C">
        <w:rPr>
          <w:rFonts w:cs="Times New Roman"/>
          <w:i/>
          <w:szCs w:val="24"/>
        </w:rPr>
        <w:t>Noseworthy</w:t>
      </w:r>
      <w:proofErr w:type="spellEnd"/>
      <w:r w:rsidR="00D81FD9" w:rsidRPr="009D7B9C">
        <w:rPr>
          <w:rFonts w:cs="Times New Roman"/>
          <w:szCs w:val="24"/>
        </w:rPr>
        <w:t xml:space="preserve">, the Newfoundland Court of Appeal held that </w:t>
      </w:r>
      <w:r w:rsidR="004F6425" w:rsidRPr="009D7B9C">
        <w:rPr>
          <w:rFonts w:cs="Times New Roman"/>
          <w:szCs w:val="24"/>
        </w:rPr>
        <w:t>the offender bears the burden of affirmatively establishing his inability to pay.  Th</w:t>
      </w:r>
      <w:r w:rsidR="008F703F" w:rsidRPr="009D7B9C">
        <w:rPr>
          <w:rFonts w:cs="Times New Roman"/>
          <w:szCs w:val="24"/>
        </w:rPr>
        <w:t xml:space="preserve">at case, however, dealt with a fine imposed under the </w:t>
      </w:r>
      <w:r w:rsidR="008F703F" w:rsidRPr="009D7B9C">
        <w:rPr>
          <w:rFonts w:cs="Times New Roman"/>
          <w:i/>
          <w:szCs w:val="24"/>
        </w:rPr>
        <w:t>Excise Act</w:t>
      </w:r>
      <w:r w:rsidR="008F703F" w:rsidRPr="009D7B9C">
        <w:rPr>
          <w:rFonts w:cs="Times New Roman"/>
          <w:szCs w:val="24"/>
        </w:rPr>
        <w:t xml:space="preserve">, </w:t>
      </w:r>
      <w:r w:rsidR="006726E5" w:rsidRPr="009D7B9C">
        <w:rPr>
          <w:rFonts w:cs="Times New Roman"/>
          <w:szCs w:val="24"/>
        </w:rPr>
        <w:t xml:space="preserve">R.S.C. 1985, c. E-14, </w:t>
      </w:r>
      <w:r w:rsidR="008F703F" w:rsidRPr="009D7B9C">
        <w:rPr>
          <w:rFonts w:cs="Times New Roman"/>
          <w:szCs w:val="24"/>
        </w:rPr>
        <w:t>which at the time was not subject to s. 734(2) (the section has since been amended to apply to fines imposed under all acts of Parliament).  The Court of Appeal’s decision addressed the allocation of</w:t>
      </w:r>
      <w:r w:rsidR="00886A7A" w:rsidRPr="009D7B9C">
        <w:rPr>
          <w:rFonts w:cs="Times New Roman"/>
          <w:szCs w:val="24"/>
        </w:rPr>
        <w:t xml:space="preserve"> burdens under the common law and not the interpretation of </w:t>
      </w:r>
      <w:r w:rsidR="00E13384" w:rsidRPr="009D7B9C">
        <w:rPr>
          <w:rFonts w:cs="Times New Roman"/>
          <w:szCs w:val="24"/>
        </w:rPr>
        <w:t>s. 734(2).</w:t>
      </w:r>
    </w:p>
    <w:p w:rsidR="00005973" w:rsidRPr="009D7B9C" w:rsidRDefault="00005973" w:rsidP="00BB540A">
      <w:pPr>
        <w:pStyle w:val="TitleTitre-AltT"/>
        <w:jc w:val="center"/>
        <w:rPr>
          <w:rFonts w:cs="Times New Roman"/>
          <w:szCs w:val="24"/>
        </w:rPr>
      </w:pPr>
      <w:r w:rsidRPr="009D7B9C">
        <w:rPr>
          <w:rFonts w:cs="Times New Roman"/>
          <w:szCs w:val="24"/>
        </w:rPr>
        <w:t>V</w:t>
      </w:r>
    </w:p>
    <w:p w:rsidR="00D30BC7" w:rsidRPr="009D7B9C" w:rsidRDefault="00AB40B1" w:rsidP="002646EC">
      <w:pPr>
        <w:pStyle w:val="ParaNoNdepar-AltN"/>
        <w:rPr>
          <w:rFonts w:cs="Times New Roman"/>
          <w:szCs w:val="24"/>
        </w:rPr>
      </w:pPr>
      <w:r w:rsidRPr="009D7B9C">
        <w:rPr>
          <w:rFonts w:cs="Times New Roman"/>
          <w:szCs w:val="24"/>
        </w:rPr>
        <w:t xml:space="preserve">In declining to impose </w:t>
      </w:r>
      <w:r w:rsidR="00C75EBF" w:rsidRPr="009D7B9C">
        <w:rPr>
          <w:rFonts w:cs="Times New Roman"/>
          <w:szCs w:val="24"/>
        </w:rPr>
        <w:t xml:space="preserve">a </w:t>
      </w:r>
      <w:r w:rsidRPr="009D7B9C">
        <w:rPr>
          <w:rFonts w:cs="Times New Roman"/>
          <w:szCs w:val="24"/>
        </w:rPr>
        <w:t>fine, t</w:t>
      </w:r>
      <w:r w:rsidR="00E959C7" w:rsidRPr="009D7B9C">
        <w:rPr>
          <w:rFonts w:cs="Times New Roman"/>
          <w:szCs w:val="24"/>
        </w:rPr>
        <w:t xml:space="preserve">he trial judge in this case </w:t>
      </w:r>
      <w:r w:rsidR="0041755C" w:rsidRPr="009D7B9C">
        <w:rPr>
          <w:rFonts w:cs="Times New Roman"/>
          <w:szCs w:val="24"/>
        </w:rPr>
        <w:t>considered</w:t>
      </w:r>
      <w:r w:rsidRPr="009D7B9C">
        <w:rPr>
          <w:rFonts w:cs="Times New Roman"/>
          <w:szCs w:val="24"/>
        </w:rPr>
        <w:t xml:space="preserve"> counsel</w:t>
      </w:r>
      <w:r w:rsidR="0041755C" w:rsidRPr="009D7B9C">
        <w:rPr>
          <w:rFonts w:cs="Times New Roman"/>
          <w:szCs w:val="24"/>
        </w:rPr>
        <w:t>s</w:t>
      </w:r>
      <w:r w:rsidRPr="009D7B9C">
        <w:rPr>
          <w:rFonts w:cs="Times New Roman"/>
          <w:szCs w:val="24"/>
        </w:rPr>
        <w:t xml:space="preserve">’ submissions and all of the information and evidence before her.  She expressly took into account Mr. </w:t>
      </w:r>
      <w:proofErr w:type="spellStart"/>
      <w:r w:rsidRPr="009D7B9C">
        <w:rPr>
          <w:rFonts w:cs="Times New Roman"/>
          <w:szCs w:val="24"/>
        </w:rPr>
        <w:t>Topp’s</w:t>
      </w:r>
      <w:proofErr w:type="spellEnd"/>
      <w:r w:rsidRPr="009D7B9C">
        <w:rPr>
          <w:rFonts w:cs="Times New Roman"/>
          <w:szCs w:val="24"/>
        </w:rPr>
        <w:t xml:space="preserve"> failure to explain what had happened to the money he was found beyond a reasonable doubt to have misappropriated. </w:t>
      </w:r>
      <w:r w:rsidR="00C75EBF" w:rsidRPr="009D7B9C">
        <w:rPr>
          <w:rFonts w:cs="Times New Roman"/>
          <w:szCs w:val="24"/>
        </w:rPr>
        <w:t xml:space="preserve">Nothing in the record indicates that she failed to consider anything relevant to her decision.  In the end, </w:t>
      </w:r>
      <w:r w:rsidR="007D1D75" w:rsidRPr="009D7B9C">
        <w:rPr>
          <w:rFonts w:cs="Times New Roman"/>
          <w:szCs w:val="24"/>
        </w:rPr>
        <w:t>the judge</w:t>
      </w:r>
      <w:r w:rsidR="00C75EBF" w:rsidRPr="009D7B9C">
        <w:rPr>
          <w:rFonts w:cs="Times New Roman"/>
          <w:szCs w:val="24"/>
        </w:rPr>
        <w:t xml:space="preserve"> plainly declared that she was not satisfied </w:t>
      </w:r>
      <w:r w:rsidR="006726E5" w:rsidRPr="009D7B9C">
        <w:rPr>
          <w:rFonts w:cs="Times New Roman"/>
          <w:szCs w:val="24"/>
        </w:rPr>
        <w:t xml:space="preserve">that </w:t>
      </w:r>
      <w:r w:rsidR="00C75EBF" w:rsidRPr="009D7B9C">
        <w:rPr>
          <w:rFonts w:cs="Times New Roman"/>
          <w:szCs w:val="24"/>
        </w:rPr>
        <w:t xml:space="preserve">Mr. </w:t>
      </w:r>
      <w:proofErr w:type="spellStart"/>
      <w:r w:rsidR="00C75EBF" w:rsidRPr="009D7B9C">
        <w:rPr>
          <w:rFonts w:cs="Times New Roman"/>
          <w:szCs w:val="24"/>
        </w:rPr>
        <w:t>Topp</w:t>
      </w:r>
      <w:proofErr w:type="spellEnd"/>
      <w:r w:rsidR="00C75EBF" w:rsidRPr="009D7B9C">
        <w:rPr>
          <w:rFonts w:cs="Times New Roman"/>
          <w:szCs w:val="24"/>
        </w:rPr>
        <w:t xml:space="preserve"> was able to pay the fine requested by the Crown.  </w:t>
      </w:r>
      <w:r w:rsidR="007D1D75" w:rsidRPr="009D7B9C">
        <w:rPr>
          <w:rFonts w:cs="Times New Roman"/>
          <w:szCs w:val="24"/>
        </w:rPr>
        <w:t>She</w:t>
      </w:r>
      <w:r w:rsidR="00C75EBF" w:rsidRPr="009D7B9C">
        <w:rPr>
          <w:rFonts w:cs="Times New Roman"/>
          <w:szCs w:val="24"/>
        </w:rPr>
        <w:t xml:space="preserve"> could reasonably have concluded otherwise, but she </w:t>
      </w:r>
      <w:r w:rsidR="006A5A0B" w:rsidRPr="009D7B9C">
        <w:rPr>
          <w:rFonts w:cs="Times New Roman"/>
          <w:szCs w:val="24"/>
        </w:rPr>
        <w:t>was not legally bound to do so.</w:t>
      </w:r>
    </w:p>
    <w:p w:rsidR="00D30BC7" w:rsidRPr="009D7B9C" w:rsidRDefault="00D30BC7" w:rsidP="002646EC">
      <w:pPr>
        <w:pStyle w:val="ParaNoNdepar-AltN"/>
        <w:rPr>
          <w:rFonts w:cs="Times New Roman"/>
          <w:szCs w:val="24"/>
        </w:rPr>
      </w:pPr>
      <w:r w:rsidRPr="009D7B9C">
        <w:rPr>
          <w:rFonts w:cs="Times New Roman"/>
          <w:szCs w:val="24"/>
        </w:rPr>
        <w:lastRenderedPageBreak/>
        <w:t xml:space="preserve">The Crown </w:t>
      </w:r>
      <w:r w:rsidR="00C75EBF" w:rsidRPr="009D7B9C">
        <w:rPr>
          <w:rFonts w:cs="Times New Roman"/>
          <w:szCs w:val="24"/>
        </w:rPr>
        <w:t xml:space="preserve">submits </w:t>
      </w:r>
      <w:r w:rsidRPr="009D7B9C">
        <w:rPr>
          <w:rFonts w:cs="Times New Roman"/>
          <w:szCs w:val="24"/>
        </w:rPr>
        <w:t xml:space="preserve">that the </w:t>
      </w:r>
      <w:r w:rsidR="00FE697B" w:rsidRPr="009D7B9C">
        <w:rPr>
          <w:rFonts w:cs="Times New Roman"/>
          <w:szCs w:val="24"/>
        </w:rPr>
        <w:t>trial judge</w:t>
      </w:r>
      <w:r w:rsidRPr="009D7B9C">
        <w:rPr>
          <w:rFonts w:cs="Times New Roman"/>
          <w:szCs w:val="24"/>
        </w:rPr>
        <w:t xml:space="preserve"> </w:t>
      </w:r>
      <w:r w:rsidR="00886A7A" w:rsidRPr="009D7B9C">
        <w:rPr>
          <w:rFonts w:cs="Times New Roman"/>
          <w:szCs w:val="24"/>
        </w:rPr>
        <w:t>err</w:t>
      </w:r>
      <w:r w:rsidR="007D1D75" w:rsidRPr="009D7B9C">
        <w:rPr>
          <w:rFonts w:cs="Times New Roman"/>
          <w:szCs w:val="24"/>
        </w:rPr>
        <w:t xml:space="preserve">ed in law by </w:t>
      </w:r>
      <w:r w:rsidRPr="009D7B9C">
        <w:rPr>
          <w:rFonts w:cs="Times New Roman"/>
          <w:szCs w:val="24"/>
        </w:rPr>
        <w:t>impos</w:t>
      </w:r>
      <w:r w:rsidR="007D1D75" w:rsidRPr="009D7B9C">
        <w:rPr>
          <w:rFonts w:cs="Times New Roman"/>
          <w:szCs w:val="24"/>
        </w:rPr>
        <w:t>ing</w:t>
      </w:r>
      <w:r w:rsidRPr="009D7B9C">
        <w:rPr>
          <w:rFonts w:cs="Times New Roman"/>
          <w:szCs w:val="24"/>
        </w:rPr>
        <w:t xml:space="preserve"> a formal requirement on the Crown to locate Mr. </w:t>
      </w:r>
      <w:proofErr w:type="spellStart"/>
      <w:r w:rsidRPr="009D7B9C">
        <w:rPr>
          <w:rFonts w:cs="Times New Roman"/>
          <w:szCs w:val="24"/>
        </w:rPr>
        <w:t>Topp’s</w:t>
      </w:r>
      <w:proofErr w:type="spellEnd"/>
      <w:r w:rsidRPr="009D7B9C">
        <w:rPr>
          <w:rFonts w:cs="Times New Roman"/>
          <w:szCs w:val="24"/>
        </w:rPr>
        <w:t xml:space="preserve"> </w:t>
      </w:r>
      <w:r w:rsidR="00C3748F" w:rsidRPr="009D7B9C">
        <w:rPr>
          <w:rFonts w:cs="Times New Roman"/>
          <w:szCs w:val="24"/>
        </w:rPr>
        <w:t xml:space="preserve">misappropriated </w:t>
      </w:r>
      <w:r w:rsidRPr="009D7B9C">
        <w:rPr>
          <w:rFonts w:cs="Times New Roman"/>
          <w:szCs w:val="24"/>
        </w:rPr>
        <w:t xml:space="preserve">funds.  </w:t>
      </w:r>
      <w:r w:rsidR="00C3748F" w:rsidRPr="009D7B9C">
        <w:rPr>
          <w:rFonts w:cs="Times New Roman"/>
          <w:szCs w:val="24"/>
        </w:rPr>
        <w:t>This submission is without merit.  It is clear from t</w:t>
      </w:r>
      <w:r w:rsidRPr="009D7B9C">
        <w:rPr>
          <w:rFonts w:cs="Times New Roman"/>
          <w:szCs w:val="24"/>
        </w:rPr>
        <w:t xml:space="preserve">he transcript </w:t>
      </w:r>
      <w:r w:rsidR="00C75EBF" w:rsidRPr="009D7B9C">
        <w:rPr>
          <w:rFonts w:cs="Times New Roman"/>
          <w:szCs w:val="24"/>
        </w:rPr>
        <w:t xml:space="preserve">of the hearing on sentence </w:t>
      </w:r>
      <w:r w:rsidRPr="009D7B9C">
        <w:rPr>
          <w:rFonts w:cs="Times New Roman"/>
          <w:szCs w:val="24"/>
        </w:rPr>
        <w:t xml:space="preserve">that the </w:t>
      </w:r>
      <w:r w:rsidR="00FE697B" w:rsidRPr="009D7B9C">
        <w:rPr>
          <w:rFonts w:cs="Times New Roman"/>
          <w:szCs w:val="24"/>
        </w:rPr>
        <w:t>trial judge</w:t>
      </w:r>
      <w:r w:rsidRPr="009D7B9C">
        <w:rPr>
          <w:rFonts w:cs="Times New Roman"/>
          <w:szCs w:val="24"/>
        </w:rPr>
        <w:t xml:space="preserve"> impose</w:t>
      </w:r>
      <w:r w:rsidR="00C3748F" w:rsidRPr="009D7B9C">
        <w:rPr>
          <w:rFonts w:cs="Times New Roman"/>
          <w:szCs w:val="24"/>
        </w:rPr>
        <w:t>d no such burden on the Crown:</w:t>
      </w:r>
    </w:p>
    <w:p w:rsidR="006C4326" w:rsidRPr="009D7B9C" w:rsidRDefault="00D30BC7" w:rsidP="000F26C4">
      <w:pPr>
        <w:pStyle w:val="Citation-AltC"/>
        <w:rPr>
          <w:szCs w:val="24"/>
        </w:rPr>
      </w:pPr>
      <w:r w:rsidRPr="009D7B9C">
        <w:rPr>
          <w:szCs w:val="24"/>
        </w:rPr>
        <w:t>T</w:t>
      </w:r>
      <w:r w:rsidR="00884795" w:rsidRPr="009D7B9C">
        <w:rPr>
          <w:szCs w:val="24"/>
        </w:rPr>
        <w:t>HE COURT</w:t>
      </w:r>
      <w:proofErr w:type="gramStart"/>
      <w:r w:rsidRPr="009D7B9C">
        <w:rPr>
          <w:szCs w:val="24"/>
        </w:rPr>
        <w:t>:</w:t>
      </w:r>
      <w:r w:rsidR="006A5A0B" w:rsidRPr="009D7B9C">
        <w:rPr>
          <w:szCs w:val="24"/>
        </w:rPr>
        <w:t xml:space="preserve"> </w:t>
      </w:r>
      <w:r w:rsidRPr="009D7B9C">
        <w:rPr>
          <w:szCs w:val="24"/>
        </w:rPr>
        <w:t xml:space="preserve"> </w:t>
      </w:r>
      <w:r w:rsidR="006726E5" w:rsidRPr="009D7B9C">
        <w:rPr>
          <w:szCs w:val="24"/>
        </w:rPr>
        <w:t>.</w:t>
      </w:r>
      <w:r w:rsidR="006A5A0B" w:rsidRPr="009D7B9C">
        <w:rPr>
          <w:szCs w:val="24"/>
        </w:rPr>
        <w:t xml:space="preserve"> </w:t>
      </w:r>
      <w:r w:rsidR="006726E5" w:rsidRPr="009D7B9C">
        <w:rPr>
          <w:szCs w:val="24"/>
        </w:rPr>
        <w:t>.</w:t>
      </w:r>
      <w:r w:rsidR="006A5A0B" w:rsidRPr="009D7B9C">
        <w:rPr>
          <w:szCs w:val="24"/>
        </w:rPr>
        <w:t xml:space="preserve"> </w:t>
      </w:r>
      <w:r w:rsidR="006726E5" w:rsidRPr="009D7B9C">
        <w:rPr>
          <w:szCs w:val="24"/>
        </w:rPr>
        <w:t>.</w:t>
      </w:r>
      <w:proofErr w:type="gramEnd"/>
      <w:r w:rsidR="006726E5" w:rsidRPr="009D7B9C">
        <w:rPr>
          <w:szCs w:val="24"/>
        </w:rPr>
        <w:t xml:space="preserve"> </w:t>
      </w:r>
      <w:r w:rsidRPr="009D7B9C">
        <w:rPr>
          <w:szCs w:val="24"/>
        </w:rPr>
        <w:t>There’s been no ex</w:t>
      </w:r>
      <w:r w:rsidR="006726E5" w:rsidRPr="009D7B9C">
        <w:rPr>
          <w:szCs w:val="24"/>
        </w:rPr>
        <w:t xml:space="preserve">planation offered on where the </w:t>
      </w:r>
      <w:r w:rsidR="006A5A0B" w:rsidRPr="009D7B9C">
        <w:rPr>
          <w:szCs w:val="24"/>
        </w:rPr>
        <w:t>--</w:t>
      </w:r>
      <w:r w:rsidRPr="009D7B9C">
        <w:rPr>
          <w:szCs w:val="24"/>
        </w:rPr>
        <w:t xml:space="preserve"> how the money was spent.  So</w:t>
      </w:r>
      <w:r w:rsidR="006726E5" w:rsidRPr="009D7B9C">
        <w:rPr>
          <w:szCs w:val="24"/>
        </w:rPr>
        <w:t>,</w:t>
      </w:r>
      <w:r w:rsidRPr="009D7B9C">
        <w:rPr>
          <w:szCs w:val="24"/>
        </w:rPr>
        <w:t xml:space="preserve"> you can’t say that there is no lavish lifestyle.  All you can say is the Crown wasn’t able to find it which may only speak to someone’s skill in concealing it.</w:t>
      </w:r>
    </w:p>
    <w:p w:rsidR="00BB540A" w:rsidRPr="009D7B9C" w:rsidRDefault="00BB540A" w:rsidP="00BB540A">
      <w:pPr>
        <w:pStyle w:val="Citation-AltC"/>
        <w:rPr>
          <w:szCs w:val="24"/>
        </w:rPr>
      </w:pPr>
    </w:p>
    <w:p w:rsidR="00D30BC7" w:rsidRPr="009D7B9C" w:rsidRDefault="00884795" w:rsidP="000F26C4">
      <w:pPr>
        <w:pStyle w:val="Citation-AltC"/>
        <w:rPr>
          <w:szCs w:val="24"/>
        </w:rPr>
      </w:pPr>
      <w:r w:rsidRPr="009D7B9C">
        <w:rPr>
          <w:szCs w:val="24"/>
        </w:rPr>
        <w:t>DEFENCE COUNSEL</w:t>
      </w:r>
      <w:proofErr w:type="gramStart"/>
      <w:r w:rsidR="00D30BC7" w:rsidRPr="009D7B9C">
        <w:rPr>
          <w:szCs w:val="24"/>
        </w:rPr>
        <w:t>:</w:t>
      </w:r>
      <w:r w:rsidR="006A5A0B" w:rsidRPr="009D7B9C">
        <w:rPr>
          <w:szCs w:val="24"/>
        </w:rPr>
        <w:t xml:space="preserve"> </w:t>
      </w:r>
      <w:r w:rsidR="00D30BC7" w:rsidRPr="009D7B9C">
        <w:rPr>
          <w:szCs w:val="24"/>
        </w:rPr>
        <w:t xml:space="preserve"> .</w:t>
      </w:r>
      <w:r w:rsidR="006A5A0B" w:rsidRPr="009D7B9C">
        <w:rPr>
          <w:szCs w:val="24"/>
        </w:rPr>
        <w:t xml:space="preserve"> </w:t>
      </w:r>
      <w:r w:rsidR="00D30BC7" w:rsidRPr="009D7B9C">
        <w:rPr>
          <w:szCs w:val="24"/>
        </w:rPr>
        <w:t>.</w:t>
      </w:r>
      <w:r w:rsidR="006A5A0B" w:rsidRPr="009D7B9C">
        <w:rPr>
          <w:szCs w:val="24"/>
        </w:rPr>
        <w:t xml:space="preserve"> </w:t>
      </w:r>
      <w:r w:rsidR="00D30BC7" w:rsidRPr="009D7B9C">
        <w:rPr>
          <w:szCs w:val="24"/>
        </w:rPr>
        <w:t>.</w:t>
      </w:r>
      <w:proofErr w:type="gramEnd"/>
      <w:r w:rsidR="00D30BC7" w:rsidRPr="009D7B9C">
        <w:rPr>
          <w:szCs w:val="24"/>
        </w:rPr>
        <w:t xml:space="preserve"> Mr. </w:t>
      </w:r>
      <w:proofErr w:type="spellStart"/>
      <w:r w:rsidR="00D30BC7" w:rsidRPr="009D7B9C">
        <w:rPr>
          <w:szCs w:val="24"/>
        </w:rPr>
        <w:t>Topp’s</w:t>
      </w:r>
      <w:proofErr w:type="spellEnd"/>
      <w:r w:rsidR="00D30BC7" w:rsidRPr="009D7B9C">
        <w:rPr>
          <w:szCs w:val="24"/>
        </w:rPr>
        <w:t xml:space="preserve"> prior counsel offered carte blanche for the government to go look anywhere they wanted.  He’d sign any documents.</w:t>
      </w:r>
      <w:r w:rsidR="006A5A0B" w:rsidRPr="009D7B9C">
        <w:rPr>
          <w:szCs w:val="24"/>
        </w:rPr>
        <w:t xml:space="preserve"> . .</w:t>
      </w:r>
    </w:p>
    <w:p w:rsidR="00BB540A" w:rsidRPr="009D7B9C" w:rsidRDefault="00BB540A" w:rsidP="00BB540A">
      <w:pPr>
        <w:pStyle w:val="Citation-AltC"/>
        <w:rPr>
          <w:szCs w:val="24"/>
        </w:rPr>
      </w:pPr>
    </w:p>
    <w:p w:rsidR="00B0360D" w:rsidRPr="009D7B9C" w:rsidRDefault="00884795" w:rsidP="000F26C4">
      <w:pPr>
        <w:pStyle w:val="Citation-AltC"/>
        <w:rPr>
          <w:szCs w:val="24"/>
        </w:rPr>
      </w:pPr>
      <w:r w:rsidRPr="009D7B9C">
        <w:rPr>
          <w:szCs w:val="24"/>
        </w:rPr>
        <w:t>THE COURT</w:t>
      </w:r>
      <w:r w:rsidR="00D30BC7" w:rsidRPr="009D7B9C">
        <w:rPr>
          <w:szCs w:val="24"/>
        </w:rPr>
        <w:t>:</w:t>
      </w:r>
      <w:r w:rsidR="006A5A0B" w:rsidRPr="009D7B9C">
        <w:rPr>
          <w:szCs w:val="24"/>
        </w:rPr>
        <w:t xml:space="preserve"> </w:t>
      </w:r>
      <w:r w:rsidR="00D30BC7" w:rsidRPr="009D7B9C">
        <w:rPr>
          <w:szCs w:val="24"/>
        </w:rPr>
        <w:t xml:space="preserve"> But it’s not their job.  They are not the ones that got the money.  Who better than the person who received the money to explain what happened to it?  So</w:t>
      </w:r>
      <w:r w:rsidR="006726E5" w:rsidRPr="009D7B9C">
        <w:rPr>
          <w:szCs w:val="24"/>
        </w:rPr>
        <w:t>,</w:t>
      </w:r>
      <w:r w:rsidR="00D30BC7" w:rsidRPr="009D7B9C">
        <w:rPr>
          <w:szCs w:val="24"/>
        </w:rPr>
        <w:t xml:space="preserve"> it may be an argument that it’s not obvious that it was spent in that way, but I don’t think you can suggest that it wasn’t in fact spent that way</w:t>
      </w:r>
      <w:r w:rsidR="006726E5" w:rsidRPr="009D7B9C">
        <w:rPr>
          <w:szCs w:val="24"/>
        </w:rPr>
        <w:t>.</w:t>
      </w:r>
      <w:r w:rsidR="002153C0" w:rsidRPr="009D7B9C">
        <w:rPr>
          <w:szCs w:val="24"/>
        </w:rPr>
        <w:t xml:space="preserve"> </w:t>
      </w:r>
      <w:r w:rsidR="006726E5" w:rsidRPr="009D7B9C">
        <w:rPr>
          <w:szCs w:val="24"/>
        </w:rPr>
        <w:t>[</w:t>
      </w:r>
      <w:r w:rsidR="002153C0" w:rsidRPr="009D7B9C">
        <w:rPr>
          <w:szCs w:val="24"/>
        </w:rPr>
        <w:t>A</w:t>
      </w:r>
      <w:r w:rsidR="006726E5" w:rsidRPr="009D7B9C">
        <w:rPr>
          <w:szCs w:val="24"/>
        </w:rPr>
        <w:t>.</w:t>
      </w:r>
      <w:r w:rsidR="002153C0" w:rsidRPr="009D7B9C">
        <w:rPr>
          <w:szCs w:val="24"/>
        </w:rPr>
        <w:t>R</w:t>
      </w:r>
      <w:r w:rsidR="006726E5" w:rsidRPr="009D7B9C">
        <w:rPr>
          <w:szCs w:val="24"/>
        </w:rPr>
        <w:t>.</w:t>
      </w:r>
      <w:r w:rsidR="002153C0" w:rsidRPr="009D7B9C">
        <w:rPr>
          <w:szCs w:val="24"/>
        </w:rPr>
        <w:t xml:space="preserve">, </w:t>
      </w:r>
      <w:r w:rsidR="006726E5" w:rsidRPr="009D7B9C">
        <w:rPr>
          <w:szCs w:val="24"/>
        </w:rPr>
        <w:t>at pp. 217-18]</w:t>
      </w:r>
    </w:p>
    <w:p w:rsidR="008C41D9" w:rsidRPr="009D7B9C" w:rsidRDefault="007D1D75" w:rsidP="000F26C4">
      <w:pPr>
        <w:pStyle w:val="ContinueParaSuitedupar-AltP"/>
        <w:rPr>
          <w:rFonts w:cs="Times New Roman"/>
          <w:szCs w:val="24"/>
        </w:rPr>
      </w:pPr>
      <w:r w:rsidRPr="009D7B9C">
        <w:rPr>
          <w:rFonts w:cs="Times New Roman"/>
          <w:szCs w:val="24"/>
        </w:rPr>
        <w:t xml:space="preserve">Contrary to the Crown’s submission, </w:t>
      </w:r>
      <w:r w:rsidR="00306914" w:rsidRPr="009D7B9C">
        <w:rPr>
          <w:rFonts w:cs="Times New Roman"/>
          <w:szCs w:val="24"/>
        </w:rPr>
        <w:t xml:space="preserve">the </w:t>
      </w:r>
      <w:r w:rsidR="00FE697B" w:rsidRPr="009D7B9C">
        <w:rPr>
          <w:rFonts w:cs="Times New Roman"/>
          <w:szCs w:val="24"/>
        </w:rPr>
        <w:t>trial judge</w:t>
      </w:r>
      <w:r w:rsidR="00D30BC7" w:rsidRPr="009D7B9C">
        <w:rPr>
          <w:rFonts w:cs="Times New Roman"/>
          <w:szCs w:val="24"/>
        </w:rPr>
        <w:t xml:space="preserve"> </w:t>
      </w:r>
      <w:r w:rsidRPr="009D7B9C">
        <w:rPr>
          <w:rFonts w:cs="Times New Roman"/>
          <w:szCs w:val="24"/>
        </w:rPr>
        <w:t xml:space="preserve">thus </w:t>
      </w:r>
      <w:r w:rsidR="00D30BC7" w:rsidRPr="009D7B9C">
        <w:rPr>
          <w:rFonts w:cs="Times New Roman"/>
          <w:szCs w:val="24"/>
        </w:rPr>
        <w:t>recognized th</w:t>
      </w:r>
      <w:r w:rsidR="00260B4E" w:rsidRPr="009D7B9C">
        <w:rPr>
          <w:rFonts w:cs="Times New Roman"/>
          <w:szCs w:val="24"/>
        </w:rPr>
        <w:t xml:space="preserve">at </w:t>
      </w:r>
      <w:r w:rsidR="00D30BC7" w:rsidRPr="009D7B9C">
        <w:rPr>
          <w:rFonts w:cs="Times New Roman"/>
          <w:szCs w:val="24"/>
        </w:rPr>
        <w:t xml:space="preserve">the Crown </w:t>
      </w:r>
      <w:r w:rsidR="00260B4E" w:rsidRPr="009D7B9C">
        <w:rPr>
          <w:rFonts w:cs="Times New Roman"/>
          <w:szCs w:val="24"/>
        </w:rPr>
        <w:t>was not required to</w:t>
      </w:r>
      <w:r w:rsidR="00D30BC7" w:rsidRPr="009D7B9C">
        <w:rPr>
          <w:rFonts w:cs="Times New Roman"/>
          <w:szCs w:val="24"/>
        </w:rPr>
        <w:t xml:space="preserve"> locate the missing funds</w:t>
      </w:r>
      <w:r w:rsidRPr="009D7B9C">
        <w:rPr>
          <w:rFonts w:cs="Times New Roman"/>
          <w:szCs w:val="24"/>
        </w:rPr>
        <w:t xml:space="preserve">.  She committed </w:t>
      </w:r>
      <w:r w:rsidR="009F58F3" w:rsidRPr="009D7B9C">
        <w:rPr>
          <w:rFonts w:cs="Times New Roman"/>
          <w:szCs w:val="24"/>
        </w:rPr>
        <w:t>no error of law</w:t>
      </w:r>
      <w:r w:rsidRPr="009D7B9C">
        <w:rPr>
          <w:rFonts w:cs="Times New Roman"/>
          <w:szCs w:val="24"/>
        </w:rPr>
        <w:t xml:space="preserve"> in this regard</w:t>
      </w:r>
      <w:r w:rsidR="006A5A0B" w:rsidRPr="009D7B9C">
        <w:rPr>
          <w:rFonts w:cs="Times New Roman"/>
          <w:szCs w:val="24"/>
        </w:rPr>
        <w:t>.</w:t>
      </w:r>
    </w:p>
    <w:p w:rsidR="00E13384" w:rsidRPr="009D7B9C" w:rsidRDefault="007D1D75" w:rsidP="00E13384">
      <w:pPr>
        <w:pStyle w:val="ParaNoNdepar-AltN"/>
        <w:rPr>
          <w:rFonts w:cs="Times New Roman"/>
          <w:szCs w:val="24"/>
        </w:rPr>
      </w:pPr>
      <w:r w:rsidRPr="009D7B9C">
        <w:rPr>
          <w:rFonts w:cs="Times New Roman"/>
          <w:szCs w:val="24"/>
        </w:rPr>
        <w:t xml:space="preserve">Nor did </w:t>
      </w:r>
      <w:r w:rsidR="00352E0B" w:rsidRPr="009D7B9C">
        <w:rPr>
          <w:rFonts w:cs="Times New Roman"/>
          <w:szCs w:val="24"/>
        </w:rPr>
        <w:t>the trial judge</w:t>
      </w:r>
      <w:r w:rsidRPr="009D7B9C">
        <w:rPr>
          <w:rFonts w:cs="Times New Roman"/>
          <w:szCs w:val="24"/>
        </w:rPr>
        <w:t xml:space="preserve"> commit a</w:t>
      </w:r>
      <w:r w:rsidR="00352E0B" w:rsidRPr="009D7B9C">
        <w:rPr>
          <w:rFonts w:cs="Times New Roman"/>
          <w:szCs w:val="24"/>
        </w:rPr>
        <w:t xml:space="preserve"> reviewable</w:t>
      </w:r>
      <w:r w:rsidRPr="009D7B9C">
        <w:rPr>
          <w:rFonts w:cs="Times New Roman"/>
          <w:szCs w:val="24"/>
        </w:rPr>
        <w:t xml:space="preserve"> error in </w:t>
      </w:r>
      <w:r w:rsidR="00352E0B" w:rsidRPr="009D7B9C">
        <w:rPr>
          <w:rFonts w:cs="Times New Roman"/>
          <w:szCs w:val="24"/>
        </w:rPr>
        <w:t xml:space="preserve">deciding not to impose a fine.  She was simply not satisfied, as required by s. 734(2), that </w:t>
      </w:r>
      <w:r w:rsidR="00306914" w:rsidRPr="009D7B9C">
        <w:rPr>
          <w:rFonts w:cs="Times New Roman"/>
          <w:szCs w:val="24"/>
        </w:rPr>
        <w:t xml:space="preserve">Mr. </w:t>
      </w:r>
      <w:proofErr w:type="spellStart"/>
      <w:r w:rsidR="00306914" w:rsidRPr="009D7B9C">
        <w:rPr>
          <w:rFonts w:cs="Times New Roman"/>
          <w:szCs w:val="24"/>
        </w:rPr>
        <w:t>Topp</w:t>
      </w:r>
      <w:proofErr w:type="spellEnd"/>
      <w:r w:rsidR="00306914" w:rsidRPr="009D7B9C">
        <w:rPr>
          <w:rFonts w:cs="Times New Roman"/>
          <w:szCs w:val="24"/>
        </w:rPr>
        <w:t xml:space="preserve"> was able to pay.  </w:t>
      </w:r>
      <w:r w:rsidR="00352E0B" w:rsidRPr="009D7B9C">
        <w:rPr>
          <w:rFonts w:cs="Times New Roman"/>
          <w:szCs w:val="24"/>
        </w:rPr>
        <w:t>This conclusion was open to her, as a matter of law, on the facts as she found them</w:t>
      </w:r>
      <w:r w:rsidR="00EC04B4" w:rsidRPr="009D7B9C">
        <w:rPr>
          <w:rFonts w:cs="Times New Roman"/>
          <w:szCs w:val="24"/>
        </w:rPr>
        <w:t>.</w:t>
      </w:r>
      <w:r w:rsidR="00041915" w:rsidRPr="009D7B9C">
        <w:rPr>
          <w:rFonts w:cs="Times New Roman"/>
          <w:szCs w:val="24"/>
          <w:lang w:val="en-US"/>
        </w:rPr>
        <w:t xml:space="preserve">  </w:t>
      </w:r>
      <w:r w:rsidR="00EC04B4" w:rsidRPr="009D7B9C">
        <w:rPr>
          <w:rFonts w:cs="Times New Roman"/>
          <w:szCs w:val="24"/>
        </w:rPr>
        <w:t xml:space="preserve">On the evidence and information before her, the judge was not </w:t>
      </w:r>
      <w:r w:rsidR="00EC04B4" w:rsidRPr="009D7B9C">
        <w:rPr>
          <w:rFonts w:cs="Times New Roman"/>
          <w:szCs w:val="24"/>
        </w:rPr>
        <w:lastRenderedPageBreak/>
        <w:t xml:space="preserve">bound to infer, on the balance of probabilities, that Mr. </w:t>
      </w:r>
      <w:proofErr w:type="spellStart"/>
      <w:r w:rsidR="00EC04B4" w:rsidRPr="009D7B9C">
        <w:rPr>
          <w:rFonts w:cs="Times New Roman"/>
          <w:szCs w:val="24"/>
        </w:rPr>
        <w:t>Topp</w:t>
      </w:r>
      <w:proofErr w:type="spellEnd"/>
      <w:r w:rsidR="00EC04B4" w:rsidRPr="009D7B9C">
        <w:rPr>
          <w:rFonts w:cs="Times New Roman"/>
          <w:szCs w:val="24"/>
        </w:rPr>
        <w:t xml:space="preserve"> was able to pay the fine sought by the Crown.  Seven years had passed between Mr. </w:t>
      </w:r>
      <w:proofErr w:type="spellStart"/>
      <w:r w:rsidR="00EC04B4" w:rsidRPr="009D7B9C">
        <w:rPr>
          <w:rFonts w:cs="Times New Roman"/>
          <w:szCs w:val="24"/>
        </w:rPr>
        <w:t>Topp’s</w:t>
      </w:r>
      <w:proofErr w:type="spellEnd"/>
      <w:r w:rsidR="00EC04B4" w:rsidRPr="009D7B9C">
        <w:rPr>
          <w:rFonts w:cs="Times New Roman"/>
          <w:szCs w:val="24"/>
        </w:rPr>
        <w:t xml:space="preserve"> acquisition of the fraudulently obtained funds and the hearing on sentence.  Mr. </w:t>
      </w:r>
      <w:proofErr w:type="spellStart"/>
      <w:r w:rsidR="00EC04B4" w:rsidRPr="009D7B9C">
        <w:rPr>
          <w:rFonts w:cs="Times New Roman"/>
          <w:szCs w:val="24"/>
        </w:rPr>
        <w:t>Topp</w:t>
      </w:r>
      <w:proofErr w:type="spellEnd"/>
      <w:r w:rsidR="00EC04B4" w:rsidRPr="009D7B9C">
        <w:rPr>
          <w:rFonts w:cs="Times New Roman"/>
          <w:szCs w:val="24"/>
        </w:rPr>
        <w:t xml:space="preserve"> was by then 64 years old, had lost his licen</w:t>
      </w:r>
      <w:r w:rsidR="006726E5" w:rsidRPr="009D7B9C">
        <w:rPr>
          <w:rFonts w:cs="Times New Roman"/>
          <w:szCs w:val="24"/>
        </w:rPr>
        <w:t>c</w:t>
      </w:r>
      <w:r w:rsidR="00EC04B4" w:rsidRPr="009D7B9C">
        <w:rPr>
          <w:rFonts w:cs="Times New Roman"/>
          <w:szCs w:val="24"/>
        </w:rPr>
        <w:t>e to work as a customs broker, was unlikely to find future employment, and had “few tangible assets” (A</w:t>
      </w:r>
      <w:r w:rsidR="006726E5" w:rsidRPr="009D7B9C">
        <w:rPr>
          <w:rFonts w:cs="Times New Roman"/>
          <w:szCs w:val="24"/>
        </w:rPr>
        <w:t>.</w:t>
      </w:r>
      <w:r w:rsidR="00EC04B4" w:rsidRPr="009D7B9C">
        <w:rPr>
          <w:rFonts w:cs="Times New Roman"/>
          <w:szCs w:val="24"/>
        </w:rPr>
        <w:t>R</w:t>
      </w:r>
      <w:r w:rsidR="006726E5" w:rsidRPr="009D7B9C">
        <w:rPr>
          <w:rFonts w:cs="Times New Roman"/>
          <w:szCs w:val="24"/>
        </w:rPr>
        <w:t>.</w:t>
      </w:r>
      <w:r w:rsidR="00EC04B4" w:rsidRPr="009D7B9C">
        <w:rPr>
          <w:rFonts w:cs="Times New Roman"/>
          <w:szCs w:val="24"/>
        </w:rPr>
        <w:t xml:space="preserve">, </w:t>
      </w:r>
      <w:r w:rsidR="006726E5" w:rsidRPr="009D7B9C">
        <w:rPr>
          <w:rFonts w:cs="Times New Roman"/>
          <w:szCs w:val="24"/>
        </w:rPr>
        <w:t xml:space="preserve">at </w:t>
      </w:r>
      <w:r w:rsidR="00EC04B4" w:rsidRPr="009D7B9C">
        <w:rPr>
          <w:rFonts w:cs="Times New Roman"/>
          <w:szCs w:val="24"/>
        </w:rPr>
        <w:t>p. 32).</w:t>
      </w:r>
    </w:p>
    <w:p w:rsidR="00E85A4A" w:rsidRPr="009D7B9C" w:rsidRDefault="00E85A4A" w:rsidP="000F26C4">
      <w:pPr>
        <w:pStyle w:val="ParaNoNdepar-AltN"/>
        <w:rPr>
          <w:rFonts w:cs="Times New Roman"/>
          <w:szCs w:val="24"/>
        </w:rPr>
      </w:pPr>
      <w:r w:rsidRPr="009D7B9C">
        <w:rPr>
          <w:rFonts w:cs="Times New Roman"/>
          <w:szCs w:val="24"/>
        </w:rPr>
        <w:t xml:space="preserve">Another judge, I repeat, could certainly have decided otherwise, but I agree with the Court of Appeal that Judge </w:t>
      </w:r>
      <w:proofErr w:type="spellStart"/>
      <w:r w:rsidRPr="009D7B9C">
        <w:rPr>
          <w:rFonts w:cs="Times New Roman"/>
          <w:szCs w:val="24"/>
        </w:rPr>
        <w:t>Baltman</w:t>
      </w:r>
      <w:proofErr w:type="spellEnd"/>
      <w:r w:rsidRPr="009D7B9C">
        <w:rPr>
          <w:rFonts w:cs="Times New Roman"/>
          <w:szCs w:val="24"/>
        </w:rPr>
        <w:t xml:space="preserve"> committed no reviewable error in deciding as she did.</w:t>
      </w:r>
    </w:p>
    <w:p w:rsidR="0082593D" w:rsidRPr="009D7B9C" w:rsidRDefault="00E85A4A" w:rsidP="00E85A4A">
      <w:pPr>
        <w:pStyle w:val="ParaNoNdepar-AltN"/>
        <w:numPr>
          <w:ilvl w:val="0"/>
          <w:numId w:val="0"/>
        </w:numPr>
        <w:jc w:val="center"/>
        <w:rPr>
          <w:rFonts w:cs="Times New Roman"/>
          <w:szCs w:val="24"/>
        </w:rPr>
      </w:pPr>
      <w:r w:rsidRPr="009D7B9C">
        <w:rPr>
          <w:rFonts w:cs="Times New Roman"/>
          <w:szCs w:val="24"/>
        </w:rPr>
        <w:t>VI</w:t>
      </w:r>
    </w:p>
    <w:p w:rsidR="00EE1B8D" w:rsidRPr="009D7B9C" w:rsidRDefault="000C4277" w:rsidP="001420B7">
      <w:pPr>
        <w:pStyle w:val="ParaNoNdepar-AltN"/>
        <w:rPr>
          <w:rFonts w:cs="Times New Roman"/>
          <w:szCs w:val="24"/>
        </w:rPr>
      </w:pPr>
      <w:r w:rsidRPr="009D7B9C">
        <w:rPr>
          <w:rFonts w:cs="Times New Roman"/>
          <w:szCs w:val="24"/>
        </w:rPr>
        <w:t>For all of these reasons, as stated</w:t>
      </w:r>
      <w:r w:rsidR="00F771A7" w:rsidRPr="009D7B9C">
        <w:rPr>
          <w:rFonts w:cs="Times New Roman"/>
          <w:szCs w:val="24"/>
        </w:rPr>
        <w:t xml:space="preserve"> at the outset, I would dismiss</w:t>
      </w:r>
      <w:r w:rsidRPr="009D7B9C">
        <w:rPr>
          <w:rFonts w:cs="Times New Roman"/>
          <w:szCs w:val="24"/>
        </w:rPr>
        <w:t xml:space="preserve"> </w:t>
      </w:r>
      <w:r w:rsidR="00E13384" w:rsidRPr="009D7B9C">
        <w:rPr>
          <w:rFonts w:cs="Times New Roman"/>
          <w:szCs w:val="24"/>
        </w:rPr>
        <w:t xml:space="preserve">the </w:t>
      </w:r>
      <w:r w:rsidRPr="009D7B9C">
        <w:rPr>
          <w:rFonts w:cs="Times New Roman"/>
          <w:szCs w:val="24"/>
        </w:rPr>
        <w:t>appeal.</w:t>
      </w:r>
    </w:p>
    <w:p w:rsidR="00EE1B8D" w:rsidRPr="009D7B9C" w:rsidRDefault="00EE1B8D" w:rsidP="00EE1B8D">
      <w:pPr>
        <w:pStyle w:val="SCCNormalDoubleSpacing"/>
        <w:spacing w:after="480"/>
        <w:rPr>
          <w:rFonts w:ascii="Times New Roman" w:hAnsi="Times New Roman" w:cs="Times New Roman"/>
          <w:i/>
          <w:sz w:val="24"/>
          <w:szCs w:val="24"/>
          <w:lang w:val="en-CA"/>
        </w:rPr>
      </w:pPr>
      <w:r w:rsidRPr="009D7B9C">
        <w:rPr>
          <w:rFonts w:ascii="Times New Roman" w:hAnsi="Times New Roman" w:cs="Times New Roman"/>
          <w:i/>
          <w:sz w:val="24"/>
          <w:szCs w:val="24"/>
          <w:lang w:val="en-CA"/>
        </w:rPr>
        <w:tab/>
        <w:t>Appeal dismissed.</w:t>
      </w:r>
    </w:p>
    <w:p w:rsidR="00EE1B8D" w:rsidRPr="009D7B9C" w:rsidRDefault="00EE1B8D" w:rsidP="00EE1B8D">
      <w:pPr>
        <w:pStyle w:val="SCCNormalDoubleSpacing"/>
        <w:spacing w:after="480"/>
        <w:rPr>
          <w:rFonts w:ascii="Times New Roman" w:hAnsi="Times New Roman" w:cs="Times New Roman"/>
          <w:i/>
          <w:sz w:val="24"/>
          <w:szCs w:val="24"/>
          <w:lang w:val="en-CA"/>
        </w:rPr>
      </w:pPr>
      <w:r w:rsidRPr="009D7B9C">
        <w:rPr>
          <w:rFonts w:ascii="Times New Roman" w:hAnsi="Times New Roman" w:cs="Times New Roman"/>
          <w:sz w:val="24"/>
          <w:szCs w:val="24"/>
          <w:lang w:val="en-CA"/>
        </w:rPr>
        <w:tab/>
      </w:r>
      <w:r w:rsidRPr="009D7B9C">
        <w:rPr>
          <w:rStyle w:val="SCCCounselNameChar"/>
          <w:rFonts w:ascii="Times New Roman" w:hAnsi="Times New Roman" w:cs="Times New Roman"/>
          <w:szCs w:val="24"/>
          <w:lang w:val="en-CA"/>
        </w:rPr>
        <w:t>Solicitor</w:t>
      </w:r>
      <w:r w:rsidRPr="009D7B9C">
        <w:rPr>
          <w:rFonts w:ascii="Times New Roman" w:hAnsi="Times New Roman" w:cs="Times New Roman"/>
          <w:i/>
          <w:sz w:val="24"/>
          <w:szCs w:val="24"/>
          <w:lang w:val="en-CA"/>
        </w:rPr>
        <w:t xml:space="preserve"> for the appellant:  Public Prosecution Service of Canada, Toronto.</w:t>
      </w:r>
    </w:p>
    <w:p w:rsidR="00EE1B8D" w:rsidRPr="009D7B9C" w:rsidRDefault="00EE1B8D" w:rsidP="00EE1B8D">
      <w:pPr>
        <w:pStyle w:val="SCCNormalDoubleSpacing"/>
        <w:spacing w:after="480"/>
        <w:rPr>
          <w:rFonts w:ascii="Times New Roman" w:hAnsi="Times New Roman" w:cs="Times New Roman"/>
          <w:i/>
          <w:sz w:val="24"/>
          <w:szCs w:val="24"/>
          <w:lang w:val="en-CA"/>
        </w:rPr>
      </w:pPr>
      <w:r w:rsidRPr="009D7B9C">
        <w:rPr>
          <w:rFonts w:ascii="Times New Roman" w:hAnsi="Times New Roman" w:cs="Times New Roman"/>
          <w:i/>
          <w:sz w:val="24"/>
          <w:szCs w:val="24"/>
          <w:lang w:val="en-CA"/>
        </w:rPr>
        <w:tab/>
      </w:r>
      <w:r w:rsidRPr="009D7B9C">
        <w:rPr>
          <w:rStyle w:val="SCCCounselNameChar"/>
          <w:rFonts w:ascii="Times New Roman" w:hAnsi="Times New Roman" w:cs="Times New Roman"/>
          <w:szCs w:val="24"/>
          <w:lang w:val="en-CA"/>
        </w:rPr>
        <w:t>Solicitor</w:t>
      </w:r>
      <w:r w:rsidRPr="009D7B9C">
        <w:rPr>
          <w:rFonts w:ascii="Times New Roman" w:hAnsi="Times New Roman" w:cs="Times New Roman"/>
          <w:i/>
          <w:sz w:val="24"/>
          <w:szCs w:val="24"/>
          <w:lang w:val="en-CA"/>
        </w:rPr>
        <w:t xml:space="preserve"> for the intervener:  Attorney General of Alberta, Edmonton.</w:t>
      </w:r>
    </w:p>
    <w:p w:rsidR="00EE1B8D" w:rsidRPr="009D7B9C" w:rsidRDefault="00EE1B8D" w:rsidP="00FD0A74">
      <w:pPr>
        <w:pStyle w:val="SCCNormalDoubleSpacing"/>
        <w:spacing w:after="480"/>
        <w:rPr>
          <w:rFonts w:ascii="Times New Roman" w:eastAsiaTheme="minorEastAsia" w:hAnsi="Times New Roman" w:cs="Times New Roman"/>
          <w:sz w:val="24"/>
          <w:szCs w:val="24"/>
          <w:lang w:val="en-CA"/>
        </w:rPr>
      </w:pPr>
      <w:r w:rsidRPr="009D7B9C">
        <w:rPr>
          <w:rFonts w:ascii="Times New Roman" w:hAnsi="Times New Roman" w:cs="Times New Roman"/>
          <w:i/>
          <w:sz w:val="24"/>
          <w:szCs w:val="24"/>
          <w:lang w:val="en-CA"/>
        </w:rPr>
        <w:lastRenderedPageBreak/>
        <w:tab/>
      </w:r>
      <w:r w:rsidRPr="009D7B9C">
        <w:rPr>
          <w:rStyle w:val="SCCCounselNameChar"/>
          <w:rFonts w:ascii="Times New Roman" w:hAnsi="Times New Roman" w:cs="Times New Roman"/>
          <w:szCs w:val="24"/>
          <w:lang w:val="en-CA"/>
        </w:rPr>
        <w:t xml:space="preserve">Solicitors </w:t>
      </w:r>
      <w:r w:rsidR="004E5037" w:rsidRPr="009D7B9C">
        <w:rPr>
          <w:rStyle w:val="SCCCounselNameChar"/>
          <w:rFonts w:ascii="Times New Roman" w:hAnsi="Times New Roman" w:cs="Times New Roman"/>
          <w:szCs w:val="24"/>
          <w:lang w:val="en-CA"/>
        </w:rPr>
        <w:t>appointed by the Court as</w:t>
      </w:r>
      <w:r w:rsidRPr="009D7B9C">
        <w:rPr>
          <w:rStyle w:val="SCCCounselNameChar"/>
          <w:rFonts w:ascii="Times New Roman" w:hAnsi="Times New Roman" w:cs="Times New Roman"/>
          <w:szCs w:val="24"/>
          <w:lang w:val="en-CA"/>
        </w:rPr>
        <w:t xml:space="preserve"> </w:t>
      </w:r>
      <w:r w:rsidRPr="009D7B9C">
        <w:rPr>
          <w:rFonts w:ascii="Times New Roman" w:hAnsi="Times New Roman" w:cs="Times New Roman"/>
          <w:i/>
          <w:sz w:val="24"/>
          <w:szCs w:val="24"/>
          <w:lang w:val="en-CA"/>
        </w:rPr>
        <w:t>amicus curiae:  </w:t>
      </w:r>
      <w:proofErr w:type="spellStart"/>
      <w:r w:rsidRPr="009D7B9C">
        <w:rPr>
          <w:rFonts w:ascii="Times New Roman" w:hAnsi="Times New Roman" w:cs="Times New Roman"/>
          <w:i/>
          <w:sz w:val="24"/>
          <w:szCs w:val="24"/>
          <w:lang w:val="en-CA"/>
        </w:rPr>
        <w:t>Schreck</w:t>
      </w:r>
      <w:proofErr w:type="spellEnd"/>
      <w:r w:rsidRPr="009D7B9C">
        <w:rPr>
          <w:rFonts w:ascii="Times New Roman" w:hAnsi="Times New Roman" w:cs="Times New Roman"/>
          <w:i/>
          <w:sz w:val="24"/>
          <w:szCs w:val="24"/>
          <w:lang w:val="en-CA"/>
        </w:rPr>
        <w:t xml:space="preserve"> Presser, Toronto.</w:t>
      </w:r>
    </w:p>
    <w:sectPr w:rsidR="00EE1B8D" w:rsidRPr="009D7B9C" w:rsidSect="003F33B5">
      <w:headerReference w:type="even" r:id="rId10"/>
      <w:headerReference w:type="default" r:id="rId11"/>
      <w:footerReference w:type="even" r:id="rId12"/>
      <w:pgSz w:w="12240" w:h="15840"/>
      <w:pgMar w:top="1800" w:right="2160" w:bottom="1195" w:left="1800" w:header="180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007" w:rsidRDefault="00192007">
      <w:r>
        <w:separator/>
      </w:r>
    </w:p>
  </w:endnote>
  <w:endnote w:type="continuationSeparator" w:id="0">
    <w:p w:rsidR="00192007" w:rsidRDefault="001920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6030"/>
      <w:gridCol w:w="3330"/>
    </w:tblGrid>
    <w:tr w:rsidR="00192007">
      <w:trPr>
        <w:cantSplit/>
      </w:trPr>
      <w:tc>
        <w:tcPr>
          <w:tcW w:w="6030" w:type="dxa"/>
          <w:tcBorders>
            <w:top w:val="nil"/>
            <w:left w:val="nil"/>
            <w:bottom w:val="nil"/>
            <w:right w:val="nil"/>
          </w:tcBorders>
          <w:tcMar>
            <w:top w:w="120" w:type="dxa"/>
            <w:left w:w="120" w:type="dxa"/>
            <w:bottom w:w="58" w:type="dxa"/>
            <w:right w:w="120" w:type="dxa"/>
          </w:tcMar>
        </w:tcPr>
        <w:p w:rsidR="00192007" w:rsidRPr="009D7B9C" w:rsidRDefault="000A1DE5">
          <w:pPr>
            <w:tabs>
              <w:tab w:val="left" w:pos="-1440"/>
              <w:tab w:val="left" w:pos="-720"/>
              <w:tab w:val="left" w:pos="0"/>
              <w:tab w:val="left" w:pos="1152"/>
              <w:tab w:val="left" w:pos="1570"/>
              <w:tab w:val="left" w:pos="1843"/>
              <w:tab w:val="left" w:pos="2261"/>
              <w:tab w:val="left" w:pos="6480"/>
            </w:tabs>
            <w:jc w:val="both"/>
            <w:rPr>
              <w:lang w:val="en-CA"/>
            </w:rPr>
          </w:pPr>
          <w:fldSimple w:instr=" FILENAME \p \* MERGEFORMAT ">
            <w:r w:rsidR="00532F92">
              <w:rPr>
                <w:noProof/>
                <w:lang w:val="en-CA"/>
              </w:rPr>
              <w:t>H:\Private\crdp\Topp-en.docx</w:t>
            </w:r>
          </w:fldSimple>
        </w:p>
      </w:tc>
      <w:tc>
        <w:tcPr>
          <w:tcW w:w="3330" w:type="dxa"/>
          <w:tcBorders>
            <w:top w:val="nil"/>
            <w:left w:val="nil"/>
            <w:bottom w:val="nil"/>
            <w:right w:val="nil"/>
          </w:tcBorders>
          <w:tcMar>
            <w:top w:w="120" w:type="dxa"/>
            <w:left w:w="120" w:type="dxa"/>
            <w:bottom w:w="58" w:type="dxa"/>
            <w:right w:w="120" w:type="dxa"/>
          </w:tcMar>
        </w:tcPr>
        <w:p w:rsidR="00192007" w:rsidRDefault="00192007">
          <w:pPr>
            <w:tabs>
              <w:tab w:val="left" w:pos="-1440"/>
              <w:tab w:val="left" w:pos="-720"/>
              <w:tab w:val="left" w:pos="0"/>
              <w:tab w:val="left" w:pos="1152"/>
              <w:tab w:val="left" w:pos="1570"/>
              <w:tab w:val="left" w:pos="1843"/>
              <w:tab w:val="left" w:pos="2261"/>
              <w:tab w:val="left" w:pos="6480"/>
            </w:tabs>
            <w:jc w:val="right"/>
          </w:pPr>
          <w:r w:rsidRPr="009D7B9C">
            <w:rPr>
              <w:lang w:val="en-CA"/>
            </w:rPr>
            <w:t xml:space="preserve"> </w:t>
          </w:r>
          <w:r>
            <w:t>()</w:t>
          </w:r>
        </w:p>
      </w:tc>
    </w:tr>
  </w:tbl>
  <w:p w:rsidR="00192007" w:rsidRDefault="00192007">
    <w:pPr>
      <w:tabs>
        <w:tab w:val="left" w:pos="-1440"/>
        <w:tab w:val="left" w:pos="-720"/>
        <w:tab w:val="left" w:pos="0"/>
        <w:tab w:val="left" w:pos="1152"/>
        <w:tab w:val="left" w:pos="1570"/>
        <w:tab w:val="left" w:pos="1843"/>
        <w:tab w:val="left" w:pos="2261"/>
        <w:tab w:val="left" w:pos="64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007" w:rsidRDefault="00192007">
      <w:r>
        <w:separator/>
      </w:r>
    </w:p>
  </w:footnote>
  <w:footnote w:type="continuationSeparator" w:id="0">
    <w:p w:rsidR="00192007" w:rsidRDefault="00192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07" w:rsidRDefault="00192007">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07" w:rsidRDefault="00192007" w:rsidP="009D587F">
    <w:pPr>
      <w:jc w:val="center"/>
    </w:pPr>
    <w:r>
      <w:t xml:space="preserve">- </w:t>
    </w:r>
    <w:fldSimple w:instr=" PAGE   \* MERGEFORMAT ">
      <w:r w:rsidR="00532F92">
        <w:rPr>
          <w:noProof/>
        </w:rPr>
        <w:t>6</w:t>
      </w:r>
    </w:fldSimple>
    <w:r>
      <w:t xml:space="preserve"> -</w:t>
    </w:r>
  </w:p>
  <w:p w:rsidR="00192007" w:rsidRPr="000B0B7C" w:rsidRDefault="00192007" w:rsidP="009D587F">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1"/>
  </w:num>
  <w:num w:numId="3">
    <w:abstractNumId w:val="10"/>
  </w:num>
  <w:num w:numId="4">
    <w:abstractNumId w:val="13"/>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linkStyl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docVars>
    <w:docVar w:name="dgnword-docGUID" w:val="{40E10160-4481-42EA-9E59-12AB85FA91D6}"/>
    <w:docVar w:name="dgnword-eventsink" w:val="211553376"/>
  </w:docVars>
  <w:rsids>
    <w:rsidRoot w:val="009811B2"/>
    <w:rsid w:val="00000172"/>
    <w:rsid w:val="00002B5C"/>
    <w:rsid w:val="00005973"/>
    <w:rsid w:val="000067CD"/>
    <w:rsid w:val="00007061"/>
    <w:rsid w:val="00020CBD"/>
    <w:rsid w:val="000258EC"/>
    <w:rsid w:val="00030C53"/>
    <w:rsid w:val="000364D8"/>
    <w:rsid w:val="0004170A"/>
    <w:rsid w:val="00041915"/>
    <w:rsid w:val="00050A61"/>
    <w:rsid w:val="00055DEF"/>
    <w:rsid w:val="000639E4"/>
    <w:rsid w:val="0006437E"/>
    <w:rsid w:val="00082465"/>
    <w:rsid w:val="00087F04"/>
    <w:rsid w:val="00090E81"/>
    <w:rsid w:val="00091D69"/>
    <w:rsid w:val="00096C32"/>
    <w:rsid w:val="000A0D25"/>
    <w:rsid w:val="000A1DE5"/>
    <w:rsid w:val="000B0B7C"/>
    <w:rsid w:val="000B0C74"/>
    <w:rsid w:val="000B12B2"/>
    <w:rsid w:val="000B3641"/>
    <w:rsid w:val="000C230A"/>
    <w:rsid w:val="000C4277"/>
    <w:rsid w:val="000C528A"/>
    <w:rsid w:val="000C5B54"/>
    <w:rsid w:val="000C7F4B"/>
    <w:rsid w:val="000D5FD3"/>
    <w:rsid w:val="000E0793"/>
    <w:rsid w:val="000E7FCC"/>
    <w:rsid w:val="000F26C4"/>
    <w:rsid w:val="000F4C2F"/>
    <w:rsid w:val="00116C4A"/>
    <w:rsid w:val="00120446"/>
    <w:rsid w:val="00123D30"/>
    <w:rsid w:val="001335AF"/>
    <w:rsid w:val="00136944"/>
    <w:rsid w:val="001420B7"/>
    <w:rsid w:val="00146CD9"/>
    <w:rsid w:val="0016077E"/>
    <w:rsid w:val="0018294F"/>
    <w:rsid w:val="0018799C"/>
    <w:rsid w:val="00192007"/>
    <w:rsid w:val="001A33D9"/>
    <w:rsid w:val="001A3E47"/>
    <w:rsid w:val="001B1D41"/>
    <w:rsid w:val="001B73E9"/>
    <w:rsid w:val="001C274C"/>
    <w:rsid w:val="001D295C"/>
    <w:rsid w:val="001D6105"/>
    <w:rsid w:val="001D7631"/>
    <w:rsid w:val="001D7803"/>
    <w:rsid w:val="001E54F5"/>
    <w:rsid w:val="001F2CAE"/>
    <w:rsid w:val="001F5D12"/>
    <w:rsid w:val="001F73FE"/>
    <w:rsid w:val="00200A57"/>
    <w:rsid w:val="00201EBC"/>
    <w:rsid w:val="00204230"/>
    <w:rsid w:val="00206FC8"/>
    <w:rsid w:val="00207D34"/>
    <w:rsid w:val="002153C0"/>
    <w:rsid w:val="0021716E"/>
    <w:rsid w:val="00217737"/>
    <w:rsid w:val="0022010A"/>
    <w:rsid w:val="002212D8"/>
    <w:rsid w:val="002224AD"/>
    <w:rsid w:val="00226791"/>
    <w:rsid w:val="0023728D"/>
    <w:rsid w:val="002441D1"/>
    <w:rsid w:val="00254DC8"/>
    <w:rsid w:val="00255376"/>
    <w:rsid w:val="00260B4E"/>
    <w:rsid w:val="00263CD1"/>
    <w:rsid w:val="002646EC"/>
    <w:rsid w:val="0027655A"/>
    <w:rsid w:val="00284E80"/>
    <w:rsid w:val="002912F7"/>
    <w:rsid w:val="00297F7F"/>
    <w:rsid w:val="002A33F8"/>
    <w:rsid w:val="002B7554"/>
    <w:rsid w:val="002B762C"/>
    <w:rsid w:val="002C0E40"/>
    <w:rsid w:val="002D0696"/>
    <w:rsid w:val="002D1960"/>
    <w:rsid w:val="002D42DE"/>
    <w:rsid w:val="002E48FF"/>
    <w:rsid w:val="002F3CAE"/>
    <w:rsid w:val="002F3CCE"/>
    <w:rsid w:val="0030303C"/>
    <w:rsid w:val="00304A8B"/>
    <w:rsid w:val="00306914"/>
    <w:rsid w:val="0033279A"/>
    <w:rsid w:val="00333F33"/>
    <w:rsid w:val="00342F3D"/>
    <w:rsid w:val="003433F9"/>
    <w:rsid w:val="0034363A"/>
    <w:rsid w:val="00352E0B"/>
    <w:rsid w:val="00354696"/>
    <w:rsid w:val="0036347B"/>
    <w:rsid w:val="00373981"/>
    <w:rsid w:val="0037520F"/>
    <w:rsid w:val="00376AC6"/>
    <w:rsid w:val="00387E3A"/>
    <w:rsid w:val="003A2A56"/>
    <w:rsid w:val="003B3FD9"/>
    <w:rsid w:val="003B5D6F"/>
    <w:rsid w:val="003C55EC"/>
    <w:rsid w:val="003C6E3F"/>
    <w:rsid w:val="003D2D36"/>
    <w:rsid w:val="003D7041"/>
    <w:rsid w:val="003E4C34"/>
    <w:rsid w:val="003E7B5D"/>
    <w:rsid w:val="003F33B5"/>
    <w:rsid w:val="003F5F7D"/>
    <w:rsid w:val="0041755C"/>
    <w:rsid w:val="00422692"/>
    <w:rsid w:val="00423F5D"/>
    <w:rsid w:val="00425BD2"/>
    <w:rsid w:val="00433FF6"/>
    <w:rsid w:val="00440790"/>
    <w:rsid w:val="004549E3"/>
    <w:rsid w:val="004558FC"/>
    <w:rsid w:val="0045623D"/>
    <w:rsid w:val="00462FAF"/>
    <w:rsid w:val="00465647"/>
    <w:rsid w:val="0048034E"/>
    <w:rsid w:val="00485B74"/>
    <w:rsid w:val="004A7115"/>
    <w:rsid w:val="004B097F"/>
    <w:rsid w:val="004C0498"/>
    <w:rsid w:val="004C1AAF"/>
    <w:rsid w:val="004C526A"/>
    <w:rsid w:val="004D3521"/>
    <w:rsid w:val="004E00C5"/>
    <w:rsid w:val="004E5037"/>
    <w:rsid w:val="004F2058"/>
    <w:rsid w:val="004F5097"/>
    <w:rsid w:val="004F6425"/>
    <w:rsid w:val="0050004E"/>
    <w:rsid w:val="00501BD0"/>
    <w:rsid w:val="00505915"/>
    <w:rsid w:val="00513D5C"/>
    <w:rsid w:val="00517058"/>
    <w:rsid w:val="005260CE"/>
    <w:rsid w:val="00532F92"/>
    <w:rsid w:val="0053509C"/>
    <w:rsid w:val="00535570"/>
    <w:rsid w:val="00553F3E"/>
    <w:rsid w:val="0055748C"/>
    <w:rsid w:val="00565638"/>
    <w:rsid w:val="00567716"/>
    <w:rsid w:val="00574259"/>
    <w:rsid w:val="005764E7"/>
    <w:rsid w:val="0057761B"/>
    <w:rsid w:val="005811C2"/>
    <w:rsid w:val="00584AE5"/>
    <w:rsid w:val="00584B4C"/>
    <w:rsid w:val="00586EC3"/>
    <w:rsid w:val="005930C0"/>
    <w:rsid w:val="00593AB3"/>
    <w:rsid w:val="005A0089"/>
    <w:rsid w:val="005A538F"/>
    <w:rsid w:val="005B344F"/>
    <w:rsid w:val="005E22DB"/>
    <w:rsid w:val="005E2C67"/>
    <w:rsid w:val="005E47D9"/>
    <w:rsid w:val="005E6F34"/>
    <w:rsid w:val="005F0F94"/>
    <w:rsid w:val="005F399D"/>
    <w:rsid w:val="005F6643"/>
    <w:rsid w:val="005F6669"/>
    <w:rsid w:val="006123D3"/>
    <w:rsid w:val="006306CA"/>
    <w:rsid w:val="00632AD8"/>
    <w:rsid w:val="00636A82"/>
    <w:rsid w:val="00636C83"/>
    <w:rsid w:val="00637761"/>
    <w:rsid w:val="00643730"/>
    <w:rsid w:val="00652114"/>
    <w:rsid w:val="00665918"/>
    <w:rsid w:val="006726E5"/>
    <w:rsid w:val="00681849"/>
    <w:rsid w:val="006860CB"/>
    <w:rsid w:val="00687261"/>
    <w:rsid w:val="00696078"/>
    <w:rsid w:val="006A2173"/>
    <w:rsid w:val="006A5A0B"/>
    <w:rsid w:val="006A6F76"/>
    <w:rsid w:val="006B2B56"/>
    <w:rsid w:val="006C4326"/>
    <w:rsid w:val="006E17D6"/>
    <w:rsid w:val="006E2397"/>
    <w:rsid w:val="006F394C"/>
    <w:rsid w:val="00706ED0"/>
    <w:rsid w:val="0071182D"/>
    <w:rsid w:val="007129FE"/>
    <w:rsid w:val="0071488B"/>
    <w:rsid w:val="007465F5"/>
    <w:rsid w:val="00753EBA"/>
    <w:rsid w:val="007543FD"/>
    <w:rsid w:val="007575A0"/>
    <w:rsid w:val="0076074A"/>
    <w:rsid w:val="007653A5"/>
    <w:rsid w:val="00771474"/>
    <w:rsid w:val="00773FDA"/>
    <w:rsid w:val="00791231"/>
    <w:rsid w:val="007A0E03"/>
    <w:rsid w:val="007A6ED7"/>
    <w:rsid w:val="007B4FCE"/>
    <w:rsid w:val="007C19A3"/>
    <w:rsid w:val="007D1D75"/>
    <w:rsid w:val="007D7D89"/>
    <w:rsid w:val="00805206"/>
    <w:rsid w:val="00805532"/>
    <w:rsid w:val="00821C1C"/>
    <w:rsid w:val="00823C39"/>
    <w:rsid w:val="00824801"/>
    <w:rsid w:val="0082593D"/>
    <w:rsid w:val="00825EA2"/>
    <w:rsid w:val="00833532"/>
    <w:rsid w:val="00835277"/>
    <w:rsid w:val="00846B55"/>
    <w:rsid w:val="00863A5F"/>
    <w:rsid w:val="00873577"/>
    <w:rsid w:val="00874862"/>
    <w:rsid w:val="0087708D"/>
    <w:rsid w:val="00884795"/>
    <w:rsid w:val="00886A7A"/>
    <w:rsid w:val="00891B35"/>
    <w:rsid w:val="00895908"/>
    <w:rsid w:val="008A0C69"/>
    <w:rsid w:val="008A3468"/>
    <w:rsid w:val="008B05B8"/>
    <w:rsid w:val="008B57FE"/>
    <w:rsid w:val="008C0F1B"/>
    <w:rsid w:val="008C261B"/>
    <w:rsid w:val="008C299E"/>
    <w:rsid w:val="008C2DC0"/>
    <w:rsid w:val="008C41D9"/>
    <w:rsid w:val="008C6026"/>
    <w:rsid w:val="008D1F96"/>
    <w:rsid w:val="008E7EDB"/>
    <w:rsid w:val="008F1A9F"/>
    <w:rsid w:val="008F44AE"/>
    <w:rsid w:val="008F64D6"/>
    <w:rsid w:val="008F703F"/>
    <w:rsid w:val="008F7C6E"/>
    <w:rsid w:val="00905173"/>
    <w:rsid w:val="00906490"/>
    <w:rsid w:val="0090796F"/>
    <w:rsid w:val="00914473"/>
    <w:rsid w:val="0091646D"/>
    <w:rsid w:val="00926918"/>
    <w:rsid w:val="00931737"/>
    <w:rsid w:val="00934D82"/>
    <w:rsid w:val="00945CE2"/>
    <w:rsid w:val="00957BA6"/>
    <w:rsid w:val="00960657"/>
    <w:rsid w:val="00961BD8"/>
    <w:rsid w:val="00962C8E"/>
    <w:rsid w:val="009678EB"/>
    <w:rsid w:val="009811B2"/>
    <w:rsid w:val="00985FEC"/>
    <w:rsid w:val="009903A9"/>
    <w:rsid w:val="00995530"/>
    <w:rsid w:val="009A1988"/>
    <w:rsid w:val="009A7B4B"/>
    <w:rsid w:val="009B4EB5"/>
    <w:rsid w:val="009C583A"/>
    <w:rsid w:val="009C628F"/>
    <w:rsid w:val="009C70E9"/>
    <w:rsid w:val="009D587F"/>
    <w:rsid w:val="009D69F3"/>
    <w:rsid w:val="009D7B9C"/>
    <w:rsid w:val="009E23F3"/>
    <w:rsid w:val="009F3B9A"/>
    <w:rsid w:val="009F58F3"/>
    <w:rsid w:val="009F5C2A"/>
    <w:rsid w:val="009F61B7"/>
    <w:rsid w:val="00A1572A"/>
    <w:rsid w:val="00A224DD"/>
    <w:rsid w:val="00A2275C"/>
    <w:rsid w:val="00A22F5E"/>
    <w:rsid w:val="00A2442D"/>
    <w:rsid w:val="00A26BEE"/>
    <w:rsid w:val="00A42CA9"/>
    <w:rsid w:val="00A630C7"/>
    <w:rsid w:val="00A67B2A"/>
    <w:rsid w:val="00A82E15"/>
    <w:rsid w:val="00A83568"/>
    <w:rsid w:val="00A840D1"/>
    <w:rsid w:val="00A9012C"/>
    <w:rsid w:val="00A91D44"/>
    <w:rsid w:val="00A94BF2"/>
    <w:rsid w:val="00A96130"/>
    <w:rsid w:val="00AA28AC"/>
    <w:rsid w:val="00AA72C4"/>
    <w:rsid w:val="00AB0E49"/>
    <w:rsid w:val="00AB2A67"/>
    <w:rsid w:val="00AB40B1"/>
    <w:rsid w:val="00AC13EB"/>
    <w:rsid w:val="00AC3104"/>
    <w:rsid w:val="00AC7300"/>
    <w:rsid w:val="00AD585C"/>
    <w:rsid w:val="00B034F3"/>
    <w:rsid w:val="00B0360D"/>
    <w:rsid w:val="00B14493"/>
    <w:rsid w:val="00B1513F"/>
    <w:rsid w:val="00B1669B"/>
    <w:rsid w:val="00B17C80"/>
    <w:rsid w:val="00B33FF1"/>
    <w:rsid w:val="00B358F3"/>
    <w:rsid w:val="00B369D1"/>
    <w:rsid w:val="00B4069E"/>
    <w:rsid w:val="00B41814"/>
    <w:rsid w:val="00B5134C"/>
    <w:rsid w:val="00B5309B"/>
    <w:rsid w:val="00B666E0"/>
    <w:rsid w:val="00B67396"/>
    <w:rsid w:val="00B75A0D"/>
    <w:rsid w:val="00B763A1"/>
    <w:rsid w:val="00B7780F"/>
    <w:rsid w:val="00B804D6"/>
    <w:rsid w:val="00B8626C"/>
    <w:rsid w:val="00B91217"/>
    <w:rsid w:val="00B914E6"/>
    <w:rsid w:val="00BA63A1"/>
    <w:rsid w:val="00BB11A7"/>
    <w:rsid w:val="00BB540A"/>
    <w:rsid w:val="00BD34D7"/>
    <w:rsid w:val="00BE505B"/>
    <w:rsid w:val="00BF2883"/>
    <w:rsid w:val="00BF3AEA"/>
    <w:rsid w:val="00C11156"/>
    <w:rsid w:val="00C172B9"/>
    <w:rsid w:val="00C24475"/>
    <w:rsid w:val="00C246C3"/>
    <w:rsid w:val="00C3748F"/>
    <w:rsid w:val="00C401D9"/>
    <w:rsid w:val="00C42EB7"/>
    <w:rsid w:val="00C46705"/>
    <w:rsid w:val="00C557B5"/>
    <w:rsid w:val="00C610EF"/>
    <w:rsid w:val="00C63A10"/>
    <w:rsid w:val="00C713E5"/>
    <w:rsid w:val="00C7161C"/>
    <w:rsid w:val="00C75EBF"/>
    <w:rsid w:val="00C8468C"/>
    <w:rsid w:val="00C877A5"/>
    <w:rsid w:val="00CA315F"/>
    <w:rsid w:val="00CA5364"/>
    <w:rsid w:val="00CB7ED6"/>
    <w:rsid w:val="00CC3343"/>
    <w:rsid w:val="00CC661D"/>
    <w:rsid w:val="00CD3B42"/>
    <w:rsid w:val="00CE10D4"/>
    <w:rsid w:val="00CF55BA"/>
    <w:rsid w:val="00D043D2"/>
    <w:rsid w:val="00D07861"/>
    <w:rsid w:val="00D10805"/>
    <w:rsid w:val="00D200FF"/>
    <w:rsid w:val="00D25B93"/>
    <w:rsid w:val="00D27054"/>
    <w:rsid w:val="00D30BC7"/>
    <w:rsid w:val="00D449EB"/>
    <w:rsid w:val="00D54E46"/>
    <w:rsid w:val="00D55E63"/>
    <w:rsid w:val="00D75C6C"/>
    <w:rsid w:val="00D81FD9"/>
    <w:rsid w:val="00D84AC6"/>
    <w:rsid w:val="00D9010E"/>
    <w:rsid w:val="00D9051D"/>
    <w:rsid w:val="00D963CD"/>
    <w:rsid w:val="00D972CE"/>
    <w:rsid w:val="00DA353C"/>
    <w:rsid w:val="00DB38B5"/>
    <w:rsid w:val="00DC1393"/>
    <w:rsid w:val="00DC7019"/>
    <w:rsid w:val="00DD0FA3"/>
    <w:rsid w:val="00DE1DF2"/>
    <w:rsid w:val="00DE50F4"/>
    <w:rsid w:val="00DF0FCD"/>
    <w:rsid w:val="00DF4CC5"/>
    <w:rsid w:val="00DF4D9F"/>
    <w:rsid w:val="00E12F6F"/>
    <w:rsid w:val="00E13384"/>
    <w:rsid w:val="00E41944"/>
    <w:rsid w:val="00E42EA8"/>
    <w:rsid w:val="00E47C07"/>
    <w:rsid w:val="00E56343"/>
    <w:rsid w:val="00E62954"/>
    <w:rsid w:val="00E71005"/>
    <w:rsid w:val="00E84989"/>
    <w:rsid w:val="00E857F2"/>
    <w:rsid w:val="00E85A4A"/>
    <w:rsid w:val="00E91851"/>
    <w:rsid w:val="00E959C7"/>
    <w:rsid w:val="00EB3C12"/>
    <w:rsid w:val="00EB3D55"/>
    <w:rsid w:val="00EB54AE"/>
    <w:rsid w:val="00EB63BF"/>
    <w:rsid w:val="00EC04B4"/>
    <w:rsid w:val="00EC15AD"/>
    <w:rsid w:val="00EC2A3B"/>
    <w:rsid w:val="00EC53AD"/>
    <w:rsid w:val="00EE1B8D"/>
    <w:rsid w:val="00EE1DA8"/>
    <w:rsid w:val="00EE3268"/>
    <w:rsid w:val="00EE6EA2"/>
    <w:rsid w:val="00EF6D3D"/>
    <w:rsid w:val="00EF72BF"/>
    <w:rsid w:val="00EF7D08"/>
    <w:rsid w:val="00F01B02"/>
    <w:rsid w:val="00F12A77"/>
    <w:rsid w:val="00F149A8"/>
    <w:rsid w:val="00F157D7"/>
    <w:rsid w:val="00F20B47"/>
    <w:rsid w:val="00F20C72"/>
    <w:rsid w:val="00F21580"/>
    <w:rsid w:val="00F238D6"/>
    <w:rsid w:val="00F33E50"/>
    <w:rsid w:val="00F453C6"/>
    <w:rsid w:val="00F46D40"/>
    <w:rsid w:val="00F552B4"/>
    <w:rsid w:val="00F570F8"/>
    <w:rsid w:val="00F6256C"/>
    <w:rsid w:val="00F65F86"/>
    <w:rsid w:val="00F771A7"/>
    <w:rsid w:val="00F8787A"/>
    <w:rsid w:val="00F9688A"/>
    <w:rsid w:val="00FA07D8"/>
    <w:rsid w:val="00FA121E"/>
    <w:rsid w:val="00FA1F16"/>
    <w:rsid w:val="00FC795C"/>
    <w:rsid w:val="00FD0A74"/>
    <w:rsid w:val="00FD1B89"/>
    <w:rsid w:val="00FE1D8D"/>
    <w:rsid w:val="00FE697B"/>
    <w:rsid w:val="00FF1AAB"/>
    <w:rsid w:val="00FF2A50"/>
    <w:rsid w:val="00FF36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7B9C"/>
    <w:pPr>
      <w:spacing w:after="200" w:line="276" w:lineRule="auto"/>
    </w:pPr>
    <w:rPr>
      <w:rFonts w:asciiTheme="minorHAnsi" w:eastAsiaTheme="minorHAnsi" w:hAnsiTheme="minorHAnsi" w:cstheme="minorBidi"/>
      <w:sz w:val="22"/>
      <w:szCs w:val="22"/>
      <w:lang w:val="fr-CA" w:eastAsia="en-US"/>
    </w:rPr>
  </w:style>
  <w:style w:type="paragraph" w:styleId="Heading1">
    <w:name w:val="heading 1"/>
    <w:basedOn w:val="Normal"/>
    <w:next w:val="Normal"/>
    <w:link w:val="Heading1Char"/>
    <w:uiPriority w:val="9"/>
    <w:qFormat/>
    <w:rsid w:val="00A26B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552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rsid w:val="009D7B9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D7B9C"/>
  </w:style>
  <w:style w:type="paragraph" w:styleId="ListParagraph">
    <w:name w:val="List Paragraph"/>
    <w:basedOn w:val="Normal"/>
    <w:uiPriority w:val="34"/>
    <w:qFormat/>
    <w:rsid w:val="009811B2"/>
    <w:pPr>
      <w:ind w:left="720"/>
    </w:pPr>
  </w:style>
  <w:style w:type="paragraph" w:customStyle="1" w:styleId="1">
    <w:name w:val="1"/>
    <w:aliases w:val=" 2, 3, A"/>
    <w:basedOn w:val="Normal"/>
    <w:rsid w:val="004D3521"/>
    <w:pPr>
      <w:widowControl w:val="0"/>
    </w:pPr>
  </w:style>
  <w:style w:type="paragraph" w:styleId="Header">
    <w:name w:val="header"/>
    <w:basedOn w:val="Normal"/>
    <w:link w:val="HeaderChar"/>
    <w:uiPriority w:val="99"/>
    <w:unhideWhenUsed/>
    <w:rsid w:val="00F552B4"/>
    <w:pPr>
      <w:tabs>
        <w:tab w:val="center" w:pos="4680"/>
        <w:tab w:val="right" w:pos="9360"/>
      </w:tabs>
    </w:pPr>
  </w:style>
  <w:style w:type="character" w:customStyle="1" w:styleId="HeaderChar">
    <w:name w:val="Header Char"/>
    <w:basedOn w:val="DefaultParagraphFont"/>
    <w:link w:val="Header"/>
    <w:uiPriority w:val="99"/>
    <w:rsid w:val="00F552B4"/>
    <w:rPr>
      <w:sz w:val="24"/>
    </w:rPr>
  </w:style>
  <w:style w:type="paragraph" w:styleId="Footer">
    <w:name w:val="footer"/>
    <w:basedOn w:val="Normal"/>
    <w:link w:val="FooterChar"/>
    <w:uiPriority w:val="99"/>
    <w:unhideWhenUsed/>
    <w:rsid w:val="00F552B4"/>
    <w:pPr>
      <w:tabs>
        <w:tab w:val="center" w:pos="4680"/>
        <w:tab w:val="right" w:pos="9360"/>
      </w:tabs>
    </w:pPr>
  </w:style>
  <w:style w:type="character" w:customStyle="1" w:styleId="FooterChar">
    <w:name w:val="Footer Char"/>
    <w:basedOn w:val="DefaultParagraphFont"/>
    <w:link w:val="Footer"/>
    <w:uiPriority w:val="99"/>
    <w:rsid w:val="00F552B4"/>
    <w:rPr>
      <w:sz w:val="24"/>
    </w:rPr>
  </w:style>
  <w:style w:type="character" w:customStyle="1" w:styleId="Heading2Char">
    <w:name w:val="Heading 2 Char"/>
    <w:basedOn w:val="DefaultParagraphFont"/>
    <w:link w:val="Heading2"/>
    <w:uiPriority w:val="9"/>
    <w:semiHidden/>
    <w:rsid w:val="00F552B4"/>
    <w:rPr>
      <w:rFonts w:asciiTheme="majorHAnsi" w:eastAsiaTheme="majorEastAsia" w:hAnsiTheme="majorHAnsi" w:cstheme="majorBidi"/>
      <w:b/>
      <w:bCs/>
      <w:color w:val="4F81BD" w:themeColor="accent1"/>
      <w:sz w:val="26"/>
      <w:szCs w:val="26"/>
    </w:rPr>
  </w:style>
  <w:style w:type="paragraph" w:styleId="NoSpacing">
    <w:name w:val="No Spacing"/>
    <w:uiPriority w:val="1"/>
    <w:rsid w:val="00584B4C"/>
    <w:rPr>
      <w:sz w:val="24"/>
    </w:rPr>
  </w:style>
  <w:style w:type="paragraph" w:customStyle="1" w:styleId="SCCLsocOtherPartyRoleSeparator">
    <w:name w:val="SCC.Lsoc.OtherPartyRoleSeparator"/>
    <w:basedOn w:val="Normal"/>
    <w:next w:val="Normal"/>
    <w:link w:val="SCCLsocOtherPartyRoleSeparatorChar"/>
    <w:rsid w:val="00F552B4"/>
    <w:pPr>
      <w:spacing w:after="480"/>
    </w:pPr>
  </w:style>
  <w:style w:type="paragraph" w:customStyle="1" w:styleId="SCCLsocOtherPartySeparator">
    <w:name w:val="SCC.Lsoc.OtherPartySeparator"/>
    <w:basedOn w:val="Normal"/>
    <w:next w:val="Normal"/>
    <w:link w:val="SCCLsocOtherPartySeparatorChar"/>
    <w:rsid w:val="00F552B4"/>
    <w:pPr>
      <w:spacing w:after="480"/>
    </w:pPr>
  </w:style>
  <w:style w:type="paragraph" w:customStyle="1" w:styleId="SCCCoram">
    <w:name w:val="SCC.Coram"/>
    <w:basedOn w:val="Normal"/>
    <w:next w:val="Normal"/>
    <w:link w:val="SCCCoramChar"/>
    <w:rsid w:val="00F552B4"/>
    <w:pPr>
      <w:pBdr>
        <w:bottom w:val="single" w:sz="4" w:space="1" w:color="auto"/>
      </w:pBdr>
    </w:pPr>
  </w:style>
  <w:style w:type="paragraph" w:customStyle="1" w:styleId="SCCLsocParty">
    <w:name w:val="SCC.Lsoc.Party"/>
    <w:basedOn w:val="Normal"/>
    <w:next w:val="Normal"/>
    <w:link w:val="SCCLsocPartyChar"/>
    <w:rsid w:val="00F552B4"/>
    <w:pPr>
      <w:spacing w:after="480"/>
      <w:jc w:val="both"/>
    </w:pPr>
  </w:style>
  <w:style w:type="paragraph" w:customStyle="1" w:styleId="SCCLsocSubfileSeparator">
    <w:name w:val="SCC.Lsoc.SubfileSeparator"/>
    <w:basedOn w:val="Normal"/>
    <w:next w:val="Normal"/>
    <w:link w:val="SCCLsocSubfileSeparatorChar"/>
    <w:rsid w:val="00F552B4"/>
    <w:pPr>
      <w:spacing w:after="480"/>
    </w:pPr>
  </w:style>
  <w:style w:type="paragraph" w:customStyle="1" w:styleId="SCCLsocVersus">
    <w:name w:val="SCC.Lsoc.Versus"/>
    <w:basedOn w:val="Normal"/>
    <w:next w:val="Normal"/>
    <w:link w:val="SCCLsocVersusChar"/>
    <w:rsid w:val="00F552B4"/>
    <w:pPr>
      <w:spacing w:after="480"/>
    </w:pPr>
  </w:style>
  <w:style w:type="character" w:customStyle="1" w:styleId="SCCCoramChar">
    <w:name w:val="SCC.Coram Char"/>
    <w:basedOn w:val="DefaultParagraphFont"/>
    <w:link w:val="SCCCoram"/>
    <w:rsid w:val="00F552B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552B4"/>
    <w:rPr>
      <w:rFonts w:eastAsiaTheme="minorHAnsi" w:cstheme="minorBidi"/>
      <w:sz w:val="24"/>
      <w:szCs w:val="22"/>
      <w:lang w:eastAsia="en-US"/>
    </w:rPr>
  </w:style>
  <w:style w:type="character" w:customStyle="1" w:styleId="SCCLsocOtherPartySeparatorChar">
    <w:name w:val="SCC.Lsoc.OtherPartySeparator Char"/>
    <w:basedOn w:val="DefaultParagraphFont"/>
    <w:link w:val="SCCLsocOtherPartySeparator"/>
    <w:rsid w:val="00F552B4"/>
    <w:rPr>
      <w:rFonts w:eastAsiaTheme="minorHAnsi" w:cstheme="minorBidi"/>
      <w:sz w:val="24"/>
      <w:szCs w:val="22"/>
      <w:lang w:eastAsia="en-US"/>
    </w:rPr>
  </w:style>
  <w:style w:type="character" w:customStyle="1" w:styleId="SCCLsocPartyChar">
    <w:name w:val="SCC.Lsoc.Party Char"/>
    <w:basedOn w:val="DefaultParagraphFont"/>
    <w:link w:val="SCCLsocParty"/>
    <w:rsid w:val="00F552B4"/>
    <w:rPr>
      <w:rFonts w:eastAsiaTheme="minorHAnsi" w:cstheme="minorBidi"/>
      <w:sz w:val="24"/>
      <w:szCs w:val="22"/>
      <w:lang w:eastAsia="en-US"/>
    </w:rPr>
  </w:style>
  <w:style w:type="character" w:customStyle="1" w:styleId="SCCLsocSubfileSeparatorChar">
    <w:name w:val="SCC.Lsoc.SubfileSeparator Char"/>
    <w:basedOn w:val="DefaultParagraphFont"/>
    <w:link w:val="SCCLsocSubfileSeparator"/>
    <w:rsid w:val="00F552B4"/>
    <w:rPr>
      <w:rFonts w:eastAsiaTheme="minorHAnsi" w:cstheme="minorBidi"/>
      <w:sz w:val="24"/>
      <w:szCs w:val="22"/>
      <w:lang w:eastAsia="en-US"/>
    </w:rPr>
  </w:style>
  <w:style w:type="paragraph" w:customStyle="1" w:styleId="SCCBanSummary">
    <w:name w:val="SCC.BanSummary"/>
    <w:basedOn w:val="Normal"/>
    <w:next w:val="Normal"/>
    <w:link w:val="SCCBanSummaryChar"/>
    <w:rsid w:val="00F552B4"/>
    <w:pPr>
      <w:jc w:val="right"/>
    </w:pPr>
    <w:rPr>
      <w:rFonts w:eastAsiaTheme="minorEastAsia"/>
      <w:b/>
    </w:rPr>
  </w:style>
  <w:style w:type="character" w:customStyle="1" w:styleId="SCCLsocVersusChar">
    <w:name w:val="SCC.Lsoc.Versus Char"/>
    <w:basedOn w:val="DefaultParagraphFont"/>
    <w:link w:val="SCCLsocVersus"/>
    <w:rsid w:val="00F552B4"/>
    <w:rPr>
      <w:rFonts w:eastAsiaTheme="minorHAnsi" w:cstheme="minorBidi"/>
      <w:sz w:val="24"/>
      <w:szCs w:val="22"/>
      <w:lang w:eastAsia="en-US"/>
    </w:rPr>
  </w:style>
  <w:style w:type="character" w:customStyle="1" w:styleId="SCCBanSummaryChar">
    <w:name w:val="SCC.BanSummary Char"/>
    <w:basedOn w:val="DefaultParagraphFont"/>
    <w:link w:val="SCCBanSummary"/>
    <w:rsid w:val="00F552B4"/>
    <w:rPr>
      <w:rFonts w:eastAsiaTheme="minorEastAsia"/>
      <w:b/>
      <w:sz w:val="24"/>
      <w:szCs w:val="24"/>
    </w:rPr>
  </w:style>
  <w:style w:type="character" w:styleId="PlaceholderText">
    <w:name w:val="Placeholder Text"/>
    <w:basedOn w:val="DefaultParagraphFont"/>
    <w:uiPriority w:val="99"/>
    <w:semiHidden/>
    <w:rsid w:val="00F552B4"/>
    <w:rPr>
      <w:color w:val="808080"/>
    </w:rPr>
  </w:style>
  <w:style w:type="paragraph" w:styleId="BalloonText">
    <w:name w:val="Balloon Text"/>
    <w:basedOn w:val="Normal"/>
    <w:link w:val="BalloonTextChar"/>
    <w:uiPriority w:val="99"/>
    <w:semiHidden/>
    <w:unhideWhenUsed/>
    <w:rsid w:val="00F552B4"/>
    <w:rPr>
      <w:rFonts w:cs="Tahoma"/>
      <w:sz w:val="28"/>
      <w:szCs w:val="16"/>
    </w:rPr>
  </w:style>
  <w:style w:type="character" w:customStyle="1" w:styleId="BalloonTextChar">
    <w:name w:val="Balloon Text Char"/>
    <w:basedOn w:val="DefaultParagraphFont"/>
    <w:link w:val="BalloonText"/>
    <w:uiPriority w:val="99"/>
    <w:semiHidden/>
    <w:rsid w:val="00F552B4"/>
    <w:rPr>
      <w:rFonts w:cs="Tahoma"/>
      <w:sz w:val="28"/>
      <w:szCs w:val="16"/>
    </w:rPr>
  </w:style>
  <w:style w:type="character" w:customStyle="1" w:styleId="Heading1Char">
    <w:name w:val="Heading 1 Char"/>
    <w:basedOn w:val="DefaultParagraphFont"/>
    <w:link w:val="Heading1"/>
    <w:uiPriority w:val="9"/>
    <w:rsid w:val="00A26BE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552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rsid w:val="006306CA"/>
    <w:pPr>
      <w:spacing w:after="720"/>
      <w:ind w:left="1166"/>
      <w:contextualSpacing/>
      <w:jc w:val="both"/>
    </w:pPr>
  </w:style>
  <w:style w:type="paragraph" w:styleId="FootnoteText">
    <w:name w:val="footnote text"/>
    <w:basedOn w:val="Normal"/>
    <w:link w:val="FootnoteTextChar"/>
    <w:uiPriority w:val="99"/>
    <w:rsid w:val="0006437E"/>
    <w:pPr>
      <w:autoSpaceDE w:val="0"/>
      <w:autoSpaceDN w:val="0"/>
      <w:adjustRightInd w:val="0"/>
    </w:pPr>
    <w:rPr>
      <w:sz w:val="20"/>
    </w:rPr>
  </w:style>
  <w:style w:type="character" w:customStyle="1" w:styleId="FootnoteTextChar">
    <w:name w:val="Footnote Text Char"/>
    <w:basedOn w:val="DefaultParagraphFont"/>
    <w:link w:val="FootnoteText"/>
    <w:uiPriority w:val="99"/>
    <w:rsid w:val="0006437E"/>
    <w:rPr>
      <w:lang w:val="en-US"/>
    </w:rPr>
  </w:style>
  <w:style w:type="character" w:styleId="FootnoteReference">
    <w:name w:val="footnote reference"/>
    <w:basedOn w:val="DefaultParagraphFont"/>
    <w:uiPriority w:val="99"/>
    <w:rsid w:val="0006437E"/>
    <w:rPr>
      <w:vertAlign w:val="superscript"/>
    </w:rPr>
  </w:style>
  <w:style w:type="paragraph" w:customStyle="1" w:styleId="BlockQuote">
    <w:name w:val="Block Quote"/>
    <w:basedOn w:val="Normal"/>
    <w:link w:val="BlockQuoteChar"/>
    <w:rsid w:val="0006437E"/>
    <w:pPr>
      <w:tabs>
        <w:tab w:val="left" w:pos="720"/>
      </w:tabs>
      <w:autoSpaceDE w:val="0"/>
      <w:autoSpaceDN w:val="0"/>
      <w:adjustRightInd w:val="0"/>
      <w:ind w:left="720" w:right="720"/>
      <w:jc w:val="both"/>
    </w:pPr>
  </w:style>
  <w:style w:type="character" w:customStyle="1" w:styleId="BlockQuoteChar">
    <w:name w:val="Block Quote Char"/>
    <w:basedOn w:val="DefaultParagraphFont"/>
    <w:link w:val="BlockQuote"/>
    <w:rsid w:val="0006437E"/>
    <w:rPr>
      <w:sz w:val="22"/>
      <w:szCs w:val="22"/>
    </w:rPr>
  </w:style>
  <w:style w:type="paragraph" w:customStyle="1" w:styleId="JudgeJuge">
    <w:name w:val="Judge / Juge"/>
    <w:link w:val="JudgeJugeChar"/>
    <w:uiPriority w:val="3"/>
    <w:rsid w:val="00F552B4"/>
    <w:pPr>
      <w:tabs>
        <w:tab w:val="left" w:pos="1260"/>
      </w:tabs>
      <w:spacing w:after="480" w:line="480" w:lineRule="auto"/>
    </w:pPr>
    <w:rPr>
      <w:smallCaps/>
      <w:sz w:val="24"/>
    </w:rPr>
  </w:style>
  <w:style w:type="paragraph" w:customStyle="1" w:styleId="Citation-AltC">
    <w:name w:val="Citation - Alt C"/>
    <w:uiPriority w:val="2"/>
    <w:qFormat/>
    <w:rsid w:val="00F552B4"/>
    <w:pPr>
      <w:spacing w:after="720"/>
      <w:ind w:left="1166"/>
      <w:contextualSpacing/>
      <w:jc w:val="both"/>
    </w:pPr>
    <w:rPr>
      <w:sz w:val="24"/>
    </w:rPr>
  </w:style>
  <w:style w:type="character" w:styleId="CommentReference">
    <w:name w:val="annotation reference"/>
    <w:basedOn w:val="DefaultParagraphFont"/>
    <w:uiPriority w:val="99"/>
    <w:semiHidden/>
    <w:unhideWhenUsed/>
    <w:rsid w:val="00F552B4"/>
    <w:rPr>
      <w:sz w:val="16"/>
      <w:szCs w:val="16"/>
    </w:rPr>
  </w:style>
  <w:style w:type="paragraph" w:styleId="CommentText">
    <w:name w:val="annotation text"/>
    <w:basedOn w:val="Normal"/>
    <w:link w:val="CommentTextChar"/>
    <w:uiPriority w:val="99"/>
    <w:semiHidden/>
    <w:unhideWhenUsed/>
    <w:rsid w:val="00F552B4"/>
    <w:rPr>
      <w:sz w:val="20"/>
    </w:rPr>
  </w:style>
  <w:style w:type="character" w:customStyle="1" w:styleId="CommentTextChar">
    <w:name w:val="Comment Text Char"/>
    <w:basedOn w:val="DefaultParagraphFont"/>
    <w:link w:val="CommentText"/>
    <w:uiPriority w:val="99"/>
    <w:semiHidden/>
    <w:rsid w:val="00F552B4"/>
  </w:style>
  <w:style w:type="paragraph" w:styleId="CommentSubject">
    <w:name w:val="annotation subject"/>
    <w:basedOn w:val="CommentText"/>
    <w:next w:val="CommentText"/>
    <w:link w:val="CommentSubjectChar"/>
    <w:uiPriority w:val="99"/>
    <w:semiHidden/>
    <w:unhideWhenUsed/>
    <w:rsid w:val="00F552B4"/>
    <w:rPr>
      <w:b/>
      <w:bCs/>
    </w:rPr>
  </w:style>
  <w:style w:type="character" w:customStyle="1" w:styleId="CommentSubjectChar">
    <w:name w:val="Comment Subject Char"/>
    <w:basedOn w:val="CommentTextChar"/>
    <w:link w:val="CommentSubject"/>
    <w:uiPriority w:val="99"/>
    <w:semiHidden/>
    <w:rsid w:val="00F552B4"/>
    <w:rPr>
      <w:b/>
      <w:bCs/>
    </w:rPr>
  </w:style>
  <w:style w:type="paragraph" w:customStyle="1" w:styleId="ContinueParaSuitedupar-AltP">
    <w:name w:val="Continue Para. / Suite du par. - Alt P"/>
    <w:next w:val="ParaNoNdepar-AltN"/>
    <w:uiPriority w:val="1"/>
    <w:qFormat/>
    <w:rsid w:val="00F552B4"/>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F552B4"/>
    <w:pPr>
      <w:tabs>
        <w:tab w:val="left" w:pos="360"/>
      </w:tabs>
      <w:spacing w:before="480" w:after="480"/>
      <w:ind w:left="360" w:hanging="360"/>
      <w:jc w:val="both"/>
    </w:pPr>
    <w:rPr>
      <w:rFonts w:eastAsiaTheme="minorHAnsi" w:cstheme="minorBidi"/>
      <w:sz w:val="24"/>
      <w:szCs w:val="22"/>
      <w:lang w:eastAsia="en-US"/>
    </w:rPr>
  </w:style>
  <w:style w:type="paragraph" w:customStyle="1" w:styleId="ParaNoNdepar-AltN">
    <w:name w:val="Para. No. / Nº de par. - Alt N"/>
    <w:qFormat/>
    <w:rsid w:val="00F552B4"/>
    <w:pPr>
      <w:numPr>
        <w:numId w:val="17"/>
      </w:numPr>
      <w:spacing w:before="480" w:after="480" w:line="480" w:lineRule="auto"/>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F552B4"/>
    <w:rPr>
      <w:smallCaps/>
      <w:sz w:val="24"/>
    </w:rPr>
  </w:style>
  <w:style w:type="paragraph" w:customStyle="1" w:styleId="SCCNormalDoubleSpacing">
    <w:name w:val="SCC.Normal.DoubleSpacing"/>
    <w:basedOn w:val="Normal"/>
    <w:link w:val="SCCNormalDoubleSpacingChar"/>
    <w:rsid w:val="00EE1B8D"/>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EE1B8D"/>
    <w:rPr>
      <w:sz w:val="24"/>
    </w:rPr>
  </w:style>
  <w:style w:type="paragraph" w:styleId="Quote">
    <w:name w:val="Quote"/>
    <w:basedOn w:val="Normal"/>
    <w:next w:val="Normal"/>
    <w:link w:val="QuoteChar"/>
    <w:uiPriority w:val="29"/>
    <w:qFormat/>
    <w:rsid w:val="00A26BEE"/>
    <w:rPr>
      <w:i/>
      <w:iCs/>
      <w:color w:val="000000" w:themeColor="text1"/>
    </w:rPr>
  </w:style>
  <w:style w:type="character" w:customStyle="1" w:styleId="QuoteChar">
    <w:name w:val="Quote Char"/>
    <w:basedOn w:val="DefaultParagraphFont"/>
    <w:link w:val="Quote"/>
    <w:uiPriority w:val="29"/>
    <w:rsid w:val="00A26BEE"/>
    <w:rPr>
      <w:i/>
      <w:iCs/>
      <w:color w:val="000000" w:themeColor="text1"/>
      <w:sz w:val="24"/>
      <w:lang w:val="en-US"/>
    </w:rPr>
  </w:style>
  <w:style w:type="paragraph" w:customStyle="1" w:styleId="SCCAppellantForRunningHead">
    <w:name w:val="SCC.AppellantForRunningHead"/>
    <w:basedOn w:val="Normal"/>
    <w:next w:val="Normal"/>
    <w:link w:val="SCCAppellantForRunningHeadChar"/>
    <w:rsid w:val="00EE1B8D"/>
    <w:rPr>
      <w:smallCaps/>
    </w:rPr>
  </w:style>
  <w:style w:type="character" w:customStyle="1" w:styleId="SCCAppellantForRunningHeadChar">
    <w:name w:val="SCC.AppellantForRunningHead Char"/>
    <w:basedOn w:val="DefaultParagraphFont"/>
    <w:link w:val="SCCAppellantForRunningHead"/>
    <w:rsid w:val="00EE1B8D"/>
    <w:rPr>
      <w:smallCaps/>
      <w:sz w:val="24"/>
    </w:rPr>
  </w:style>
  <w:style w:type="paragraph" w:customStyle="1" w:styleId="SCCRespondentForRunningHead">
    <w:name w:val="SCC.RespondentForRunningHead"/>
    <w:basedOn w:val="Normal"/>
    <w:next w:val="Normal"/>
    <w:link w:val="SCCRespondentForRunningHeadChar"/>
    <w:rsid w:val="00EE1B8D"/>
    <w:rPr>
      <w:smallCaps/>
    </w:rPr>
  </w:style>
  <w:style w:type="character" w:customStyle="1" w:styleId="SCCRespondentForRunningHeadChar">
    <w:name w:val="SCC.RespondentForRunningHead Char"/>
    <w:basedOn w:val="DefaultParagraphFont"/>
    <w:link w:val="SCCRespondentForRunningHead"/>
    <w:rsid w:val="00EE1B8D"/>
    <w:rPr>
      <w:smallCaps/>
      <w:sz w:val="24"/>
    </w:rPr>
  </w:style>
  <w:style w:type="paragraph" w:customStyle="1" w:styleId="SCCAppellantForIndex">
    <w:name w:val="SCC.AppellantForIndex"/>
    <w:basedOn w:val="Normal"/>
    <w:next w:val="Normal"/>
    <w:link w:val="SCCAppellantForIndexChar"/>
    <w:rsid w:val="00EE1B8D"/>
    <w:rPr>
      <w:b/>
    </w:rPr>
  </w:style>
  <w:style w:type="character" w:customStyle="1" w:styleId="SCCAppellantForIndexChar">
    <w:name w:val="SCC.AppellantForIndex Char"/>
    <w:basedOn w:val="DefaultParagraphFont"/>
    <w:link w:val="SCCAppellantForIndex"/>
    <w:rsid w:val="00EE1B8D"/>
    <w:rPr>
      <w:b/>
      <w:sz w:val="24"/>
    </w:rPr>
  </w:style>
  <w:style w:type="paragraph" w:customStyle="1" w:styleId="SCCRespondentForIndex">
    <w:name w:val="SCC.RespondentForIndex"/>
    <w:basedOn w:val="Normal"/>
    <w:next w:val="Normal"/>
    <w:link w:val="SCCRespondentForIndexChar"/>
    <w:rsid w:val="00EE1B8D"/>
    <w:rPr>
      <w:b/>
    </w:rPr>
  </w:style>
  <w:style w:type="character" w:customStyle="1" w:styleId="SCCRespondentForIndexChar">
    <w:name w:val="SCC.RespondentForIndex Char"/>
    <w:basedOn w:val="DefaultParagraphFont"/>
    <w:link w:val="SCCRespondentForIndex"/>
    <w:rsid w:val="00EE1B8D"/>
    <w:rPr>
      <w:b/>
      <w:sz w:val="24"/>
    </w:rPr>
  </w:style>
  <w:style w:type="paragraph" w:customStyle="1" w:styleId="SCCSystemYear">
    <w:name w:val="SCC.SystemYear"/>
    <w:basedOn w:val="Normal"/>
    <w:next w:val="Normal"/>
    <w:link w:val="SCCSystemYearChar"/>
    <w:rsid w:val="00EE1B8D"/>
    <w:rPr>
      <w:b/>
    </w:rPr>
  </w:style>
  <w:style w:type="character" w:customStyle="1" w:styleId="SCCSystemYearChar">
    <w:name w:val="SCC.SystemYear Char"/>
    <w:basedOn w:val="DefaultParagraphFont"/>
    <w:link w:val="SCCSystemYear"/>
    <w:rsid w:val="00EE1B8D"/>
    <w:rPr>
      <w:b/>
      <w:sz w:val="24"/>
    </w:rPr>
  </w:style>
  <w:style w:type="paragraph" w:customStyle="1" w:styleId="SCCLowerCourtNameLowercase">
    <w:name w:val="SCC.LowerCourtNameLowercase"/>
    <w:basedOn w:val="SCCNormalDoubleSpacing"/>
    <w:next w:val="SCCNormalDoubleSpacing"/>
    <w:rsid w:val="00EE1B8D"/>
    <w:rPr>
      <w:smallCaps/>
    </w:rPr>
  </w:style>
  <w:style w:type="paragraph" w:customStyle="1" w:styleId="SCCCounselName">
    <w:name w:val="SCC.CounselName"/>
    <w:basedOn w:val="SCCNormalDoubleSpacing"/>
    <w:next w:val="SCCNormalDoubleSpacing"/>
    <w:link w:val="SCCCounselNameChar"/>
    <w:rsid w:val="00EE1B8D"/>
    <w:rPr>
      <w:i/>
    </w:rPr>
  </w:style>
  <w:style w:type="character" w:customStyle="1" w:styleId="SCCCounselNameChar">
    <w:name w:val="SCC.CounselName Char"/>
    <w:basedOn w:val="SCCNormalDoubleSpacingChar"/>
    <w:link w:val="SCCCounselName"/>
    <w:rsid w:val="00EE1B8D"/>
    <w:rPr>
      <w:i/>
    </w:rPr>
  </w:style>
  <w:style w:type="paragraph" w:customStyle="1" w:styleId="SCCCounselSeparator">
    <w:name w:val="SCC.CounselSeparator"/>
    <w:basedOn w:val="SCCNormalDoubleSpacing"/>
    <w:next w:val="SCCNormalDoubleSpacing"/>
    <w:link w:val="SCCCounselSeparatorChar"/>
    <w:rsid w:val="00EE1B8D"/>
  </w:style>
  <w:style w:type="character" w:customStyle="1" w:styleId="SCCCounselSeparatorChar">
    <w:name w:val="SCC.CounselSeparator Char"/>
    <w:basedOn w:val="SCCNormalDoubleSpacingChar"/>
    <w:link w:val="SCCCounselSeparator"/>
    <w:rsid w:val="00EE1B8D"/>
  </w:style>
  <w:style w:type="paragraph" w:customStyle="1" w:styleId="SCCCounselPartyRole">
    <w:name w:val="SCC.CounselPartyRole"/>
    <w:basedOn w:val="SCCNormalDoubleSpacing"/>
    <w:next w:val="SCCNormalDoubleSpacing"/>
    <w:link w:val="SCCCounselPartyRoleChar"/>
    <w:rsid w:val="00EE1B8D"/>
  </w:style>
  <w:style w:type="character" w:customStyle="1" w:styleId="SCCCounselPartyRoleChar">
    <w:name w:val="SCC.CounselPartyRole Char"/>
    <w:basedOn w:val="SCCNormalDoubleSpacingChar"/>
    <w:link w:val="SCCCounselPartyRole"/>
    <w:rsid w:val="00EE1B8D"/>
  </w:style>
  <w:style w:type="character" w:styleId="Strong">
    <w:name w:val="Strong"/>
    <w:basedOn w:val="DefaultParagraphFont"/>
    <w:uiPriority w:val="22"/>
    <w:qFormat/>
    <w:rsid w:val="00A26BEE"/>
    <w:rPr>
      <w:b/>
      <w:bCs/>
    </w:rPr>
  </w:style>
  <w:style w:type="table" w:customStyle="1" w:styleId="TableGrid1">
    <w:name w:val="Table Grid1"/>
    <w:basedOn w:val="TableNormal"/>
    <w:next w:val="TableGrid"/>
    <w:uiPriority w:val="59"/>
    <w:rsid w:val="009D7B9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CB395-7D1A-4593-8C84-9505E098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4408</Words>
  <Characters>20686</Characters>
  <Application>Microsoft Office Word</Application>
  <DocSecurity>0</DocSecurity>
  <Lines>172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2011-09-23T13:48:00Z</dcterms:created>
  <dcterms:modified xsi:type="dcterms:W3CDTF">2012-01-18T18:16:00Z</dcterms:modified>
</cp:coreProperties>
</file>