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ED" w:rsidRDefault="00951DED" w:rsidP="00951DE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194430" r:id="rId9"/>
        </w:object>
      </w:r>
      <w:r>
        <w:t xml:space="preserve"> </w:t>
      </w:r>
      <w:r>
        <w:ptab w:relativeTo="margin" w:alignment="right" w:leader="none"/>
      </w:r>
    </w:p>
    <w:p w:rsidR="00951DED" w:rsidRDefault="00951DED" w:rsidP="00951DED">
      <w:pPr>
        <w:pStyle w:val="Header"/>
      </w:pPr>
    </w:p>
    <w:p w:rsidR="00951DED" w:rsidRPr="006B210C" w:rsidRDefault="00951DED" w:rsidP="00951DED">
      <w:pPr>
        <w:jc w:val="center"/>
        <w:rPr>
          <w:b/>
        </w:rPr>
      </w:pPr>
      <w:r w:rsidRPr="006B210C">
        <w:rPr>
          <w:b/>
        </w:rPr>
        <w:t>SUPREME COURT OF CANADA</w:t>
      </w:r>
    </w:p>
    <w:p w:rsidR="00951DED" w:rsidRDefault="00951DED" w:rsidP="00951DED">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51DED" w:rsidRPr="006B210C" w:rsidTr="00157D62">
        <w:trPr>
          <w:cantSplit/>
        </w:trPr>
        <w:tc>
          <w:tcPr>
            <w:tcW w:w="6768" w:type="dxa"/>
          </w:tcPr>
          <w:p w:rsidR="00951DED" w:rsidRDefault="00951DED" w:rsidP="00157D62">
            <w:pPr>
              <w:rPr>
                <w:rStyle w:val="SCCRespondentForIndexChar"/>
                <w:b w:val="0"/>
              </w:rPr>
            </w:pPr>
            <w:r w:rsidRPr="00355D7F">
              <w:rPr>
                <w:b/>
                <w:smallCaps/>
              </w:rPr>
              <w:t xml:space="preserve">Citation </w:t>
            </w:r>
            <w:r w:rsidRPr="00DD7E34">
              <w:rPr>
                <w:b/>
              </w:rPr>
              <w:t>:</w:t>
            </w:r>
            <w:r w:rsidRPr="00355D7F">
              <w:t xml:space="preserve"> </w:t>
            </w:r>
            <w:proofErr w:type="spellStart"/>
            <w:r w:rsidRPr="00355D7F">
              <w:t>Aecon</w:t>
            </w:r>
            <w:proofErr w:type="spellEnd"/>
            <w:r w:rsidRPr="00355D7F">
              <w:t xml:space="preserve"> Buildings </w:t>
            </w:r>
            <w:r w:rsidRPr="00355D7F">
              <w:rPr>
                <w:i/>
              </w:rPr>
              <w:t>v.</w:t>
            </w:r>
            <w:r w:rsidRPr="00355D7F">
              <w:t xml:space="preserve"> </w:t>
            </w:r>
            <w:r>
              <w:t>Stephenson Engineering Ltd.</w:t>
            </w:r>
            <w:r w:rsidRPr="00355D7F">
              <w:rPr>
                <w:rStyle w:val="SCCRespondentForIndexChar"/>
                <w:b w:val="0"/>
              </w:rPr>
              <w:t>,</w:t>
            </w:r>
          </w:p>
          <w:p w:rsidR="00951DED" w:rsidRPr="00355D7F" w:rsidRDefault="00951DED" w:rsidP="00157D62">
            <w:r w:rsidRPr="00355D7F">
              <w:rPr>
                <w:rStyle w:val="SCCRespondentForIndexChar"/>
                <w:b w:val="0"/>
              </w:rPr>
              <w:t>201</w:t>
            </w:r>
            <w:r>
              <w:rPr>
                <w:rStyle w:val="SCCRespondentForIndexChar"/>
                <w:b w:val="0"/>
              </w:rPr>
              <w:t>1</w:t>
            </w:r>
            <w:r w:rsidRPr="00355D7F">
              <w:rPr>
                <w:rStyle w:val="SCCRespondentForIndexChar"/>
                <w:b w:val="0"/>
              </w:rPr>
              <w:t xml:space="preserve"> SCC </w:t>
            </w:r>
            <w:r>
              <w:rPr>
                <w:rStyle w:val="SCCRespondentForIndexChar"/>
                <w:b w:val="0"/>
              </w:rPr>
              <w:t>33</w:t>
            </w:r>
            <w:r w:rsidRPr="00355D7F">
              <w:rPr>
                <w:rStyle w:val="SCCRespondentForIndexChar"/>
                <w:b w:val="0"/>
              </w:rPr>
              <w:t>, [201</w:t>
            </w:r>
            <w:r>
              <w:rPr>
                <w:rStyle w:val="SCCRespondentForIndexChar"/>
                <w:b w:val="0"/>
              </w:rPr>
              <w:t>1</w:t>
            </w:r>
            <w:r w:rsidRPr="00355D7F">
              <w:rPr>
                <w:rStyle w:val="SCCRespondentForIndexChar"/>
                <w:b w:val="0"/>
              </w:rPr>
              <w:t xml:space="preserve">] </w:t>
            </w:r>
            <w:r>
              <w:rPr>
                <w:rStyle w:val="SCCRespondentForIndexChar"/>
                <w:b w:val="0"/>
              </w:rPr>
              <w:t>2</w:t>
            </w:r>
            <w:r w:rsidRPr="00355D7F">
              <w:rPr>
                <w:rStyle w:val="SCCRespondentForIndexChar"/>
                <w:b w:val="0"/>
              </w:rPr>
              <w:t xml:space="preserve"> S.C.R. </w:t>
            </w:r>
            <w:r>
              <w:rPr>
                <w:rStyle w:val="SCCRespondentForIndexChar"/>
                <w:b w:val="0"/>
              </w:rPr>
              <w:t>560</w:t>
            </w:r>
          </w:p>
        </w:tc>
        <w:tc>
          <w:tcPr>
            <w:tcW w:w="2808" w:type="dxa"/>
          </w:tcPr>
          <w:p w:rsidR="00951DED" w:rsidRPr="006B210C" w:rsidRDefault="00951DED" w:rsidP="00157D62">
            <w:r w:rsidRPr="006B210C">
              <w:rPr>
                <w:b/>
                <w:smallCaps/>
              </w:rPr>
              <w:t xml:space="preserve">Date </w:t>
            </w:r>
            <w:r w:rsidRPr="006B210C">
              <w:t xml:space="preserve">: </w:t>
            </w:r>
            <w:r>
              <w:t>20110623</w:t>
            </w:r>
          </w:p>
          <w:p w:rsidR="00951DED" w:rsidRPr="006B210C" w:rsidRDefault="00951DED" w:rsidP="00157D62">
            <w:r w:rsidRPr="006B210C">
              <w:rPr>
                <w:b/>
                <w:smallCaps/>
              </w:rPr>
              <w:t xml:space="preserve">Docket </w:t>
            </w:r>
            <w:r w:rsidRPr="006B210C">
              <w:t xml:space="preserve">: </w:t>
            </w:r>
            <w:r>
              <w:t>34112</w:t>
            </w:r>
          </w:p>
        </w:tc>
      </w:tr>
    </w:tbl>
    <w:p w:rsidR="00951DED" w:rsidRPr="006B210C" w:rsidRDefault="00951DED" w:rsidP="00951DED"/>
    <w:p w:rsidR="00951DED" w:rsidRDefault="00951DED" w:rsidP="00951DED">
      <w:pPr>
        <w:pStyle w:val="SCCLsocPrefix"/>
      </w:pPr>
      <w:r>
        <w:t>Between:</w:t>
      </w:r>
    </w:p>
    <w:p w:rsidR="00951DED" w:rsidRDefault="00951DED" w:rsidP="00951DED">
      <w:pPr>
        <w:pStyle w:val="SCCLsocParty"/>
        <w:tabs>
          <w:tab w:val="right" w:pos="8280"/>
        </w:tabs>
        <w:jc w:val="center"/>
      </w:pPr>
      <w:proofErr w:type="spellStart"/>
      <w:r w:rsidRPr="00933D77">
        <w:rPr>
          <w:lang w:val="en-US"/>
        </w:rPr>
        <w:t>Aecon</w:t>
      </w:r>
      <w:proofErr w:type="spellEnd"/>
      <w:r w:rsidRPr="00933D77">
        <w:rPr>
          <w:lang w:val="en-US"/>
        </w:rPr>
        <w:t xml:space="preserve"> Building</w:t>
      </w:r>
      <w:r>
        <w:rPr>
          <w:lang w:val="en-US"/>
        </w:rPr>
        <w:t>s</w:t>
      </w:r>
      <w:r w:rsidRPr="00933D77">
        <w:rPr>
          <w:lang w:val="en-US"/>
        </w:rPr>
        <w:t xml:space="preserve">, </w:t>
      </w:r>
      <w:proofErr w:type="gramStart"/>
      <w:r>
        <w:rPr>
          <w:lang w:val="en-US"/>
        </w:rPr>
        <w:t>A</w:t>
      </w:r>
      <w:proofErr w:type="gramEnd"/>
      <w:r w:rsidRPr="00933D77">
        <w:rPr>
          <w:lang w:val="en-US"/>
        </w:rPr>
        <w:t xml:space="preserve"> Division of </w:t>
      </w:r>
      <w:proofErr w:type="spellStart"/>
      <w:r w:rsidRPr="00D239AA">
        <w:rPr>
          <w:lang w:val="en-US"/>
        </w:rPr>
        <w:t>Aecon</w:t>
      </w:r>
      <w:proofErr w:type="spellEnd"/>
      <w:r w:rsidRPr="00D239AA">
        <w:rPr>
          <w:lang w:val="en-US"/>
        </w:rPr>
        <w:t xml:space="preserve"> Construction Group Inc.</w:t>
      </w:r>
    </w:p>
    <w:p w:rsidR="00951DED" w:rsidRDefault="00951DED" w:rsidP="00951DED">
      <w:pPr>
        <w:pStyle w:val="SCCLsocPartyRole"/>
        <w:jc w:val="center"/>
      </w:pPr>
      <w:r>
        <w:t>Applicant/Applicant on motion</w:t>
      </w:r>
    </w:p>
    <w:p w:rsidR="00951DED" w:rsidRDefault="00951DED" w:rsidP="00951DED">
      <w:pPr>
        <w:pStyle w:val="SCCLsocVersus"/>
        <w:jc w:val="center"/>
      </w:pPr>
      <w:proofErr w:type="gramStart"/>
      <w:r>
        <w:t>and</w:t>
      </w:r>
      <w:proofErr w:type="gramEnd"/>
    </w:p>
    <w:p w:rsidR="00951DED" w:rsidRDefault="00951DED" w:rsidP="00951DED">
      <w:pPr>
        <w:pStyle w:val="SCCLsocParty"/>
        <w:jc w:val="center"/>
      </w:pPr>
      <w:r w:rsidRPr="00D239AA">
        <w:t>Stephenson Engineering Limited</w:t>
      </w:r>
    </w:p>
    <w:p w:rsidR="00951DED" w:rsidRDefault="00951DED" w:rsidP="00951DED">
      <w:pPr>
        <w:pStyle w:val="SCCLsocPartyRole"/>
        <w:jc w:val="center"/>
      </w:pPr>
      <w:r>
        <w:t>Respondent/Respondent on motion</w:t>
      </w:r>
    </w:p>
    <w:p w:rsidR="00951DED" w:rsidRDefault="00951DED" w:rsidP="00951DED"/>
    <w:p w:rsidR="00951DED" w:rsidRPr="006B210C" w:rsidRDefault="00951DED" w:rsidP="00951DED"/>
    <w:p w:rsidR="00951DED" w:rsidRPr="006B210C" w:rsidRDefault="00951DED" w:rsidP="00951DED">
      <w:proofErr w:type="gramStart"/>
      <w:r w:rsidRPr="006B210C">
        <w:rPr>
          <w:b/>
          <w:smallCaps/>
        </w:rPr>
        <w:t xml:space="preserve">Coram </w:t>
      </w:r>
      <w:r w:rsidRPr="006B210C">
        <w:t>:</w:t>
      </w:r>
      <w:proofErr w:type="gramEnd"/>
      <w:r w:rsidRPr="006B210C">
        <w:t xml:space="preserve"> </w:t>
      </w:r>
      <w:proofErr w:type="spellStart"/>
      <w:r>
        <w:t>Binnie</w:t>
      </w:r>
      <w:proofErr w:type="spellEnd"/>
      <w:r>
        <w:t xml:space="preserve">, </w:t>
      </w:r>
      <w:proofErr w:type="spellStart"/>
      <w:r>
        <w:t>Abella</w:t>
      </w:r>
      <w:proofErr w:type="spellEnd"/>
      <w:r>
        <w:t xml:space="preserve"> and Rothstein JJ.</w:t>
      </w:r>
    </w:p>
    <w:p w:rsidR="00951DED" w:rsidRPr="006B210C" w:rsidRDefault="00951DED" w:rsidP="00951D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51DED" w:rsidRPr="006B210C" w:rsidTr="00157D62">
        <w:trPr>
          <w:cantSplit/>
        </w:trPr>
        <w:tc>
          <w:tcPr>
            <w:tcW w:w="3618" w:type="dxa"/>
          </w:tcPr>
          <w:p w:rsidR="00951DED" w:rsidRDefault="00951DED" w:rsidP="00157D62">
            <w:r w:rsidRPr="006B210C">
              <w:rPr>
                <w:b/>
                <w:smallCaps/>
              </w:rPr>
              <w:t>Reasons for Judgment</w:t>
            </w:r>
            <w:r w:rsidRPr="006B210C">
              <w:t xml:space="preserve"> :</w:t>
            </w:r>
          </w:p>
          <w:p w:rsidR="00951DED" w:rsidRDefault="00951DED" w:rsidP="00157D62">
            <w:r>
              <w:t>(motion to adduce fresh evidence)</w:t>
            </w:r>
          </w:p>
          <w:p w:rsidR="00951DED" w:rsidRPr="006B210C" w:rsidRDefault="00951DED" w:rsidP="00157D62">
            <w:r>
              <w:t>(</w:t>
            </w:r>
            <w:proofErr w:type="spellStart"/>
            <w:r>
              <w:t>paras</w:t>
            </w:r>
            <w:proofErr w:type="spellEnd"/>
            <w:r>
              <w:t>. 1 to 10)</w:t>
            </w:r>
          </w:p>
        </w:tc>
        <w:tc>
          <w:tcPr>
            <w:tcW w:w="5958" w:type="dxa"/>
          </w:tcPr>
          <w:p w:rsidR="00951DED" w:rsidRPr="006B210C" w:rsidRDefault="00951DED" w:rsidP="00157D62">
            <w:proofErr w:type="spellStart"/>
            <w:r>
              <w:t>Binnie</w:t>
            </w:r>
            <w:proofErr w:type="spellEnd"/>
            <w:r>
              <w:t xml:space="preserve"> J. (</w:t>
            </w:r>
            <w:proofErr w:type="spellStart"/>
            <w:r>
              <w:t>Abella</w:t>
            </w:r>
            <w:proofErr w:type="spellEnd"/>
            <w:r>
              <w:t xml:space="preserve"> and Rothstein JJ. concurring) </w:t>
            </w:r>
          </w:p>
        </w:tc>
      </w:tr>
    </w:tbl>
    <w:p w:rsidR="00951DED" w:rsidRPr="006B210C" w:rsidRDefault="00951DED" w:rsidP="00951DED">
      <w:r w:rsidRPr="00494E80">
        <w:rPr>
          <w:noProof/>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951DED" w:rsidRDefault="00951DED">
      <w:r>
        <w:br w:type="page"/>
      </w:r>
    </w:p>
    <w:p w:rsidR="008322BD" w:rsidRPr="00575C8A" w:rsidRDefault="006B4439" w:rsidP="00D239AA">
      <w:pPr>
        <w:spacing w:after="720"/>
        <w:jc w:val="both"/>
        <w:rPr>
          <w:rStyle w:val="SCCRespondentForRunningHeadChar"/>
          <w:lang w:val="en-US"/>
        </w:rPr>
      </w:pPr>
      <w:proofErr w:type="spellStart"/>
      <w:r w:rsidRPr="006B4439">
        <w:lastRenderedPageBreak/>
        <w:t>Aecon</w:t>
      </w:r>
      <w:proofErr w:type="spellEnd"/>
      <w:r w:rsidRPr="006B4439">
        <w:t xml:space="preserve"> Buildings </w:t>
      </w:r>
      <w:r w:rsidRPr="006B4439">
        <w:rPr>
          <w:i/>
        </w:rPr>
        <w:t>v</w:t>
      </w:r>
      <w:r w:rsidRPr="006B4439">
        <w:t>. Stephenson Engineering Ltd.</w:t>
      </w:r>
      <w:r>
        <w:rPr>
          <w:smallCaps/>
          <w:lang w:val="en-US"/>
        </w:rPr>
        <w:t xml:space="preserve">, </w:t>
      </w:r>
      <w:r>
        <w:rPr>
          <w:rStyle w:val="SCCRespondentForRunningHeadChar"/>
        </w:rPr>
        <w:t xml:space="preserve">2011 SCC 33, [2011] </w:t>
      </w:r>
      <w:r w:rsidR="00D604F5">
        <w:rPr>
          <w:rStyle w:val="SCCRespondentForRunningHeadChar"/>
        </w:rPr>
        <w:t>2</w:t>
      </w:r>
      <w:r>
        <w:rPr>
          <w:rStyle w:val="SCCRespondentForRunningHeadChar"/>
        </w:rPr>
        <w:t xml:space="preserve"> S.C.R. 560</w:t>
      </w:r>
    </w:p>
    <w:p w:rsidR="00D32A32" w:rsidRDefault="00933D77" w:rsidP="00D32A32">
      <w:pPr>
        <w:pStyle w:val="SCCLsocParty"/>
        <w:tabs>
          <w:tab w:val="right" w:pos="8280"/>
        </w:tabs>
        <w:rPr>
          <w:lang w:val="en-US"/>
        </w:rPr>
      </w:pPr>
      <w:proofErr w:type="spellStart"/>
      <w:r w:rsidRPr="00933D77">
        <w:rPr>
          <w:lang w:val="en-US"/>
        </w:rPr>
        <w:t>Aecon</w:t>
      </w:r>
      <w:proofErr w:type="spellEnd"/>
      <w:r w:rsidRPr="00933D77">
        <w:rPr>
          <w:lang w:val="en-US"/>
        </w:rPr>
        <w:t xml:space="preserve"> Building</w:t>
      </w:r>
      <w:r>
        <w:rPr>
          <w:lang w:val="en-US"/>
        </w:rPr>
        <w:t>s</w:t>
      </w:r>
      <w:r w:rsidRPr="00933D77">
        <w:rPr>
          <w:lang w:val="en-US"/>
        </w:rPr>
        <w:t xml:space="preserve">, </w:t>
      </w:r>
      <w:proofErr w:type="gramStart"/>
      <w:r w:rsidR="00F025D8">
        <w:rPr>
          <w:lang w:val="en-US"/>
        </w:rPr>
        <w:t>A</w:t>
      </w:r>
      <w:proofErr w:type="gramEnd"/>
      <w:r w:rsidRPr="00933D77">
        <w:rPr>
          <w:lang w:val="en-US"/>
        </w:rPr>
        <w:t xml:space="preserve"> Division of </w:t>
      </w:r>
    </w:p>
    <w:p w:rsidR="00FC74DD" w:rsidRPr="00D32A32" w:rsidRDefault="00933D77" w:rsidP="006B7668">
      <w:pPr>
        <w:pStyle w:val="SCCLsocParty"/>
        <w:tabs>
          <w:tab w:val="right" w:pos="8280"/>
        </w:tabs>
        <w:spacing w:after="720"/>
        <w:rPr>
          <w:lang w:val="en-US"/>
        </w:rPr>
      </w:pPr>
      <w:proofErr w:type="spellStart"/>
      <w:r w:rsidRPr="00D239AA">
        <w:rPr>
          <w:lang w:val="en-US"/>
        </w:rPr>
        <w:t>Aecon</w:t>
      </w:r>
      <w:proofErr w:type="spellEnd"/>
      <w:r w:rsidRPr="00D239AA">
        <w:rPr>
          <w:lang w:val="en-US"/>
        </w:rPr>
        <w:t xml:space="preserve"> Construction Group Inc.</w:t>
      </w:r>
      <w:r w:rsidR="00BB529E" w:rsidRPr="00575C8A">
        <w:rPr>
          <w:lang w:val="en-US"/>
        </w:rPr>
        <w:tab/>
      </w:r>
      <w:r w:rsidR="00FC74DD" w:rsidRPr="006B7668">
        <w:rPr>
          <w:b w:val="0"/>
          <w:i/>
        </w:rPr>
        <w:t>Applicant</w:t>
      </w:r>
      <w:r w:rsidR="00006836" w:rsidRPr="006B7668">
        <w:rPr>
          <w:b w:val="0"/>
          <w:i/>
        </w:rPr>
        <w:t>/Applicant on motion</w:t>
      </w:r>
    </w:p>
    <w:p w:rsidR="00FC74DD" w:rsidRPr="00D239AA" w:rsidRDefault="00B55BD8" w:rsidP="00D239AA">
      <w:pPr>
        <w:pStyle w:val="SCCLsocOtherPartySeparator"/>
        <w:spacing w:after="720"/>
        <w:rPr>
          <w:i/>
        </w:rPr>
      </w:pPr>
      <w:proofErr w:type="gramStart"/>
      <w:r w:rsidRPr="00D239AA">
        <w:rPr>
          <w:i/>
        </w:rPr>
        <w:t>v</w:t>
      </w:r>
      <w:proofErr w:type="gramEnd"/>
      <w:r w:rsidRPr="00D239AA">
        <w:rPr>
          <w:i/>
        </w:rPr>
        <w:t>.</w:t>
      </w:r>
    </w:p>
    <w:p w:rsidR="005B5512" w:rsidRDefault="00933D77" w:rsidP="006B7668">
      <w:pPr>
        <w:pStyle w:val="SCCLsocParty"/>
        <w:tabs>
          <w:tab w:val="right" w:pos="8280"/>
        </w:tabs>
        <w:spacing w:after="720"/>
      </w:pPr>
      <w:r w:rsidRPr="00D239AA">
        <w:t>Stephenson Engineering Limited</w:t>
      </w:r>
      <w:r w:rsidR="00BB529E">
        <w:tab/>
      </w:r>
      <w:r w:rsidR="00B55BD8" w:rsidRPr="006B7668">
        <w:rPr>
          <w:b w:val="0"/>
          <w:i/>
        </w:rPr>
        <w:t>Respondent</w:t>
      </w:r>
      <w:r w:rsidR="00006836" w:rsidRPr="006B7668">
        <w:rPr>
          <w:b w:val="0"/>
          <w:i/>
        </w:rPr>
        <w:t>/Respondent on motion</w:t>
      </w:r>
    </w:p>
    <w:p w:rsidR="00426659" w:rsidRPr="00D239AA" w:rsidRDefault="00426659" w:rsidP="00D239AA">
      <w:pPr>
        <w:pStyle w:val="SCCLsocVersus"/>
        <w:spacing w:after="720"/>
        <w:rPr>
          <w:b/>
          <w:i w:val="0"/>
        </w:rPr>
      </w:pPr>
      <w:proofErr w:type="gramStart"/>
      <w:r w:rsidRPr="00D239AA">
        <w:rPr>
          <w:b/>
          <w:i w:val="0"/>
        </w:rPr>
        <w:t>Indexed as:</w:t>
      </w:r>
      <w:r w:rsidR="00207586" w:rsidRPr="00D239AA">
        <w:rPr>
          <w:b/>
          <w:i w:val="0"/>
        </w:rPr>
        <w:t>  </w:t>
      </w:r>
      <w:r w:rsidR="00933D77" w:rsidRPr="00D239AA">
        <w:rPr>
          <w:b/>
          <w:i w:val="0"/>
        </w:rPr>
        <w:t>Aecon Buildings</w:t>
      </w:r>
      <w:r w:rsidRPr="00D239AA">
        <w:rPr>
          <w:b/>
          <w:i w:val="0"/>
        </w:rPr>
        <w:t xml:space="preserve"> </w:t>
      </w:r>
      <w:r w:rsidRPr="00376DED">
        <w:rPr>
          <w:b/>
        </w:rPr>
        <w:t>v.</w:t>
      </w:r>
      <w:r w:rsidRPr="00D239AA">
        <w:rPr>
          <w:b/>
          <w:i w:val="0"/>
        </w:rPr>
        <w:t xml:space="preserve"> </w:t>
      </w:r>
      <w:r w:rsidR="00933D77" w:rsidRPr="00D239AA">
        <w:rPr>
          <w:b/>
          <w:i w:val="0"/>
        </w:rPr>
        <w:t>Stephenson Engineering Ltd.</w:t>
      </w:r>
      <w:proofErr w:type="gramEnd"/>
    </w:p>
    <w:p w:rsidR="00426659" w:rsidRPr="00D239AA" w:rsidRDefault="007F3F08" w:rsidP="00D239AA">
      <w:pPr>
        <w:pStyle w:val="SCCLsocVersus"/>
        <w:spacing w:after="720"/>
        <w:rPr>
          <w:b/>
          <w:i w:val="0"/>
        </w:rPr>
      </w:pPr>
      <w:r w:rsidRPr="00D239AA">
        <w:rPr>
          <w:b/>
          <w:i w:val="0"/>
        </w:rPr>
        <w:t>201</w:t>
      </w:r>
      <w:r w:rsidR="00790720" w:rsidRPr="00D239AA">
        <w:rPr>
          <w:b/>
          <w:i w:val="0"/>
        </w:rPr>
        <w:t>1</w:t>
      </w:r>
      <w:r w:rsidR="003D0399" w:rsidRPr="00D239AA">
        <w:rPr>
          <w:b/>
          <w:i w:val="0"/>
        </w:rPr>
        <w:t xml:space="preserve"> </w:t>
      </w:r>
      <w:r w:rsidR="00426659" w:rsidRPr="00D239AA">
        <w:rPr>
          <w:b/>
          <w:i w:val="0"/>
        </w:rPr>
        <w:t>SCC </w:t>
      </w:r>
      <w:r w:rsidR="00277A85" w:rsidRPr="00D239AA">
        <w:rPr>
          <w:b/>
          <w:i w:val="0"/>
        </w:rPr>
        <w:t>33</w:t>
      </w:r>
    </w:p>
    <w:p w:rsidR="00E97830" w:rsidRPr="00D239AA" w:rsidRDefault="00245F53" w:rsidP="00D239AA">
      <w:pPr>
        <w:pStyle w:val="SCCLsocVersus"/>
        <w:spacing w:after="720"/>
        <w:rPr>
          <w:i w:val="0"/>
        </w:rPr>
      </w:pPr>
      <w:r w:rsidRPr="00D239AA">
        <w:rPr>
          <w:i w:val="0"/>
        </w:rPr>
        <w:t>File No.:  </w:t>
      </w:r>
      <w:r w:rsidR="005873D8" w:rsidRPr="00D239AA">
        <w:rPr>
          <w:i w:val="0"/>
        </w:rPr>
        <w:t>3</w:t>
      </w:r>
      <w:r w:rsidR="00933D77" w:rsidRPr="00D239AA">
        <w:rPr>
          <w:i w:val="0"/>
        </w:rPr>
        <w:t>4112</w:t>
      </w:r>
      <w:r w:rsidR="009B57B3" w:rsidRPr="00D239AA">
        <w:rPr>
          <w:i w:val="0"/>
        </w:rPr>
        <w:t>.</w:t>
      </w:r>
    </w:p>
    <w:p w:rsidR="00E97830" w:rsidRPr="00D239AA" w:rsidRDefault="00245F53" w:rsidP="00D239AA">
      <w:pPr>
        <w:pStyle w:val="SCCLsocVersus"/>
        <w:spacing w:after="720"/>
        <w:rPr>
          <w:i w:val="0"/>
        </w:rPr>
      </w:pPr>
      <w:r w:rsidRPr="00D239AA">
        <w:rPr>
          <w:i w:val="0"/>
        </w:rPr>
        <w:t>201</w:t>
      </w:r>
      <w:r w:rsidR="00933D77" w:rsidRPr="00D239AA">
        <w:rPr>
          <w:i w:val="0"/>
        </w:rPr>
        <w:t>1</w:t>
      </w:r>
      <w:r w:rsidRPr="00D239AA">
        <w:rPr>
          <w:i w:val="0"/>
        </w:rPr>
        <w:t>:  </w:t>
      </w:r>
      <w:r w:rsidR="00933D77" w:rsidRPr="00D239AA">
        <w:rPr>
          <w:i w:val="0"/>
        </w:rPr>
        <w:t>June 23</w:t>
      </w:r>
      <w:r w:rsidR="009B57B3" w:rsidRPr="00D239AA">
        <w:rPr>
          <w:i w:val="0"/>
        </w:rPr>
        <w:t>.</w:t>
      </w:r>
    </w:p>
    <w:p w:rsidR="008322BD" w:rsidRPr="00D239AA" w:rsidRDefault="00207586" w:rsidP="00D239AA">
      <w:pPr>
        <w:pStyle w:val="SCCLsocVersus"/>
        <w:spacing w:after="720"/>
        <w:rPr>
          <w:i w:val="0"/>
        </w:rPr>
      </w:pPr>
      <w:r w:rsidRPr="00D239AA">
        <w:rPr>
          <w:i w:val="0"/>
        </w:rPr>
        <w:t>Present:  </w:t>
      </w:r>
      <w:r w:rsidR="009B57B3" w:rsidRPr="00D239AA">
        <w:rPr>
          <w:i w:val="0"/>
        </w:rPr>
        <w:t xml:space="preserve">Binnie, </w:t>
      </w:r>
      <w:r w:rsidR="00933D77" w:rsidRPr="00D239AA">
        <w:rPr>
          <w:i w:val="0"/>
        </w:rPr>
        <w:t>Abella</w:t>
      </w:r>
      <w:r w:rsidR="002C3C3B" w:rsidRPr="00D239AA">
        <w:rPr>
          <w:i w:val="0"/>
        </w:rPr>
        <w:t xml:space="preserve"> </w:t>
      </w:r>
      <w:r w:rsidR="009B57B3" w:rsidRPr="00D239AA">
        <w:rPr>
          <w:i w:val="0"/>
        </w:rPr>
        <w:t xml:space="preserve">and </w:t>
      </w:r>
      <w:r w:rsidR="00933D77" w:rsidRPr="00D239AA">
        <w:rPr>
          <w:i w:val="0"/>
        </w:rPr>
        <w:t>Rothstein</w:t>
      </w:r>
      <w:r w:rsidR="00C00942" w:rsidRPr="00D239AA">
        <w:rPr>
          <w:i w:val="0"/>
        </w:rPr>
        <w:t xml:space="preserve"> </w:t>
      </w:r>
      <w:r w:rsidR="009B57B3" w:rsidRPr="00D239AA">
        <w:rPr>
          <w:i w:val="0"/>
        </w:rPr>
        <w:t>JJ.</w:t>
      </w:r>
    </w:p>
    <w:p w:rsidR="00E97830" w:rsidRPr="00D239AA" w:rsidRDefault="00006836" w:rsidP="00D239AA">
      <w:pPr>
        <w:pStyle w:val="SCCLsocVersus"/>
        <w:spacing w:after="720"/>
        <w:rPr>
          <w:i w:val="0"/>
          <w:smallCaps/>
          <w:szCs w:val="24"/>
        </w:rPr>
      </w:pPr>
      <w:r w:rsidRPr="00D239AA">
        <w:rPr>
          <w:i w:val="0"/>
          <w:smallCaps/>
          <w:szCs w:val="24"/>
        </w:rPr>
        <w:t>motion</w:t>
      </w:r>
      <w:r w:rsidR="002C3C3B" w:rsidRPr="00D239AA">
        <w:rPr>
          <w:i w:val="0"/>
          <w:smallCaps/>
          <w:szCs w:val="24"/>
        </w:rPr>
        <w:t xml:space="preserve"> to </w:t>
      </w:r>
      <w:r w:rsidR="00933D77" w:rsidRPr="00D239AA">
        <w:rPr>
          <w:i w:val="0"/>
          <w:smallCaps/>
          <w:szCs w:val="24"/>
        </w:rPr>
        <w:t xml:space="preserve">adduce </w:t>
      </w:r>
      <w:r w:rsidR="005121C4" w:rsidRPr="00D239AA">
        <w:rPr>
          <w:i w:val="0"/>
          <w:smallCaps/>
          <w:szCs w:val="24"/>
        </w:rPr>
        <w:t>fresh</w:t>
      </w:r>
      <w:r w:rsidR="00933D77" w:rsidRPr="00D239AA">
        <w:rPr>
          <w:i w:val="0"/>
          <w:smallCaps/>
          <w:szCs w:val="24"/>
        </w:rPr>
        <w:t xml:space="preserve"> evidence</w:t>
      </w:r>
    </w:p>
    <w:p w:rsidR="00C05CA8" w:rsidRDefault="00C05CA8" w:rsidP="00C05CA8">
      <w:pPr>
        <w:pStyle w:val="SCCNormalDoubleSpacing"/>
        <w:tabs>
          <w:tab w:val="left" w:pos="1170"/>
        </w:tabs>
        <w:spacing w:after="480"/>
      </w:pPr>
      <w:r w:rsidRPr="00583EDE">
        <w:tab/>
      </w:r>
      <w:r w:rsidR="00AE49CB">
        <w:rPr>
          <w:i/>
        </w:rPr>
        <w:t>Courts</w:t>
      </w:r>
      <w:r w:rsidRPr="000D19D9">
        <w:rPr>
          <w:i/>
          <w:szCs w:val="24"/>
        </w:rPr>
        <w:t xml:space="preserve"> </w:t>
      </w:r>
      <w:r>
        <w:rPr>
          <w:i/>
          <w:szCs w:val="24"/>
        </w:rPr>
        <w:t>―</w:t>
      </w:r>
      <w:r w:rsidRPr="000D19D9">
        <w:rPr>
          <w:i/>
          <w:szCs w:val="24"/>
        </w:rPr>
        <w:t xml:space="preserve"> </w:t>
      </w:r>
      <w:r>
        <w:rPr>
          <w:i/>
          <w:szCs w:val="24"/>
        </w:rPr>
        <w:t>Supreme Court of Canada</w:t>
      </w:r>
      <w:r w:rsidRPr="000D19D9">
        <w:rPr>
          <w:i/>
          <w:szCs w:val="24"/>
        </w:rPr>
        <w:t xml:space="preserve"> </w:t>
      </w:r>
      <w:r>
        <w:rPr>
          <w:i/>
          <w:szCs w:val="24"/>
        </w:rPr>
        <w:t>―</w:t>
      </w:r>
      <w:r w:rsidRPr="000D19D9">
        <w:rPr>
          <w:i/>
          <w:szCs w:val="24"/>
        </w:rPr>
        <w:t xml:space="preserve"> </w:t>
      </w:r>
      <w:r>
        <w:rPr>
          <w:i/>
          <w:szCs w:val="24"/>
        </w:rPr>
        <w:t xml:space="preserve">Motion to adduce fresh evidence ― Applicant requests </w:t>
      </w:r>
      <w:r w:rsidR="00BD2074">
        <w:rPr>
          <w:i/>
          <w:szCs w:val="24"/>
        </w:rPr>
        <w:t xml:space="preserve">11 </w:t>
      </w:r>
      <w:r>
        <w:rPr>
          <w:i/>
          <w:szCs w:val="24"/>
        </w:rPr>
        <w:t>publications annexed to an affidavit be added to leave application</w:t>
      </w:r>
      <w:r w:rsidRPr="000D19D9">
        <w:rPr>
          <w:i/>
          <w:szCs w:val="24"/>
        </w:rPr>
        <w:t xml:space="preserve"> </w:t>
      </w:r>
      <w:r>
        <w:rPr>
          <w:i/>
          <w:szCs w:val="24"/>
        </w:rPr>
        <w:t>―</w:t>
      </w:r>
      <w:r w:rsidRPr="000D19D9">
        <w:rPr>
          <w:i/>
          <w:szCs w:val="24"/>
        </w:rPr>
        <w:t xml:space="preserve"> </w:t>
      </w:r>
      <w:r>
        <w:rPr>
          <w:i/>
          <w:szCs w:val="24"/>
        </w:rPr>
        <w:t>Factors guiding exercise of Court’s discretion to adduce fresh evidence.</w:t>
      </w:r>
    </w:p>
    <w:p w:rsidR="00A022A3" w:rsidRDefault="00034812" w:rsidP="00A9498E">
      <w:pPr>
        <w:pStyle w:val="SCCNormalDoubleSpacing"/>
        <w:tabs>
          <w:tab w:val="left" w:pos="1168"/>
        </w:tabs>
        <w:spacing w:after="480"/>
      </w:pPr>
      <w:r>
        <w:lastRenderedPageBreak/>
        <w:tab/>
      </w:r>
      <w:r w:rsidR="00A022A3">
        <w:t xml:space="preserve">Generally speaking, the question whether a legal issue is of public importance within the meaning of s. 43 of the </w:t>
      </w:r>
      <w:r w:rsidR="00A022A3">
        <w:rPr>
          <w:i/>
        </w:rPr>
        <w:t>Supreme Court Act</w:t>
      </w:r>
      <w:r w:rsidR="00A022A3">
        <w:t>, R.S.C. 1985, c. S-26, is not a matter on which affidavit evidence is helpful.  The practice is not invariable however.  In some cases it may not be apparent from the rest of the leave materials why, for example, the decision sought to be appealed is alleged to establish a precedent that is unworkable in practice, or otherwise is likely to have a problematic impact or jurisprudential importance not apparent on its face.  Here, however, the issues are straightforward.  The material sought to be added to the leave application does not identify any good reasons, policy or jurisprudential, not readily apparent from the material already filed, for finding that the application raises a legal issue of public importance.  The leave panel can determine whether the leave application raises a legal question of public importance on the existing record.  The material sought to be filed will be of no additional assistance.  The application to adduce fresh evidence on the leave application is therefore denied.</w:t>
      </w:r>
    </w:p>
    <w:p w:rsidR="00795216" w:rsidRPr="00522609" w:rsidRDefault="00795216" w:rsidP="00D32A32">
      <w:pPr>
        <w:pStyle w:val="SCCNormalDoubleSpacing"/>
        <w:keepNext/>
        <w:tabs>
          <w:tab w:val="left" w:pos="1168"/>
        </w:tabs>
        <w:spacing w:after="720" w:line="240" w:lineRule="auto"/>
        <w:rPr>
          <w:b/>
        </w:rPr>
      </w:pPr>
      <w:r w:rsidRPr="00314E01">
        <w:rPr>
          <w:b/>
        </w:rPr>
        <w:t>Cases Cited</w:t>
      </w:r>
    </w:p>
    <w:p w:rsidR="00FC74DD" w:rsidRDefault="00852168" w:rsidP="00795216">
      <w:pPr>
        <w:pStyle w:val="SCCNormalDoubleSpacing"/>
        <w:rPr>
          <w:szCs w:val="24"/>
        </w:rPr>
      </w:pPr>
      <w:r>
        <w:rPr>
          <w:szCs w:val="24"/>
        </w:rPr>
        <w:fldChar w:fldCharType="begin"/>
      </w:r>
      <w:r w:rsidR="00795216">
        <w:rPr>
          <w:szCs w:val="24"/>
        </w:rPr>
        <w:instrText xml:space="preserve"> SEQ CHAPTER \h \r 1</w:instrText>
      </w:r>
      <w:r>
        <w:rPr>
          <w:szCs w:val="24"/>
        </w:rPr>
        <w:fldChar w:fldCharType="end"/>
      </w:r>
      <w:r w:rsidR="00795216">
        <w:rPr>
          <w:szCs w:val="24"/>
        </w:rPr>
        <w:tab/>
      </w:r>
      <w:r w:rsidR="00795216">
        <w:rPr>
          <w:b/>
          <w:bCs/>
          <w:szCs w:val="24"/>
        </w:rPr>
        <w:t>Referred to:</w:t>
      </w:r>
      <w:r w:rsidR="00795216">
        <w:rPr>
          <w:szCs w:val="24"/>
        </w:rPr>
        <w:t xml:space="preserve">  </w:t>
      </w:r>
      <w:proofErr w:type="spellStart"/>
      <w:r w:rsidR="00370678" w:rsidRPr="00FB443C">
        <w:rPr>
          <w:i/>
          <w:szCs w:val="24"/>
        </w:rPr>
        <w:t>Pettey</w:t>
      </w:r>
      <w:proofErr w:type="spellEnd"/>
      <w:r w:rsidR="00370678" w:rsidRPr="00FB443C">
        <w:rPr>
          <w:i/>
          <w:szCs w:val="24"/>
        </w:rPr>
        <w:t xml:space="preserve"> v. Avis Car Inc.</w:t>
      </w:r>
      <w:r w:rsidR="00370678">
        <w:rPr>
          <w:szCs w:val="24"/>
        </w:rPr>
        <w:t xml:space="preserve"> </w:t>
      </w:r>
      <w:r w:rsidR="00370678" w:rsidRPr="00A82841">
        <w:rPr>
          <w:szCs w:val="24"/>
        </w:rPr>
        <w:t xml:space="preserve">(1993), 13 O.R. (3d) 725; </w:t>
      </w:r>
      <w:r w:rsidR="00370678" w:rsidRPr="00A82841">
        <w:rPr>
          <w:i/>
          <w:szCs w:val="24"/>
        </w:rPr>
        <w:t>Laudon v. Roberts</w:t>
      </w:r>
      <w:r w:rsidR="00370678" w:rsidRPr="00A82841">
        <w:rPr>
          <w:szCs w:val="24"/>
        </w:rPr>
        <w:t>, 2009 ONCA 383, 66 C.C.L.T. (3d) 207.</w:t>
      </w:r>
    </w:p>
    <w:p w:rsidR="00436875" w:rsidRPr="00A82841" w:rsidRDefault="00436875" w:rsidP="00795216">
      <w:pPr>
        <w:pStyle w:val="SCCNormalDoubleSpacing"/>
        <w:rPr>
          <w:szCs w:val="24"/>
        </w:rPr>
      </w:pPr>
    </w:p>
    <w:p w:rsidR="00436875" w:rsidRPr="008A40CD" w:rsidRDefault="00436875" w:rsidP="00D32A32">
      <w:pPr>
        <w:pStyle w:val="SCCNormalDoubleSpacing"/>
        <w:keepNext/>
        <w:tabs>
          <w:tab w:val="left" w:pos="1168"/>
        </w:tabs>
        <w:spacing w:after="720" w:line="240" w:lineRule="auto"/>
        <w:rPr>
          <w:b/>
        </w:rPr>
      </w:pPr>
      <w:r w:rsidRPr="008A40CD">
        <w:rPr>
          <w:b/>
        </w:rPr>
        <w:t>Statutes and Regulations Cited</w:t>
      </w:r>
    </w:p>
    <w:p w:rsidR="00D32A32" w:rsidRDefault="00D32A32" w:rsidP="00D32A32">
      <w:pPr>
        <w:pStyle w:val="SCCNormalDoubleSpacing"/>
        <w:tabs>
          <w:tab w:val="left" w:pos="1168"/>
        </w:tabs>
        <w:spacing w:after="240" w:line="240" w:lineRule="auto"/>
        <w:ind w:left="547" w:hanging="547"/>
        <w:rPr>
          <w:i/>
        </w:rPr>
      </w:pPr>
      <w:r>
        <w:rPr>
          <w:i/>
        </w:rPr>
        <w:t xml:space="preserve">Rules of the </w:t>
      </w:r>
      <w:r w:rsidRPr="00D32A32">
        <w:rPr>
          <w:i/>
        </w:rPr>
        <w:t>Supreme</w:t>
      </w:r>
      <w:r>
        <w:rPr>
          <w:i/>
        </w:rPr>
        <w:t xml:space="preserve"> Court of Canada</w:t>
      </w:r>
      <w:r w:rsidRPr="00D32A32">
        <w:t>,</w:t>
      </w:r>
      <w:r>
        <w:rPr>
          <w:i/>
        </w:rPr>
        <w:t xml:space="preserve"> </w:t>
      </w:r>
      <w:r w:rsidRPr="00D32A32">
        <w:t>SOR/</w:t>
      </w:r>
      <w:r>
        <w:t>2002-</w:t>
      </w:r>
      <w:r w:rsidRPr="00D32A32">
        <w:t xml:space="preserve">156, </w:t>
      </w:r>
      <w:proofErr w:type="spellStart"/>
      <w:proofErr w:type="gramStart"/>
      <w:r w:rsidRPr="00D32A32">
        <w:t>rr</w:t>
      </w:r>
      <w:proofErr w:type="spellEnd"/>
      <w:proofErr w:type="gramEnd"/>
      <w:r w:rsidRPr="00D32A32">
        <w:t>. 25</w:t>
      </w:r>
      <w:r>
        <w:t>, 47(1)(</w:t>
      </w:r>
      <w:r w:rsidRPr="00D32A32">
        <w:rPr>
          <w:i/>
        </w:rPr>
        <w:t>b</w:t>
      </w:r>
      <w:r>
        <w:t>)</w:t>
      </w:r>
      <w:r w:rsidR="006B7668">
        <w:t>,</w:t>
      </w:r>
      <w:r>
        <w:t xml:space="preserve"> 92.1</w:t>
      </w:r>
      <w:r w:rsidR="006B7668">
        <w:t>.</w:t>
      </w:r>
    </w:p>
    <w:p w:rsidR="00436875" w:rsidRPr="00933D77" w:rsidRDefault="00436875" w:rsidP="00D32A32">
      <w:pPr>
        <w:pStyle w:val="SCCNormalDoubleSpacing"/>
        <w:tabs>
          <w:tab w:val="left" w:pos="1168"/>
        </w:tabs>
        <w:spacing w:after="240" w:line="240" w:lineRule="auto"/>
        <w:ind w:left="547" w:hanging="547"/>
      </w:pPr>
      <w:r w:rsidRPr="00370678">
        <w:rPr>
          <w:i/>
        </w:rPr>
        <w:lastRenderedPageBreak/>
        <w:t>Supreme Court Act</w:t>
      </w:r>
      <w:r w:rsidR="00D32A32">
        <w:t xml:space="preserve">, R.S.C. 1985, c. S-26, </w:t>
      </w:r>
      <w:r w:rsidR="00311B93">
        <w:t>s</w:t>
      </w:r>
      <w:r>
        <w:t>.</w:t>
      </w:r>
      <w:r w:rsidR="00311B93">
        <w:t xml:space="preserve"> 43</w:t>
      </w:r>
      <w:r>
        <w:t>.</w:t>
      </w:r>
    </w:p>
    <w:p w:rsidR="00A82841" w:rsidRDefault="00A82841" w:rsidP="00D32A32">
      <w:pPr>
        <w:pStyle w:val="SCCNormalDoubleSpacing"/>
        <w:keepNext/>
        <w:tabs>
          <w:tab w:val="left" w:pos="1168"/>
        </w:tabs>
        <w:spacing w:after="720" w:line="240" w:lineRule="auto"/>
        <w:rPr>
          <w:b/>
        </w:rPr>
      </w:pPr>
      <w:r w:rsidRPr="001817F5">
        <w:rPr>
          <w:b/>
        </w:rPr>
        <w:t>Authors Cited</w:t>
      </w:r>
    </w:p>
    <w:p w:rsidR="00A82841" w:rsidRDefault="00A82841" w:rsidP="00D239AA">
      <w:pPr>
        <w:pStyle w:val="SCCNormalDoubleSpacing"/>
        <w:tabs>
          <w:tab w:val="left" w:pos="1168"/>
        </w:tabs>
        <w:spacing w:after="240" w:line="240" w:lineRule="auto"/>
        <w:ind w:left="547" w:hanging="547"/>
      </w:pPr>
      <w:proofErr w:type="spellStart"/>
      <w:r w:rsidRPr="00A82841">
        <w:t>Aikins</w:t>
      </w:r>
      <w:proofErr w:type="spellEnd"/>
      <w:r w:rsidRPr="00A82841">
        <w:t>,</w:t>
      </w:r>
      <w:r>
        <w:t xml:space="preserve"> John. </w:t>
      </w:r>
      <w:r w:rsidRPr="00A82841">
        <w:t xml:space="preserve"> “Disclosure of Litigation Agreements Must </w:t>
      </w:r>
      <w:proofErr w:type="gramStart"/>
      <w:r w:rsidRPr="00A82841">
        <w:t>be</w:t>
      </w:r>
      <w:proofErr w:type="gramEnd"/>
      <w:r w:rsidRPr="00A82841">
        <w:t xml:space="preserve"> ‘Immediate’”, </w:t>
      </w:r>
      <w:r w:rsidR="00D32A32">
        <w:t xml:space="preserve">Canadian </w:t>
      </w:r>
      <w:r>
        <w:t>Bar Association</w:t>
      </w:r>
      <w:r w:rsidR="00D32A32">
        <w:t xml:space="preserve"> (Ontario),</w:t>
      </w:r>
      <w:r>
        <w:t xml:space="preserve"> </w:t>
      </w:r>
      <w:r w:rsidRPr="00D32A32">
        <w:rPr>
          <w:i/>
        </w:rPr>
        <w:t>Insurance Law Section Newsletter</w:t>
      </w:r>
      <w:r w:rsidRPr="00A82841">
        <w:t>, vol. 21, No. 2, March</w:t>
      </w:r>
      <w:r w:rsidR="00D32A32">
        <w:t xml:space="preserve"> </w:t>
      </w:r>
      <w:r w:rsidRPr="00A82841">
        <w:t>2011 (online</w:t>
      </w:r>
      <w:r w:rsidR="00311B93">
        <w:t xml:space="preserve">: </w:t>
      </w:r>
      <w:r w:rsidRPr="00A82841">
        <w:t>http://www.oba.org/En/Insurance/newsletter_en/v21n2.aspx#Article_3)</w:t>
      </w:r>
      <w:r>
        <w:t>.</w:t>
      </w:r>
    </w:p>
    <w:p w:rsidR="00A82841" w:rsidRDefault="00A82841" w:rsidP="00D32A32">
      <w:pPr>
        <w:pStyle w:val="SCCNormalDoubleSpacing"/>
        <w:tabs>
          <w:tab w:val="left" w:pos="1168"/>
        </w:tabs>
        <w:spacing w:after="240" w:line="240" w:lineRule="auto"/>
        <w:ind w:left="547" w:hanging="547"/>
      </w:pPr>
      <w:r w:rsidRPr="00A82841">
        <w:t>Caplan,</w:t>
      </w:r>
      <w:r>
        <w:t xml:space="preserve"> Jessica. </w:t>
      </w:r>
      <w:r w:rsidRPr="00A82841">
        <w:t xml:space="preserve"> “Failure to Disclose Mary Carter-type Agreements Can</w:t>
      </w:r>
      <w:r w:rsidR="002E0C1E">
        <w:t xml:space="preserve"> Have Devastating Consequences —</w:t>
      </w:r>
      <w:r w:rsidRPr="00A82841">
        <w:t xml:space="preserve"> The Ontario Court of Appeal takes a Firm Position”, </w:t>
      </w:r>
      <w:r w:rsidR="00D32A32">
        <w:t xml:space="preserve">Canadian </w:t>
      </w:r>
      <w:r>
        <w:t>Bar Association</w:t>
      </w:r>
      <w:r w:rsidR="00D32A32">
        <w:t xml:space="preserve"> (Ontario), </w:t>
      </w:r>
      <w:r w:rsidRPr="00D32A32">
        <w:rPr>
          <w:i/>
        </w:rPr>
        <w:t>Construction Law Section Newsletter</w:t>
      </w:r>
      <w:r w:rsidRPr="00A82841">
        <w:t>, vol. 25, No. 3, April 2011 (online</w:t>
      </w:r>
      <w:r>
        <w:t xml:space="preserve">: </w:t>
      </w:r>
      <w:r w:rsidRPr="00A82841">
        <w:t>http://www.oba.org/En/Construction/Cons_newsletter/v25n3.aspx#Article_3</w:t>
      </w:r>
      <w:r>
        <w:t>).</w:t>
      </w:r>
    </w:p>
    <w:p w:rsidR="00A82841" w:rsidRPr="00A82841" w:rsidRDefault="00A82841" w:rsidP="00D32A32">
      <w:pPr>
        <w:pStyle w:val="SCCNormalDoubleSpacing"/>
        <w:spacing w:after="720" w:line="240" w:lineRule="auto"/>
        <w:ind w:left="547" w:hanging="547"/>
      </w:pPr>
      <w:r w:rsidRPr="00A82841">
        <w:t>Squires,</w:t>
      </w:r>
      <w:r>
        <w:t xml:space="preserve"> Robin. </w:t>
      </w:r>
      <w:r w:rsidRPr="00A82841">
        <w:t xml:space="preserve"> “Partial Settlement Agreements Must Be Immediately Disclosed”, Borden Ladner Gervais</w:t>
      </w:r>
      <w:r w:rsidR="00D32A32">
        <w:t>,</w:t>
      </w:r>
      <w:r w:rsidRPr="00A82841">
        <w:t xml:space="preserve"> </w:t>
      </w:r>
      <w:r w:rsidRPr="00D32A32">
        <w:rPr>
          <w:i/>
        </w:rPr>
        <w:t>Canadian Insurance Law Ne</w:t>
      </w:r>
      <w:r w:rsidR="00311B93" w:rsidRPr="00D32A32">
        <w:rPr>
          <w:i/>
        </w:rPr>
        <w:t>wsletter</w:t>
      </w:r>
      <w:r w:rsidR="00D32A32">
        <w:t xml:space="preserve">, </w:t>
      </w:r>
      <w:proofErr w:type="gramStart"/>
      <w:r w:rsidR="00D32A32">
        <w:t>S</w:t>
      </w:r>
      <w:r w:rsidR="00311B93">
        <w:t>pring</w:t>
      </w:r>
      <w:proofErr w:type="gramEnd"/>
      <w:r w:rsidR="00311B93">
        <w:t xml:space="preserve"> 2011, (online: </w:t>
      </w:r>
      <w:r w:rsidRPr="00A82841">
        <w:t>http://www.blg.com/en/home/publications/Documents/publication_1846.pdf</w:t>
      </w:r>
      <w:r>
        <w:t>).</w:t>
      </w:r>
    </w:p>
    <w:p w:rsidR="00AE5E57" w:rsidRDefault="00F97A41" w:rsidP="00D32A32">
      <w:pPr>
        <w:pStyle w:val="SCCNormalDoubleSpacing"/>
        <w:tabs>
          <w:tab w:val="left" w:pos="1170"/>
        </w:tabs>
        <w:spacing w:after="480"/>
      </w:pPr>
      <w:r w:rsidRPr="00933D77">
        <w:tab/>
      </w:r>
      <w:proofErr w:type="gramStart"/>
      <w:r w:rsidR="00006836">
        <w:t>MOTION</w:t>
      </w:r>
      <w:r w:rsidRPr="008A40CD">
        <w:t xml:space="preserve"> to </w:t>
      </w:r>
      <w:r w:rsidR="00006836">
        <w:t xml:space="preserve">adduce </w:t>
      </w:r>
      <w:r w:rsidR="00DB759B">
        <w:t>fresh evidence to be added to leave to appeal</w:t>
      </w:r>
      <w:r w:rsidRPr="008A40CD">
        <w:t>.</w:t>
      </w:r>
      <w:proofErr w:type="gramEnd"/>
      <w:r w:rsidRPr="008A40CD">
        <w:t xml:space="preserve">  </w:t>
      </w:r>
      <w:r w:rsidR="00006836">
        <w:t>Motion</w:t>
      </w:r>
      <w:r w:rsidR="00E56727">
        <w:t xml:space="preserve"> </w:t>
      </w:r>
      <w:r w:rsidR="000E79D2">
        <w:t>denied</w:t>
      </w:r>
      <w:r w:rsidRPr="008A40CD">
        <w:t>.</w:t>
      </w:r>
    </w:p>
    <w:p w:rsidR="005B5512" w:rsidRPr="00857828" w:rsidRDefault="00B55BD8" w:rsidP="00D32A32">
      <w:pPr>
        <w:pStyle w:val="SCCNormalDoubleSpacing"/>
        <w:tabs>
          <w:tab w:val="left" w:pos="1170"/>
        </w:tabs>
        <w:spacing w:after="480"/>
        <w:rPr>
          <w:rStyle w:val="SCCCounselPartyRoleChar"/>
        </w:rPr>
      </w:pPr>
      <w:r>
        <w:rPr>
          <w:rStyle w:val="SCCCounselNameChar"/>
        </w:rPr>
        <w:tab/>
      </w:r>
      <w:proofErr w:type="gramStart"/>
      <w:r w:rsidR="00DB759B" w:rsidRPr="00DB759B">
        <w:rPr>
          <w:rStyle w:val="SCCCounselNameChar"/>
          <w:i w:val="0"/>
        </w:rPr>
        <w:t xml:space="preserve">Written </w:t>
      </w:r>
      <w:r w:rsidR="00DB759B" w:rsidRPr="00D32A32">
        <w:rPr>
          <w:szCs w:val="24"/>
        </w:rPr>
        <w:t>submissions</w:t>
      </w:r>
      <w:r w:rsidR="00DB759B" w:rsidRPr="00DB759B">
        <w:rPr>
          <w:rStyle w:val="SCCCounselNameChar"/>
          <w:i w:val="0"/>
        </w:rPr>
        <w:t xml:space="preserve"> by</w:t>
      </w:r>
      <w:r w:rsidR="00DB759B">
        <w:rPr>
          <w:rStyle w:val="SCCCounselNameChar"/>
        </w:rPr>
        <w:t xml:space="preserve"> </w:t>
      </w:r>
      <w:r w:rsidR="007A07D4" w:rsidRPr="007A07D4">
        <w:rPr>
          <w:rStyle w:val="SCCCounselNameChar"/>
        </w:rPr>
        <w:t>Peter W.</w:t>
      </w:r>
      <w:r w:rsidR="007A07D4" w:rsidRPr="007A07D4">
        <w:t> </w:t>
      </w:r>
      <w:r w:rsidR="007A07D4" w:rsidRPr="007A07D4">
        <w:rPr>
          <w:i/>
        </w:rPr>
        <w:t>G. Carey</w:t>
      </w:r>
      <w:r w:rsidR="00037CD2" w:rsidRPr="00857828">
        <w:rPr>
          <w:rStyle w:val="SCCCounselPartyRoleChar"/>
        </w:rPr>
        <w:t>,</w:t>
      </w:r>
      <w:r w:rsidRPr="00857828">
        <w:rPr>
          <w:rStyle w:val="SCCCounselPartyRoleChar"/>
        </w:rPr>
        <w:t xml:space="preserve"> for the </w:t>
      </w:r>
      <w:r w:rsidR="008A40CD" w:rsidRPr="00857828">
        <w:rPr>
          <w:rStyle w:val="SCCCounselPartyRoleChar"/>
        </w:rPr>
        <w:t>applicant</w:t>
      </w:r>
      <w:r w:rsidR="00CA4136">
        <w:rPr>
          <w:rStyle w:val="SCCCounselPartyRoleChar"/>
        </w:rPr>
        <w:t>/</w:t>
      </w:r>
      <w:r w:rsidR="00CA4136">
        <w:t>a</w:t>
      </w:r>
      <w:r w:rsidR="00CA4136" w:rsidRPr="00CA4136">
        <w:rPr>
          <w:rStyle w:val="SCCCounselPartyRoleChar"/>
        </w:rPr>
        <w:t>pplicant on motion</w:t>
      </w:r>
      <w:r w:rsidRPr="00857828">
        <w:rPr>
          <w:rStyle w:val="SCCCounselPartyRoleChar"/>
        </w:rPr>
        <w:t>.</w:t>
      </w:r>
      <w:proofErr w:type="gramEnd"/>
    </w:p>
    <w:p w:rsidR="003E00AD" w:rsidRDefault="00245F53" w:rsidP="00D32A32">
      <w:pPr>
        <w:pStyle w:val="SCCNormalDoubleSpacing"/>
        <w:tabs>
          <w:tab w:val="left" w:pos="1170"/>
        </w:tabs>
        <w:spacing w:after="480"/>
        <w:rPr>
          <w:rStyle w:val="SCCCounselPartyRoleChar"/>
        </w:rPr>
      </w:pPr>
      <w:r w:rsidRPr="00857828">
        <w:rPr>
          <w:rStyle w:val="SCCCounselNameChar"/>
        </w:rPr>
        <w:tab/>
      </w:r>
      <w:proofErr w:type="gramStart"/>
      <w:r w:rsidR="00DB759B" w:rsidRPr="00DB759B">
        <w:rPr>
          <w:rStyle w:val="SCCCounselNameChar"/>
          <w:i w:val="0"/>
        </w:rPr>
        <w:t xml:space="preserve">Written </w:t>
      </w:r>
      <w:r w:rsidR="00DB759B" w:rsidRPr="00D32A32">
        <w:rPr>
          <w:szCs w:val="24"/>
        </w:rPr>
        <w:t>submissions</w:t>
      </w:r>
      <w:r w:rsidR="00DB759B" w:rsidRPr="00DB759B">
        <w:rPr>
          <w:rStyle w:val="SCCCounselNameChar"/>
          <w:i w:val="0"/>
        </w:rPr>
        <w:t xml:space="preserve"> by</w:t>
      </w:r>
      <w:r w:rsidR="00DB759B">
        <w:rPr>
          <w:rStyle w:val="SCCCounselNameChar"/>
        </w:rPr>
        <w:t xml:space="preserve"> </w:t>
      </w:r>
      <w:r w:rsidR="007A07D4">
        <w:rPr>
          <w:rStyle w:val="SCCCounselNameChar"/>
        </w:rPr>
        <w:t xml:space="preserve">James A. </w:t>
      </w:r>
      <w:proofErr w:type="spellStart"/>
      <w:r w:rsidR="007A07D4">
        <w:rPr>
          <w:rStyle w:val="SCCCounselNameChar"/>
        </w:rPr>
        <w:t>LeBer</w:t>
      </w:r>
      <w:proofErr w:type="spellEnd"/>
      <w:r w:rsidR="00B55BD8" w:rsidRPr="00857828">
        <w:rPr>
          <w:rStyle w:val="SCCCounselPartyRoleChar"/>
        </w:rPr>
        <w:t>, for the respondent</w:t>
      </w:r>
      <w:r w:rsidR="00CA4136">
        <w:rPr>
          <w:rStyle w:val="SCCCounselPartyRoleChar"/>
        </w:rPr>
        <w:t>/</w:t>
      </w:r>
      <w:r w:rsidR="00CA4136">
        <w:t>r</w:t>
      </w:r>
      <w:r w:rsidR="00CA4136" w:rsidRPr="00CA4136">
        <w:rPr>
          <w:rStyle w:val="SCCCounselPartyRoleChar"/>
        </w:rPr>
        <w:t>espondent on motion</w:t>
      </w:r>
      <w:r w:rsidR="00B55BD8" w:rsidRPr="00857828">
        <w:rPr>
          <w:rStyle w:val="SCCCounselPartyRoleChar"/>
        </w:rPr>
        <w:t>.</w:t>
      </w:r>
      <w:proofErr w:type="gramEnd"/>
    </w:p>
    <w:p w:rsidR="00DB759B" w:rsidRDefault="00DB759B" w:rsidP="00DB759B">
      <w:pPr>
        <w:pStyle w:val="SCCNormalDoubleSpacing"/>
        <w:tabs>
          <w:tab w:val="left" w:pos="1170"/>
        </w:tabs>
        <w:spacing w:after="480"/>
        <w:rPr>
          <w:szCs w:val="24"/>
        </w:rPr>
      </w:pPr>
      <w:r>
        <w:rPr>
          <w:szCs w:val="24"/>
        </w:rPr>
        <w:tab/>
        <w:t xml:space="preserve">The </w:t>
      </w:r>
      <w:r w:rsidR="00D32A32">
        <w:rPr>
          <w:szCs w:val="24"/>
        </w:rPr>
        <w:t xml:space="preserve">following order </w:t>
      </w:r>
      <w:r>
        <w:rPr>
          <w:szCs w:val="24"/>
        </w:rPr>
        <w:t>was delivered by</w:t>
      </w:r>
    </w:p>
    <w:p w:rsidR="00DB759B" w:rsidRDefault="00DB759B" w:rsidP="001E6EE7">
      <w:pPr>
        <w:pStyle w:val="ParaNoNdepar-AltN"/>
        <w:tabs>
          <w:tab w:val="clear" w:pos="1242"/>
          <w:tab w:val="num" w:pos="1152"/>
        </w:tabs>
        <w:ind w:left="0"/>
      </w:pPr>
      <w:r>
        <w:lastRenderedPageBreak/>
        <w:t>B</w:t>
      </w:r>
      <w:r w:rsidR="00D32A32" w:rsidRPr="00D32A32">
        <w:rPr>
          <w:smallCaps/>
        </w:rPr>
        <w:t>innie</w:t>
      </w:r>
      <w:r w:rsidRPr="00D32A32">
        <w:rPr>
          <w:smallCaps/>
        </w:rPr>
        <w:t xml:space="preserve"> </w:t>
      </w:r>
      <w:r>
        <w:t xml:space="preserve">J. ― </w:t>
      </w:r>
      <w:r w:rsidRPr="000F33AA">
        <w:t xml:space="preserve">An application is </w:t>
      </w:r>
      <w:r>
        <w:t>made on behalf of the applicant Aecon Buildings for an order pursuant to Rules 25, 47(1)(</w:t>
      </w:r>
      <w:r w:rsidRPr="0034522B">
        <w:rPr>
          <w:i/>
        </w:rPr>
        <w:t>b</w:t>
      </w:r>
      <w:r>
        <w:t>) and 92.1</w:t>
      </w:r>
      <w:r w:rsidR="00D32A32">
        <w:t xml:space="preserve"> of the </w:t>
      </w:r>
      <w:r w:rsidR="00D32A32" w:rsidRPr="00D32A32">
        <w:rPr>
          <w:i/>
        </w:rPr>
        <w:t>Rules of the Supreme Court of Canada</w:t>
      </w:r>
      <w:r w:rsidR="00D32A32">
        <w:t>, SOR/2002-156,</w:t>
      </w:r>
      <w:r w:rsidR="002E0C1E">
        <w:t xml:space="preserve"> permitting 11</w:t>
      </w:r>
      <w:r>
        <w:t xml:space="preserve"> publications annexed to an affidavit to be added to its application for leave to appeal.  Aecon argues that the articles demonstrate that the application is of public importance and were not available when the leave application was served and filed.</w:t>
      </w:r>
    </w:p>
    <w:p w:rsidR="00DB759B" w:rsidRDefault="00DB759B" w:rsidP="001E6EE7">
      <w:pPr>
        <w:pStyle w:val="ParaNoNdepar-AltN"/>
        <w:tabs>
          <w:tab w:val="clear" w:pos="1242"/>
          <w:tab w:val="num" w:pos="1152"/>
        </w:tabs>
        <w:ind w:left="0"/>
      </w:pPr>
      <w:r>
        <w:t>The leave application concerns a</w:t>
      </w:r>
      <w:r>
        <w:rPr>
          <w:i/>
        </w:rPr>
        <w:t xml:space="preserve"> </w:t>
      </w:r>
      <w:r>
        <w:t>“</w:t>
      </w:r>
      <w:r>
        <w:rPr>
          <w:i/>
        </w:rPr>
        <w:t>Mary Carter</w:t>
      </w:r>
      <w:r>
        <w:t xml:space="preserve">-type agreement”, i.e. a settlement agreement in multiparty litigation between a plaintiff and defendant wherein the defendant in question ostensibly remains an active party to the litigation while the plaintiff’s claim in fact targets the other parties.  The appearance is conveyed that the defendant is defending the cause but the appearance is misleading because of the existence of the partial settlement. </w:t>
      </w:r>
    </w:p>
    <w:p w:rsidR="00DB759B" w:rsidRPr="00C10E5F" w:rsidRDefault="00DB759B" w:rsidP="001E6EE7">
      <w:pPr>
        <w:pStyle w:val="ParaNoNdepar-AltN"/>
        <w:tabs>
          <w:tab w:val="clear" w:pos="1242"/>
          <w:tab w:val="num" w:pos="1152"/>
        </w:tabs>
        <w:ind w:left="0"/>
      </w:pPr>
      <w:r>
        <w:t xml:space="preserve">In the present case, the Ontario Court of Appeal held that the applicant’s conduct warranted a stay of proceedings for abuse of process because of the fact that it had failed </w:t>
      </w:r>
      <w:r>
        <w:rPr>
          <w:i/>
        </w:rPr>
        <w:t>ever</w:t>
      </w:r>
      <w:r>
        <w:t xml:space="preserve"> to volunteer the existence of the agreement to the other parties or to the court, but instead waited for one of the other parties to discover it through other sources and then demand its production (2010 ONCA 898, 328 D.L.R. (4</w:t>
      </w:r>
      <w:r w:rsidRPr="0034522B">
        <w:t>th</w:t>
      </w:r>
      <w:r>
        <w:t>) 488).</w:t>
      </w:r>
    </w:p>
    <w:p w:rsidR="00DB759B" w:rsidRDefault="00DB759B" w:rsidP="001E6EE7">
      <w:pPr>
        <w:pStyle w:val="ParaNoNdepar-AltN"/>
        <w:tabs>
          <w:tab w:val="clear" w:pos="1242"/>
          <w:tab w:val="num" w:pos="1152"/>
        </w:tabs>
        <w:ind w:left="0"/>
      </w:pPr>
      <w:r>
        <w:t xml:space="preserve">Generally speaking, our Court takes the view that the question whether a legal issue is of public importance within the meaning of s. 43 of the </w:t>
      </w:r>
      <w:r>
        <w:rPr>
          <w:i/>
        </w:rPr>
        <w:t>Supreme Court Act</w:t>
      </w:r>
      <w:r>
        <w:t xml:space="preserve">, R.S.C. 1985, c. S-26, is not a matter on which affidavit evidence is helpful.  The </w:t>
      </w:r>
      <w:r>
        <w:lastRenderedPageBreak/>
        <w:t xml:space="preserve">practice is not invariable however.  In some cases it may not be apparent from the rest of the leave materials why, for example, the decision sought to be appealed is alleged to establish a precedent that is unworkable in practice, or otherwise is likely to have a problematic impact or jurisprudential importance not apparent on its face.  Here, however, the issues are straightforward.  Must the </w:t>
      </w:r>
      <w:r>
        <w:rPr>
          <w:i/>
        </w:rPr>
        <w:t>Mary Carter</w:t>
      </w:r>
      <w:r>
        <w:t>-type agreement be disclosed immediately and if it isn’t what are the consequences?</w:t>
      </w:r>
    </w:p>
    <w:p w:rsidR="00DB759B" w:rsidRDefault="00DB759B" w:rsidP="001E6EE7">
      <w:pPr>
        <w:pStyle w:val="ParaNoNdepar-AltN"/>
        <w:tabs>
          <w:tab w:val="clear" w:pos="1242"/>
          <w:tab w:val="num" w:pos="1152"/>
        </w:tabs>
        <w:ind w:left="0"/>
      </w:pPr>
      <w:r>
        <w:t xml:space="preserve">The material sought to be filed by the applicant simply illustrates the straightforward nature of the legal issues.  The first item, a posting on the website of the Canadian Bar Association (Ontario) (“CBAO”) (J. Aikins, “Disclosure of Litigation Agreements Must be ‘Immediate’”, </w:t>
      </w:r>
      <w:r w:rsidRPr="00EB47F7">
        <w:rPr>
          <w:i/>
        </w:rPr>
        <w:t>Insurance Law Section Newsletter</w:t>
      </w:r>
      <w:r>
        <w:t>, vol. 21, No. 2, March 2011 (online))</w:t>
      </w:r>
      <w:r w:rsidR="008F49A9">
        <w:t>,</w:t>
      </w:r>
      <w:r>
        <w:t xml:space="preserve"> notes that the decision sought to be appealed restates the consistent rule in Ontario that </w:t>
      </w:r>
      <w:r w:rsidRPr="00BE1F81">
        <w:rPr>
          <w:i/>
        </w:rPr>
        <w:t>Mary Carter</w:t>
      </w:r>
      <w:r>
        <w:t>-type agreements must be “discl</w:t>
      </w:r>
      <w:r w:rsidR="00E045A2">
        <w:t>osed to the parties and to the c</w:t>
      </w:r>
      <w:r>
        <w:t xml:space="preserve">ourt as soon as the agreement is made”:  </w:t>
      </w:r>
      <w:r>
        <w:rPr>
          <w:i/>
        </w:rPr>
        <w:t>Pettey v. Avis Car Inc.</w:t>
      </w:r>
      <w:r>
        <w:t xml:space="preserve"> (1993), 13 O.R. </w:t>
      </w:r>
      <w:r w:rsidR="00D32A32">
        <w:t>(</w:t>
      </w:r>
      <w:r>
        <w:t>3</w:t>
      </w:r>
      <w:r w:rsidRPr="000F33AA">
        <w:t>d</w:t>
      </w:r>
      <w:r w:rsidR="00D32A32">
        <w:t>)</w:t>
      </w:r>
      <w:r>
        <w:t xml:space="preserve"> 725 (Gen. Div.), at p. 737.  The rule was repeated by the Ontario Court of Appeal as recently as </w:t>
      </w:r>
      <w:r>
        <w:rPr>
          <w:i/>
        </w:rPr>
        <w:t>Laudon</w:t>
      </w:r>
      <w:r>
        <w:t xml:space="preserve"> </w:t>
      </w:r>
      <w:r>
        <w:rPr>
          <w:i/>
        </w:rPr>
        <w:t>v. Roberts</w:t>
      </w:r>
      <w:r>
        <w:t xml:space="preserve">, 2009 ONCA 383, 66 C.C.L.T. (3d) 207, where the court said “the existence of such an agreement is to be disclosed, as soon as it is concluded, to the court and to the other parties to the litigation” (para. 39).  The CBAO posting does not indicate any conflict in the authorities or suggest that there are good reasons, policy or jurisprudential, not readily apparent from the material already filed, for finding that the application raises a legal issue of public importance.  The author merely poses the question of what is meant by “immediate disclosure” and how </w:t>
      </w:r>
      <w:r w:rsidRPr="008746B2">
        <w:rPr>
          <w:i/>
        </w:rPr>
        <w:t>Mary Carter</w:t>
      </w:r>
      <w:r>
        <w:t xml:space="preserve">-type agreements were to be “disclosed </w:t>
      </w:r>
      <w:r w:rsidR="00D32A32">
        <w:t xml:space="preserve">. . . </w:t>
      </w:r>
      <w:r>
        <w:t xml:space="preserve">to the </w:t>
      </w:r>
      <w:r w:rsidR="00E045A2">
        <w:lastRenderedPageBreak/>
        <w:t>c</w:t>
      </w:r>
      <w:r>
        <w:t>ourt”.  I think “immediate disclosure” is self-explanatory.  Its application in</w:t>
      </w:r>
      <w:r w:rsidR="00D32A32">
        <w:t xml:space="preserve"> a particular case will be fact-</w:t>
      </w:r>
      <w:r>
        <w:t xml:space="preserve">dependent.  Here, as stated, the applicant never did </w:t>
      </w:r>
      <w:r w:rsidRPr="002D1FD0">
        <w:rPr>
          <w:i/>
        </w:rPr>
        <w:t>volunteer</w:t>
      </w:r>
      <w:r>
        <w:t xml:space="preserve"> disclosure of the existence of the agreement to the parties or to the court.  The Court of Appeal decided that in the circumstances a stay of proceedings was warranted. The procedural point about how a party goes about disclosing the existence of such an agreement to the court (were they to decide to do so) is not something that raises a legal issue of public importance for this Court.</w:t>
      </w:r>
    </w:p>
    <w:p w:rsidR="00DB759B" w:rsidRDefault="00DB759B" w:rsidP="001E6EE7">
      <w:pPr>
        <w:pStyle w:val="ParaNoNdepar-AltN"/>
        <w:tabs>
          <w:tab w:val="clear" w:pos="1242"/>
          <w:tab w:val="num" w:pos="1152"/>
        </w:tabs>
        <w:ind w:left="0"/>
      </w:pPr>
      <w:r>
        <w:t xml:space="preserve">Another posting on the CBAO website by a different author states “[t]he </w:t>
      </w:r>
      <w:r w:rsidRPr="0034522B">
        <w:rPr>
          <w:i/>
        </w:rPr>
        <w:t>Aecon</w:t>
      </w:r>
      <w:r>
        <w:t xml:space="preserve"> decision simply serves as a reminder that immediate disclosure is necessary as a matter of procedural fairness, such to allow the Court to properly control the judicial process” (J. Caplan, “Failure to Disclose Mary Carter-type Agreements Can Have Devastating Consequences — The Ontario Court of Appeal takes a Firm Position”, </w:t>
      </w:r>
      <w:r w:rsidRPr="00EB47F7">
        <w:rPr>
          <w:i/>
        </w:rPr>
        <w:t>Construction Law Section Newsletter</w:t>
      </w:r>
      <w:r>
        <w:t>, vol. 25, No. 3, April 2011 (online)).  This too is of no help in resolving the s. 43 question before us.</w:t>
      </w:r>
    </w:p>
    <w:p w:rsidR="00DB759B" w:rsidRDefault="00DB759B" w:rsidP="001E6EE7">
      <w:pPr>
        <w:pStyle w:val="ParaNoNdepar-AltN"/>
        <w:tabs>
          <w:tab w:val="clear" w:pos="1242"/>
          <w:tab w:val="num" w:pos="1152"/>
        </w:tabs>
        <w:ind w:left="0"/>
      </w:pPr>
      <w:r>
        <w:t xml:space="preserve">The remaining articles are similarly routine reports of the decision of the Court of Appeal.  They generally fall into the “Notice to the Profession” category.  Sometimes the author adds a tag line such as “[a]nyone contemplating entering into a partial settlement agreement of any kind should closely review this decision and ensure that immediate disclosure is contemplated and assured upon the completion of the agreement” (R. Squires, “Partial Settlement Agreements Must Be Immediately Disclosed”, </w:t>
      </w:r>
      <w:r w:rsidRPr="00E045A2">
        <w:t>Borden Ladner Gervais</w:t>
      </w:r>
      <w:r w:rsidR="004013F3">
        <w:t>,</w:t>
      </w:r>
      <w:r w:rsidRPr="00EB47F7">
        <w:rPr>
          <w:i/>
        </w:rPr>
        <w:t xml:space="preserve"> Canadian Insurance Law Newsletter</w:t>
      </w:r>
      <w:r>
        <w:t xml:space="preserve">, Spring </w:t>
      </w:r>
      <w:r>
        <w:lastRenderedPageBreak/>
        <w:t>2011 (online)).  Nobody expresses any doubt that the rule stated by the Court of Appeal is consistent with its past authority, or suggests that the remedy for abuse of process was not, as a matter of law, available.</w:t>
      </w:r>
    </w:p>
    <w:p w:rsidR="00DB759B" w:rsidRDefault="00DB759B" w:rsidP="001E6EE7">
      <w:pPr>
        <w:pStyle w:val="ParaNoNdepar-AltN"/>
        <w:tabs>
          <w:tab w:val="clear" w:pos="1242"/>
          <w:tab w:val="num" w:pos="1152"/>
        </w:tabs>
        <w:ind w:left="0"/>
      </w:pPr>
      <w:r>
        <w:t>Whether the rule itself raises a legal question of public importance is for the leave panel to decide.  The material sought to be filed is of no additional assistance in this respect.</w:t>
      </w:r>
    </w:p>
    <w:p w:rsidR="00DB759B" w:rsidRDefault="001E6EE7" w:rsidP="001E6EE7">
      <w:pPr>
        <w:pStyle w:val="ParaNoNdepar-AltN"/>
        <w:tabs>
          <w:tab w:val="clear" w:pos="1242"/>
          <w:tab w:val="num" w:pos="1152"/>
        </w:tabs>
        <w:ind w:left="0"/>
      </w:pPr>
      <w:r>
        <w:t>C</w:t>
      </w:r>
      <w:r w:rsidR="00DB759B">
        <w:t>ounsel for the respondent advises the Court that he takes no position on the motion to adduce fresh evidence, presumably because the fresh evidence is neither helpful nor prejudicial.</w:t>
      </w:r>
    </w:p>
    <w:p w:rsidR="00DB759B" w:rsidRDefault="00DB759B" w:rsidP="001E6EE7">
      <w:pPr>
        <w:pStyle w:val="ParaNoNdepar-AltN"/>
        <w:tabs>
          <w:tab w:val="clear" w:pos="1242"/>
          <w:tab w:val="num" w:pos="1152"/>
        </w:tabs>
        <w:ind w:left="0"/>
      </w:pPr>
      <w:r>
        <w:t>I would deny the application to adduce fresh evidence on the leave application without costs.</w:t>
      </w:r>
    </w:p>
    <w:p w:rsidR="009B57B3" w:rsidRDefault="009B57B3" w:rsidP="00A9498E">
      <w:pPr>
        <w:pStyle w:val="SCCNormalDoubleSpacing"/>
        <w:tabs>
          <w:tab w:val="left" w:pos="1170"/>
        </w:tabs>
        <w:spacing w:after="480"/>
        <w:rPr>
          <w:i/>
        </w:rPr>
      </w:pPr>
      <w:r w:rsidRPr="001426A9">
        <w:tab/>
      </w:r>
      <w:r w:rsidR="00006836" w:rsidRPr="00A9498E">
        <w:rPr>
          <w:i/>
          <w:szCs w:val="24"/>
        </w:rPr>
        <w:t>Motion</w:t>
      </w:r>
      <w:r w:rsidR="00923A02" w:rsidRPr="00E56727">
        <w:rPr>
          <w:i/>
        </w:rPr>
        <w:t xml:space="preserve"> </w:t>
      </w:r>
      <w:r w:rsidR="000E79D2">
        <w:rPr>
          <w:i/>
        </w:rPr>
        <w:t>denied</w:t>
      </w:r>
      <w:r w:rsidR="00E56727">
        <w:rPr>
          <w:i/>
        </w:rPr>
        <w:t>.</w:t>
      </w:r>
    </w:p>
    <w:p w:rsidR="00C85571" w:rsidRPr="00857828" w:rsidRDefault="001E6EE7" w:rsidP="00A9498E">
      <w:pPr>
        <w:pStyle w:val="SCCNormalDoubleSpacing"/>
        <w:tabs>
          <w:tab w:val="left" w:pos="1170"/>
        </w:tabs>
        <w:spacing w:after="480"/>
      </w:pPr>
      <w:r>
        <w:rPr>
          <w:i/>
        </w:rPr>
        <w:tab/>
      </w:r>
      <w:r w:rsidR="00C85571" w:rsidRPr="001E6EE7">
        <w:rPr>
          <w:i/>
        </w:rPr>
        <w:t>Solicitors</w:t>
      </w:r>
      <w:r w:rsidR="00C85571" w:rsidRPr="00857828">
        <w:t xml:space="preserve"> </w:t>
      </w:r>
      <w:r w:rsidR="00C85571" w:rsidRPr="001E6EE7">
        <w:rPr>
          <w:i/>
        </w:rPr>
        <w:t>for</w:t>
      </w:r>
      <w:r w:rsidR="00C85571" w:rsidRPr="00857828">
        <w:t xml:space="preserve"> </w:t>
      </w:r>
      <w:r w:rsidR="00C85571" w:rsidRPr="00A9498E">
        <w:rPr>
          <w:i/>
        </w:rPr>
        <w:t xml:space="preserve">the </w:t>
      </w:r>
      <w:r w:rsidR="00D32A32" w:rsidRPr="00A9498E">
        <w:rPr>
          <w:i/>
          <w:szCs w:val="24"/>
        </w:rPr>
        <w:t>applicant</w:t>
      </w:r>
      <w:r w:rsidRPr="00A9498E">
        <w:rPr>
          <w:i/>
        </w:rPr>
        <w:t>/</w:t>
      </w:r>
      <w:r w:rsidR="00D32A32" w:rsidRPr="001E6EE7">
        <w:rPr>
          <w:i/>
        </w:rPr>
        <w:t>applicant on motion</w:t>
      </w:r>
      <w:r w:rsidR="00C85571" w:rsidRPr="001E6EE7">
        <w:rPr>
          <w:i/>
        </w:rPr>
        <w:t>:  </w:t>
      </w:r>
      <w:proofErr w:type="spellStart"/>
      <w:r w:rsidR="007A07D4" w:rsidRPr="001E6EE7">
        <w:rPr>
          <w:i/>
        </w:rPr>
        <w:t>Fogler</w:t>
      </w:r>
      <w:proofErr w:type="spellEnd"/>
      <w:r w:rsidR="007A07D4" w:rsidRPr="001E6EE7">
        <w:rPr>
          <w:i/>
        </w:rPr>
        <w:t xml:space="preserve">, </w:t>
      </w:r>
      <w:proofErr w:type="spellStart"/>
      <w:r w:rsidR="007A07D4" w:rsidRPr="001E6EE7">
        <w:rPr>
          <w:i/>
        </w:rPr>
        <w:t>Rubinoff</w:t>
      </w:r>
      <w:proofErr w:type="spellEnd"/>
      <w:r w:rsidR="007A07D4" w:rsidRPr="001E6EE7">
        <w:rPr>
          <w:i/>
        </w:rPr>
        <w:t>, Toronto.</w:t>
      </w:r>
    </w:p>
    <w:p w:rsidR="00C85571" w:rsidRDefault="001E6EE7" w:rsidP="00A9498E">
      <w:pPr>
        <w:pStyle w:val="SCCNormalDoubleSpacing"/>
        <w:tabs>
          <w:tab w:val="left" w:pos="1170"/>
        </w:tabs>
        <w:spacing w:after="480"/>
      </w:pPr>
      <w:r>
        <w:rPr>
          <w:i/>
        </w:rPr>
        <w:tab/>
      </w:r>
      <w:r w:rsidR="00C85571" w:rsidRPr="001E6EE7">
        <w:rPr>
          <w:i/>
        </w:rPr>
        <w:t>Solicitor</w:t>
      </w:r>
      <w:r w:rsidR="00CA4136" w:rsidRPr="001E6EE7">
        <w:rPr>
          <w:i/>
        </w:rPr>
        <w:t>s</w:t>
      </w:r>
      <w:r w:rsidR="00C85571" w:rsidRPr="00857828">
        <w:t xml:space="preserve"> </w:t>
      </w:r>
      <w:r w:rsidR="00C85571" w:rsidRPr="001E6EE7">
        <w:rPr>
          <w:i/>
        </w:rPr>
        <w:t xml:space="preserve">for the </w:t>
      </w:r>
      <w:r w:rsidR="00C85571" w:rsidRPr="00E045A2">
        <w:rPr>
          <w:i/>
          <w:szCs w:val="24"/>
        </w:rPr>
        <w:t>r</w:t>
      </w:r>
      <w:r w:rsidR="00C85571" w:rsidRPr="00A9498E">
        <w:rPr>
          <w:i/>
          <w:szCs w:val="24"/>
        </w:rPr>
        <w:t>esponden</w:t>
      </w:r>
      <w:r w:rsidR="00D32A32" w:rsidRPr="00A9498E">
        <w:rPr>
          <w:i/>
          <w:szCs w:val="24"/>
        </w:rPr>
        <w:t>t</w:t>
      </w:r>
      <w:r w:rsidR="00D32A32" w:rsidRPr="001E6EE7">
        <w:rPr>
          <w:i/>
        </w:rPr>
        <w:t>/respondent on motion</w:t>
      </w:r>
      <w:r w:rsidR="00C85571" w:rsidRPr="001E6EE7">
        <w:rPr>
          <w:i/>
        </w:rPr>
        <w:t>:  </w:t>
      </w:r>
      <w:r w:rsidR="007A07D4" w:rsidRPr="001E6EE7">
        <w:rPr>
          <w:i/>
        </w:rPr>
        <w:t>Advocates, London.</w:t>
      </w:r>
    </w:p>
    <w:sectPr w:rsidR="00C85571" w:rsidSect="00D32A32">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8E" w:rsidRDefault="00A9498E">
      <w:r>
        <w:separator/>
      </w:r>
    </w:p>
  </w:endnote>
  <w:endnote w:type="continuationSeparator" w:id="0">
    <w:p w:rsidR="00A9498E" w:rsidRDefault="00A94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E" w:rsidRDefault="00A9498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E" w:rsidRDefault="00A9498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8E" w:rsidRDefault="00A9498E">
      <w:r>
        <w:separator/>
      </w:r>
    </w:p>
  </w:footnote>
  <w:footnote w:type="continuationSeparator" w:id="0">
    <w:p w:rsidR="00A9498E" w:rsidRDefault="00A94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8E" w:rsidRDefault="00A9498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9729"/>
      <w:docPartObj>
        <w:docPartGallery w:val="Page Numbers (Top of Page)"/>
        <w:docPartUnique/>
      </w:docPartObj>
    </w:sdtPr>
    <w:sdtContent>
      <w:p w:rsidR="00A9498E" w:rsidRDefault="00A9498E">
        <w:pPr>
          <w:pStyle w:val="Header"/>
          <w:jc w:val="center"/>
        </w:pPr>
        <w:r>
          <w:t xml:space="preserve">- </w:t>
        </w:r>
        <w:fldSimple w:instr=" PAGE   \* MERGEFORMAT ">
          <w:r w:rsidR="00C656F0">
            <w:rPr>
              <w:noProof/>
            </w:rPr>
            <w:t>2</w:t>
          </w:r>
        </w:fldSimple>
        <w:r>
          <w:t xml:space="preserve"> -</w:t>
        </w:r>
      </w:p>
    </w:sdtContent>
  </w:sdt>
  <w:p w:rsidR="00A9498E" w:rsidRDefault="00A94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69183738"/>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6977"/>
  </w:hdrShapeDefaults>
  <w:footnotePr>
    <w:footnote w:id="-1"/>
    <w:footnote w:id="0"/>
  </w:footnotePr>
  <w:endnotePr>
    <w:endnote w:id="-1"/>
    <w:endnote w:id="0"/>
  </w:endnotePr>
  <w:compat/>
  <w:rsids>
    <w:rsidRoot w:val="0031414C"/>
    <w:rsid w:val="00000ED4"/>
    <w:rsid w:val="00006836"/>
    <w:rsid w:val="000146D9"/>
    <w:rsid w:val="00025198"/>
    <w:rsid w:val="00031EDA"/>
    <w:rsid w:val="00034812"/>
    <w:rsid w:val="00037CD2"/>
    <w:rsid w:val="00051790"/>
    <w:rsid w:val="000578A3"/>
    <w:rsid w:val="000648CC"/>
    <w:rsid w:val="00067E68"/>
    <w:rsid w:val="00081C42"/>
    <w:rsid w:val="000841BD"/>
    <w:rsid w:val="000A1EF1"/>
    <w:rsid w:val="000B4D26"/>
    <w:rsid w:val="000B70ED"/>
    <w:rsid w:val="000C1B6F"/>
    <w:rsid w:val="000C474A"/>
    <w:rsid w:val="000C59B8"/>
    <w:rsid w:val="000E79D2"/>
    <w:rsid w:val="000F1492"/>
    <w:rsid w:val="0010343F"/>
    <w:rsid w:val="00111DE2"/>
    <w:rsid w:val="00114977"/>
    <w:rsid w:val="00116B38"/>
    <w:rsid w:val="001351E1"/>
    <w:rsid w:val="00135406"/>
    <w:rsid w:val="00135972"/>
    <w:rsid w:val="001426A9"/>
    <w:rsid w:val="00143D31"/>
    <w:rsid w:val="00154D7C"/>
    <w:rsid w:val="001570B0"/>
    <w:rsid w:val="0015752C"/>
    <w:rsid w:val="00157737"/>
    <w:rsid w:val="00165277"/>
    <w:rsid w:val="00167270"/>
    <w:rsid w:val="00170592"/>
    <w:rsid w:val="00175D83"/>
    <w:rsid w:val="00197B5D"/>
    <w:rsid w:val="001B33E0"/>
    <w:rsid w:val="001B4573"/>
    <w:rsid w:val="001C0766"/>
    <w:rsid w:val="001C779F"/>
    <w:rsid w:val="001D2AC1"/>
    <w:rsid w:val="001D4E88"/>
    <w:rsid w:val="001D7669"/>
    <w:rsid w:val="001E6EE7"/>
    <w:rsid w:val="001F3E92"/>
    <w:rsid w:val="00207586"/>
    <w:rsid w:val="0021589D"/>
    <w:rsid w:val="00220FC2"/>
    <w:rsid w:val="00224FC0"/>
    <w:rsid w:val="00225EA4"/>
    <w:rsid w:val="00226EAF"/>
    <w:rsid w:val="00231F3A"/>
    <w:rsid w:val="002403E5"/>
    <w:rsid w:val="002406EE"/>
    <w:rsid w:val="00243EC8"/>
    <w:rsid w:val="00245F53"/>
    <w:rsid w:val="00247151"/>
    <w:rsid w:val="002739DD"/>
    <w:rsid w:val="002745CC"/>
    <w:rsid w:val="00277A85"/>
    <w:rsid w:val="002851D3"/>
    <w:rsid w:val="002913AF"/>
    <w:rsid w:val="00293251"/>
    <w:rsid w:val="002A12DD"/>
    <w:rsid w:val="002A46C3"/>
    <w:rsid w:val="002B639A"/>
    <w:rsid w:val="002B7924"/>
    <w:rsid w:val="002C3C3B"/>
    <w:rsid w:val="002D39A4"/>
    <w:rsid w:val="002D47F5"/>
    <w:rsid w:val="002D7C6B"/>
    <w:rsid w:val="002E0C1E"/>
    <w:rsid w:val="002E6705"/>
    <w:rsid w:val="002F0CD9"/>
    <w:rsid w:val="002F2DA3"/>
    <w:rsid w:val="00300A8C"/>
    <w:rsid w:val="0030329A"/>
    <w:rsid w:val="00303BA3"/>
    <w:rsid w:val="0031086F"/>
    <w:rsid w:val="00311B93"/>
    <w:rsid w:val="0031414C"/>
    <w:rsid w:val="00314E01"/>
    <w:rsid w:val="0032089D"/>
    <w:rsid w:val="003310DE"/>
    <w:rsid w:val="0035169A"/>
    <w:rsid w:val="0035259D"/>
    <w:rsid w:val="00364B18"/>
    <w:rsid w:val="00370678"/>
    <w:rsid w:val="00376DED"/>
    <w:rsid w:val="003A4C70"/>
    <w:rsid w:val="003B215F"/>
    <w:rsid w:val="003C5A5D"/>
    <w:rsid w:val="003C799C"/>
    <w:rsid w:val="003D0399"/>
    <w:rsid w:val="003E00AD"/>
    <w:rsid w:val="003E1C71"/>
    <w:rsid w:val="003F327B"/>
    <w:rsid w:val="003F6FAB"/>
    <w:rsid w:val="004013F3"/>
    <w:rsid w:val="00405CBA"/>
    <w:rsid w:val="00406166"/>
    <w:rsid w:val="0040704B"/>
    <w:rsid w:val="00410A55"/>
    <w:rsid w:val="00411300"/>
    <w:rsid w:val="00415417"/>
    <w:rsid w:val="00415CDC"/>
    <w:rsid w:val="00426659"/>
    <w:rsid w:val="00436875"/>
    <w:rsid w:val="0044655E"/>
    <w:rsid w:val="00450352"/>
    <w:rsid w:val="004505CA"/>
    <w:rsid w:val="00454BDB"/>
    <w:rsid w:val="00465132"/>
    <w:rsid w:val="00475463"/>
    <w:rsid w:val="00475AF2"/>
    <w:rsid w:val="00480C90"/>
    <w:rsid w:val="0048396F"/>
    <w:rsid w:val="00493C18"/>
    <w:rsid w:val="004A600C"/>
    <w:rsid w:val="004A6118"/>
    <w:rsid w:val="004C478D"/>
    <w:rsid w:val="004E2C26"/>
    <w:rsid w:val="004E5718"/>
    <w:rsid w:val="00500CF0"/>
    <w:rsid w:val="0050136A"/>
    <w:rsid w:val="005043C1"/>
    <w:rsid w:val="005121C4"/>
    <w:rsid w:val="005125A8"/>
    <w:rsid w:val="0052176C"/>
    <w:rsid w:val="00521AE8"/>
    <w:rsid w:val="00527180"/>
    <w:rsid w:val="00536DAB"/>
    <w:rsid w:val="00542128"/>
    <w:rsid w:val="00543DC1"/>
    <w:rsid w:val="00555291"/>
    <w:rsid w:val="00575C8A"/>
    <w:rsid w:val="00583EDE"/>
    <w:rsid w:val="00585D3E"/>
    <w:rsid w:val="005873D8"/>
    <w:rsid w:val="005B3D8C"/>
    <w:rsid w:val="005B5512"/>
    <w:rsid w:val="005C7601"/>
    <w:rsid w:val="005D175B"/>
    <w:rsid w:val="005E4698"/>
    <w:rsid w:val="0060459D"/>
    <w:rsid w:val="00610539"/>
    <w:rsid w:val="00613969"/>
    <w:rsid w:val="00625C35"/>
    <w:rsid w:val="00656313"/>
    <w:rsid w:val="006565F4"/>
    <w:rsid w:val="00684EEA"/>
    <w:rsid w:val="006B3B0D"/>
    <w:rsid w:val="006B4439"/>
    <w:rsid w:val="006B5FF5"/>
    <w:rsid w:val="006B7668"/>
    <w:rsid w:val="006C3948"/>
    <w:rsid w:val="006C3DBE"/>
    <w:rsid w:val="006F6AB2"/>
    <w:rsid w:val="00701759"/>
    <w:rsid w:val="00721918"/>
    <w:rsid w:val="00730E69"/>
    <w:rsid w:val="007379B4"/>
    <w:rsid w:val="00747288"/>
    <w:rsid w:val="00747DD3"/>
    <w:rsid w:val="007549C8"/>
    <w:rsid w:val="00766D14"/>
    <w:rsid w:val="00767A0F"/>
    <w:rsid w:val="00781FF3"/>
    <w:rsid w:val="00790720"/>
    <w:rsid w:val="00795216"/>
    <w:rsid w:val="0079604D"/>
    <w:rsid w:val="007A05F6"/>
    <w:rsid w:val="007A07D4"/>
    <w:rsid w:val="007B6F4A"/>
    <w:rsid w:val="007E1C47"/>
    <w:rsid w:val="007E337A"/>
    <w:rsid w:val="007E5C70"/>
    <w:rsid w:val="007F2FF5"/>
    <w:rsid w:val="007F3F08"/>
    <w:rsid w:val="007F5F13"/>
    <w:rsid w:val="00804CC6"/>
    <w:rsid w:val="00817190"/>
    <w:rsid w:val="008260E2"/>
    <w:rsid w:val="00826284"/>
    <w:rsid w:val="008322BD"/>
    <w:rsid w:val="00834F73"/>
    <w:rsid w:val="00852168"/>
    <w:rsid w:val="00857828"/>
    <w:rsid w:val="00857EBC"/>
    <w:rsid w:val="00864CF8"/>
    <w:rsid w:val="00874914"/>
    <w:rsid w:val="008818B6"/>
    <w:rsid w:val="00891422"/>
    <w:rsid w:val="00892E1A"/>
    <w:rsid w:val="008A40CD"/>
    <w:rsid w:val="008C01DA"/>
    <w:rsid w:val="008C0536"/>
    <w:rsid w:val="008F49A9"/>
    <w:rsid w:val="008F6C25"/>
    <w:rsid w:val="008F78E9"/>
    <w:rsid w:val="009139FC"/>
    <w:rsid w:val="009179F9"/>
    <w:rsid w:val="00923A02"/>
    <w:rsid w:val="00933D77"/>
    <w:rsid w:val="00933E5E"/>
    <w:rsid w:val="009346F9"/>
    <w:rsid w:val="00935218"/>
    <w:rsid w:val="009377A9"/>
    <w:rsid w:val="009403F3"/>
    <w:rsid w:val="00951DED"/>
    <w:rsid w:val="009555B7"/>
    <w:rsid w:val="009567AA"/>
    <w:rsid w:val="00967374"/>
    <w:rsid w:val="009A3A76"/>
    <w:rsid w:val="009B2F23"/>
    <w:rsid w:val="009B57B3"/>
    <w:rsid w:val="009B5C8E"/>
    <w:rsid w:val="009C77D1"/>
    <w:rsid w:val="009D2920"/>
    <w:rsid w:val="009D5AEB"/>
    <w:rsid w:val="009F0E33"/>
    <w:rsid w:val="00A022A3"/>
    <w:rsid w:val="00A10A93"/>
    <w:rsid w:val="00A149DF"/>
    <w:rsid w:val="00A21B90"/>
    <w:rsid w:val="00A41805"/>
    <w:rsid w:val="00A42639"/>
    <w:rsid w:val="00A548CB"/>
    <w:rsid w:val="00A5521C"/>
    <w:rsid w:val="00A643E7"/>
    <w:rsid w:val="00A73C38"/>
    <w:rsid w:val="00A82310"/>
    <w:rsid w:val="00A82841"/>
    <w:rsid w:val="00A9498E"/>
    <w:rsid w:val="00AA23DB"/>
    <w:rsid w:val="00AD1AA7"/>
    <w:rsid w:val="00AE0787"/>
    <w:rsid w:val="00AE1FF6"/>
    <w:rsid w:val="00AE49CB"/>
    <w:rsid w:val="00AE5E57"/>
    <w:rsid w:val="00AF03C5"/>
    <w:rsid w:val="00B000D8"/>
    <w:rsid w:val="00B00F75"/>
    <w:rsid w:val="00B04459"/>
    <w:rsid w:val="00B145B6"/>
    <w:rsid w:val="00B429DF"/>
    <w:rsid w:val="00B50C81"/>
    <w:rsid w:val="00B557F8"/>
    <w:rsid w:val="00B55BD8"/>
    <w:rsid w:val="00B815FC"/>
    <w:rsid w:val="00B93FBC"/>
    <w:rsid w:val="00BA4E40"/>
    <w:rsid w:val="00BB2EE4"/>
    <w:rsid w:val="00BB529E"/>
    <w:rsid w:val="00BC1C4A"/>
    <w:rsid w:val="00BC2108"/>
    <w:rsid w:val="00BD00CE"/>
    <w:rsid w:val="00BD08B7"/>
    <w:rsid w:val="00BD0E9E"/>
    <w:rsid w:val="00BD1BEC"/>
    <w:rsid w:val="00BD2074"/>
    <w:rsid w:val="00BD32FF"/>
    <w:rsid w:val="00BF336E"/>
    <w:rsid w:val="00C00942"/>
    <w:rsid w:val="00C02092"/>
    <w:rsid w:val="00C05CA8"/>
    <w:rsid w:val="00C07ED0"/>
    <w:rsid w:val="00C24D91"/>
    <w:rsid w:val="00C462A5"/>
    <w:rsid w:val="00C4689F"/>
    <w:rsid w:val="00C53F14"/>
    <w:rsid w:val="00C600CF"/>
    <w:rsid w:val="00C6084F"/>
    <w:rsid w:val="00C62A66"/>
    <w:rsid w:val="00C656F0"/>
    <w:rsid w:val="00C71458"/>
    <w:rsid w:val="00C77613"/>
    <w:rsid w:val="00C828E7"/>
    <w:rsid w:val="00C85571"/>
    <w:rsid w:val="00C86719"/>
    <w:rsid w:val="00C921DD"/>
    <w:rsid w:val="00C92EB0"/>
    <w:rsid w:val="00CA3E63"/>
    <w:rsid w:val="00CA4136"/>
    <w:rsid w:val="00CA6391"/>
    <w:rsid w:val="00CD01C7"/>
    <w:rsid w:val="00CD68B5"/>
    <w:rsid w:val="00CE3171"/>
    <w:rsid w:val="00CF1601"/>
    <w:rsid w:val="00D0172F"/>
    <w:rsid w:val="00D068A7"/>
    <w:rsid w:val="00D239AA"/>
    <w:rsid w:val="00D32086"/>
    <w:rsid w:val="00D32A32"/>
    <w:rsid w:val="00D37A3F"/>
    <w:rsid w:val="00D4431D"/>
    <w:rsid w:val="00D4667A"/>
    <w:rsid w:val="00D538E3"/>
    <w:rsid w:val="00D604F5"/>
    <w:rsid w:val="00D73955"/>
    <w:rsid w:val="00D7516F"/>
    <w:rsid w:val="00D95F8E"/>
    <w:rsid w:val="00DA0590"/>
    <w:rsid w:val="00DB759B"/>
    <w:rsid w:val="00DC1788"/>
    <w:rsid w:val="00DC79B5"/>
    <w:rsid w:val="00DD3FB0"/>
    <w:rsid w:val="00DD4B11"/>
    <w:rsid w:val="00DE319C"/>
    <w:rsid w:val="00DF0CA8"/>
    <w:rsid w:val="00DF2B48"/>
    <w:rsid w:val="00DF49A7"/>
    <w:rsid w:val="00DF5A6B"/>
    <w:rsid w:val="00E045A2"/>
    <w:rsid w:val="00E07EE2"/>
    <w:rsid w:val="00E07FD1"/>
    <w:rsid w:val="00E12734"/>
    <w:rsid w:val="00E24573"/>
    <w:rsid w:val="00E25E1E"/>
    <w:rsid w:val="00E27EE7"/>
    <w:rsid w:val="00E35404"/>
    <w:rsid w:val="00E45109"/>
    <w:rsid w:val="00E47B7A"/>
    <w:rsid w:val="00E545D0"/>
    <w:rsid w:val="00E54AFF"/>
    <w:rsid w:val="00E56727"/>
    <w:rsid w:val="00E749E0"/>
    <w:rsid w:val="00E77413"/>
    <w:rsid w:val="00E86E18"/>
    <w:rsid w:val="00E97830"/>
    <w:rsid w:val="00EF0683"/>
    <w:rsid w:val="00F0070C"/>
    <w:rsid w:val="00F00EB7"/>
    <w:rsid w:val="00F025D8"/>
    <w:rsid w:val="00F330AE"/>
    <w:rsid w:val="00F36AB6"/>
    <w:rsid w:val="00F37A09"/>
    <w:rsid w:val="00F409CE"/>
    <w:rsid w:val="00F4379D"/>
    <w:rsid w:val="00F71B0E"/>
    <w:rsid w:val="00F84DF4"/>
    <w:rsid w:val="00F85C97"/>
    <w:rsid w:val="00F872FE"/>
    <w:rsid w:val="00F97A41"/>
    <w:rsid w:val="00FB2512"/>
    <w:rsid w:val="00FB37D2"/>
    <w:rsid w:val="00FB443C"/>
    <w:rsid w:val="00FC3038"/>
    <w:rsid w:val="00FC4EFB"/>
    <w:rsid w:val="00FC74D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Hyperlink">
    <w:name w:val="Hyperlink"/>
    <w:basedOn w:val="DefaultParagraphFont"/>
    <w:uiPriority w:val="99"/>
    <w:unhideWhenUsed/>
    <w:rsid w:val="00A82841"/>
    <w:rPr>
      <w:color w:val="0000FF" w:themeColor="hyperlink"/>
      <w:u w:val="single"/>
    </w:rPr>
  </w:style>
  <w:style w:type="paragraph" w:customStyle="1" w:styleId="ParaNoNdepar-AltN">
    <w:name w:val="Para. No. / Nº de par. - Alt N"/>
    <w:qFormat/>
    <w:rsid w:val="001E6EE7"/>
    <w:pPr>
      <w:numPr>
        <w:numId w:val="1"/>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951DE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951DED"/>
    <w:rPr>
      <w:rFonts w:eastAsiaTheme="minorHAnsi" w:cstheme="minorBidi"/>
      <w:b/>
      <w:smallCaps/>
      <w:szCs w:val="24"/>
      <w:lang w:eastAsia="en-US"/>
    </w:rPr>
  </w:style>
  <w:style w:type="character" w:customStyle="1" w:styleId="SCCLsocPrefixChar">
    <w:name w:val="SCC.Lsoc.Prefix Char"/>
    <w:basedOn w:val="DefaultParagraphFont"/>
    <w:link w:val="SCCLsocPrefix"/>
    <w:rsid w:val="00951DED"/>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C47E-AA38-41CC-B02E-D7E87DFC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1503</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2011-07-07T17:57:00Z</dcterms:created>
  <dcterms:modified xsi:type="dcterms:W3CDTF">2011-12-12T16:27:00Z</dcterms:modified>
</cp:coreProperties>
</file>