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59" w:rsidRDefault="00462859" w:rsidP="0046285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373972110" r:id="rId8"/>
        </w:object>
      </w:r>
      <w:r>
        <w:t xml:space="preserve"> </w:t>
      </w:r>
      <w:r>
        <w:ptab w:relativeTo="margin" w:alignment="right" w:leader="none"/>
      </w:r>
    </w:p>
    <w:p w:rsidR="00462859" w:rsidRDefault="00462859" w:rsidP="00462859">
      <w:pPr>
        <w:pStyle w:val="Header"/>
      </w:pPr>
    </w:p>
    <w:p w:rsidR="00462859" w:rsidRPr="006B210C" w:rsidRDefault="00462859" w:rsidP="00462859">
      <w:pPr>
        <w:jc w:val="center"/>
        <w:rPr>
          <w:b/>
        </w:rPr>
      </w:pPr>
      <w:r w:rsidRPr="006B210C">
        <w:rPr>
          <w:b/>
        </w:rPr>
        <w:t>SUPREME COURT OF CANADA</w:t>
      </w:r>
    </w:p>
    <w:p w:rsidR="00462859" w:rsidRDefault="00462859" w:rsidP="00462859">
      <w:pPr>
        <w:pStyle w:val="Heade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62859" w:rsidRPr="006B210C" w:rsidTr="001E363B">
        <w:trPr>
          <w:cantSplit/>
        </w:trPr>
        <w:tc>
          <w:tcPr>
            <w:tcW w:w="6768" w:type="dxa"/>
          </w:tcPr>
          <w:p w:rsidR="00462859" w:rsidRPr="00B34CF0" w:rsidRDefault="00462859" w:rsidP="001E363B">
            <w:pPr>
              <w:rPr>
                <w:lang w:val="fr-CA"/>
              </w:rPr>
            </w:pPr>
            <w:r w:rsidRPr="00B34CF0">
              <w:rPr>
                <w:b/>
                <w:smallCaps/>
                <w:lang w:val="fr-CA"/>
              </w:rPr>
              <w:t xml:space="preserve">Citation </w:t>
            </w:r>
            <w:r w:rsidRPr="00B34CF0">
              <w:rPr>
                <w:lang w:val="fr-CA"/>
              </w:rPr>
              <w:t xml:space="preserve">: </w:t>
            </w:r>
            <w:r w:rsidRPr="001E363B">
              <w:rPr>
                <w:lang w:val="fr-CA"/>
              </w:rPr>
              <w:t xml:space="preserve">R. </w:t>
            </w:r>
            <w:r w:rsidRPr="001E363B">
              <w:rPr>
                <w:i/>
                <w:lang w:val="fr-CA"/>
              </w:rPr>
              <w:t>v.</w:t>
            </w:r>
            <w:r w:rsidRPr="001E363B">
              <w:rPr>
                <w:b/>
                <w:lang w:val="fr-CA"/>
              </w:rPr>
              <w:t xml:space="preserve"> </w:t>
            </w:r>
            <w:r w:rsidRPr="001E363B">
              <w:rPr>
                <w:rStyle w:val="SCCRespondentForIndexChar"/>
                <w:b w:val="0"/>
                <w:lang w:val="fr-CA"/>
              </w:rPr>
              <w:t>S.D., 2011 SCC 14, [2011] 1 S.C.R. 527</w:t>
            </w:r>
          </w:p>
        </w:tc>
        <w:tc>
          <w:tcPr>
            <w:tcW w:w="2808" w:type="dxa"/>
          </w:tcPr>
          <w:p w:rsidR="00462859" w:rsidRPr="006B210C" w:rsidRDefault="00462859" w:rsidP="001E363B">
            <w:r w:rsidRPr="006B210C">
              <w:rPr>
                <w:b/>
                <w:smallCaps/>
              </w:rPr>
              <w:t xml:space="preserve">Date </w:t>
            </w:r>
            <w:r w:rsidRPr="006B210C">
              <w:t xml:space="preserve">: </w:t>
            </w:r>
            <w:r>
              <w:t>20110317</w:t>
            </w:r>
          </w:p>
          <w:p w:rsidR="00462859" w:rsidRPr="006B210C" w:rsidRDefault="00462859" w:rsidP="001E363B">
            <w:r w:rsidRPr="006B210C">
              <w:rPr>
                <w:b/>
                <w:smallCaps/>
              </w:rPr>
              <w:t xml:space="preserve">Docket </w:t>
            </w:r>
            <w:r w:rsidRPr="006B210C">
              <w:t xml:space="preserve">: </w:t>
            </w:r>
            <w:r>
              <w:t>33842</w:t>
            </w:r>
          </w:p>
        </w:tc>
      </w:tr>
    </w:tbl>
    <w:p w:rsidR="00462859" w:rsidRPr="006B210C" w:rsidRDefault="00462859" w:rsidP="00462859"/>
    <w:p w:rsidR="00462859" w:rsidRDefault="00462859" w:rsidP="00462859">
      <w:pPr>
        <w:pStyle w:val="SCCLsocPrefix"/>
      </w:pPr>
      <w:r>
        <w:t>Between:</w:t>
      </w:r>
    </w:p>
    <w:p w:rsidR="00462859" w:rsidRDefault="00462859" w:rsidP="00462859">
      <w:pPr>
        <w:pStyle w:val="SCCLsocParty"/>
      </w:pPr>
      <w:r>
        <w:t xml:space="preserve">Her Majesty </w:t>
      </w:r>
      <w:proofErr w:type="gramStart"/>
      <w:r>
        <w:t>The</w:t>
      </w:r>
      <w:proofErr w:type="gramEnd"/>
      <w:r>
        <w:t xml:space="preserve"> Queen</w:t>
      </w:r>
    </w:p>
    <w:p w:rsidR="00462859" w:rsidRDefault="00462859" w:rsidP="00462859">
      <w:pPr>
        <w:pStyle w:val="SCCLsocPartyRole"/>
      </w:pPr>
      <w:r>
        <w:t>Appellant</w:t>
      </w:r>
    </w:p>
    <w:p w:rsidR="00462859" w:rsidRDefault="00462859" w:rsidP="00462859">
      <w:pPr>
        <w:pStyle w:val="SCCLsocVersus"/>
      </w:pPr>
      <w:proofErr w:type="gramStart"/>
      <w:r>
        <w:t>and</w:t>
      </w:r>
      <w:proofErr w:type="gramEnd"/>
    </w:p>
    <w:p w:rsidR="00462859" w:rsidRDefault="00462859" w:rsidP="00462859">
      <w:pPr>
        <w:pStyle w:val="SCCLsocParty"/>
      </w:pPr>
      <w:r>
        <w:t>S.D.</w:t>
      </w:r>
    </w:p>
    <w:p w:rsidR="00462859" w:rsidRDefault="00462859" w:rsidP="00462859">
      <w:pPr>
        <w:pStyle w:val="SCCLsocPartyRole"/>
      </w:pPr>
      <w:r>
        <w:t>Respondent</w:t>
      </w:r>
    </w:p>
    <w:p w:rsidR="00462859" w:rsidRDefault="00462859" w:rsidP="00462859"/>
    <w:p w:rsidR="00462859" w:rsidRDefault="00462859" w:rsidP="00462859">
      <w:pPr>
        <w:jc w:val="center"/>
      </w:pPr>
      <w:r w:rsidRPr="006B210C">
        <w:rPr>
          <w:b/>
          <w:smallCaps/>
        </w:rPr>
        <w:t>Official English Translation</w:t>
      </w:r>
    </w:p>
    <w:p w:rsidR="00462859" w:rsidRPr="006B210C" w:rsidRDefault="00462859" w:rsidP="00462859"/>
    <w:p w:rsidR="00462859" w:rsidRPr="006B210C" w:rsidRDefault="00462859" w:rsidP="00462859">
      <w:proofErr w:type="gramStart"/>
      <w:r w:rsidRPr="006B210C">
        <w:rPr>
          <w:b/>
          <w:smallCaps/>
        </w:rPr>
        <w:t xml:space="preserve">Coram </w:t>
      </w:r>
      <w:r w:rsidRPr="006B210C">
        <w:t>:</w:t>
      </w:r>
      <w:proofErr w:type="gramEnd"/>
      <w:r w:rsidRPr="006B210C">
        <w:t xml:space="preserve">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Charron</w:t>
      </w:r>
      <w:proofErr w:type="spellEnd"/>
      <w:r>
        <w:t>, Rothstein and Cromwell JJ.</w:t>
      </w:r>
    </w:p>
    <w:p w:rsidR="00462859" w:rsidRPr="006B210C" w:rsidRDefault="00462859" w:rsidP="004628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62859" w:rsidRPr="006B210C" w:rsidTr="001E363B">
        <w:trPr>
          <w:cantSplit/>
        </w:trPr>
        <w:tc>
          <w:tcPr>
            <w:tcW w:w="3618" w:type="dxa"/>
          </w:tcPr>
          <w:p w:rsidR="00462859" w:rsidRDefault="00462859" w:rsidP="001E363B">
            <w:r w:rsidRPr="006B210C">
              <w:rPr>
                <w:b/>
                <w:smallCaps/>
              </w:rPr>
              <w:t>Reasons for Judgment</w:t>
            </w:r>
            <w:r w:rsidRPr="006B210C">
              <w:t xml:space="preserve"> :</w:t>
            </w:r>
          </w:p>
          <w:p w:rsidR="00462859" w:rsidRDefault="00462859" w:rsidP="001E363B">
            <w:r>
              <w:t>(</w:t>
            </w:r>
            <w:proofErr w:type="spellStart"/>
            <w:r>
              <w:t>paras</w:t>
            </w:r>
            <w:proofErr w:type="spellEnd"/>
            <w:r>
              <w:t>. 1 to 4)</w:t>
            </w:r>
          </w:p>
          <w:p w:rsidR="00462859" w:rsidRDefault="00462859" w:rsidP="001E363B"/>
          <w:p w:rsidR="00462859" w:rsidRDefault="00462859" w:rsidP="001E363B">
            <w:pPr>
              <w:rPr>
                <w:b/>
                <w:smallCaps/>
              </w:rPr>
            </w:pPr>
            <w:r w:rsidRPr="0075589A">
              <w:rPr>
                <w:b/>
                <w:smallCaps/>
              </w:rPr>
              <w:t>Dissenting Reasons:</w:t>
            </w:r>
          </w:p>
          <w:p w:rsidR="00462859" w:rsidRPr="0075589A" w:rsidRDefault="00462859" w:rsidP="001E363B">
            <w:r w:rsidRPr="0075589A">
              <w:t>(</w:t>
            </w:r>
            <w:proofErr w:type="spellStart"/>
            <w:r w:rsidRPr="0075589A">
              <w:t>para</w:t>
            </w:r>
            <w:proofErr w:type="spellEnd"/>
            <w:r w:rsidRPr="0075589A">
              <w:t xml:space="preserve">. </w:t>
            </w:r>
            <w:r>
              <w:t>5</w:t>
            </w:r>
            <w:r w:rsidRPr="0075589A">
              <w:t>)</w:t>
            </w:r>
          </w:p>
        </w:tc>
        <w:tc>
          <w:tcPr>
            <w:tcW w:w="5958" w:type="dxa"/>
          </w:tcPr>
          <w:p w:rsidR="00462859" w:rsidRDefault="00462859" w:rsidP="001E363B">
            <w:proofErr w:type="spellStart"/>
            <w:r>
              <w:t>Binnie</w:t>
            </w:r>
            <w:proofErr w:type="spellEnd"/>
            <w:r>
              <w:t xml:space="preserve"> J. (</w:t>
            </w:r>
            <w:proofErr w:type="spellStart"/>
            <w:r>
              <w:t>LeBel</w:t>
            </w:r>
            <w:proofErr w:type="spellEnd"/>
            <w:r>
              <w:t xml:space="preserve">, </w:t>
            </w:r>
            <w:proofErr w:type="spellStart"/>
            <w:r>
              <w:t>Deschamps</w:t>
            </w:r>
            <w:proofErr w:type="spellEnd"/>
            <w:r>
              <w:t xml:space="preserve">, </w:t>
            </w:r>
            <w:proofErr w:type="spellStart"/>
            <w:r>
              <w:t>Charron</w:t>
            </w:r>
            <w:proofErr w:type="spellEnd"/>
            <w:r>
              <w:t>, Rothstein and Cromwell JJ. concurring)</w:t>
            </w:r>
          </w:p>
          <w:p w:rsidR="00462859" w:rsidRDefault="00462859" w:rsidP="001E363B"/>
          <w:p w:rsidR="00462859" w:rsidRPr="006B210C" w:rsidRDefault="00462859" w:rsidP="001E363B">
            <w:r>
              <w:t xml:space="preserve">Fish J. </w:t>
            </w:r>
          </w:p>
        </w:tc>
      </w:tr>
    </w:tbl>
    <w:p w:rsidR="00462859" w:rsidRPr="006B210C" w:rsidRDefault="00235D8F" w:rsidP="00462859">
      <w:r w:rsidRPr="00235D8F">
        <w:rPr>
          <w:noProof/>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462859" w:rsidRDefault="00462859">
      <w:pPr>
        <w:rPr>
          <w:rStyle w:val="SCCAppellantForRunningHeadChar"/>
        </w:rPr>
      </w:pPr>
      <w:r>
        <w:rPr>
          <w:rStyle w:val="SCCAppellantForRunningHeadChar"/>
        </w:rPr>
        <w:br w:type="page"/>
      </w:r>
    </w:p>
    <w:p w:rsidR="008322BD" w:rsidRPr="00CF728D" w:rsidRDefault="007D786A" w:rsidP="00485C98">
      <w:pPr>
        <w:spacing w:line="480" w:lineRule="auto"/>
        <w:jc w:val="both"/>
        <w:rPr>
          <w:b/>
        </w:rPr>
      </w:pPr>
      <w:r w:rsidRPr="00EA21A2">
        <w:rPr>
          <w:rStyle w:val="SCCAppellantForRunningHeadChar"/>
        </w:rPr>
        <w:lastRenderedPageBreak/>
        <w:t>R</w:t>
      </w:r>
      <w:r w:rsidR="008F78E9" w:rsidRPr="00EA21A2">
        <w:rPr>
          <w:rStyle w:val="SCCAppellantForRunningHeadChar"/>
        </w:rPr>
        <w:t>.</w:t>
      </w:r>
      <w:r w:rsidR="00480C90" w:rsidRPr="00EA21A2">
        <w:t xml:space="preserve"> </w:t>
      </w:r>
      <w:r w:rsidR="009B57B3" w:rsidRPr="00EA21A2">
        <w:rPr>
          <w:i/>
        </w:rPr>
        <w:t>v.</w:t>
      </w:r>
      <w:r w:rsidR="00B000D8" w:rsidRPr="00EA21A2">
        <w:t xml:space="preserve"> </w:t>
      </w:r>
      <w:r w:rsidRPr="00EA21A2">
        <w:t>S.D.</w:t>
      </w:r>
      <w:r w:rsidR="007768E6" w:rsidRPr="00EA21A2">
        <w:t xml:space="preserve">, </w:t>
      </w:r>
      <w:r w:rsidR="007768E6" w:rsidRPr="00EA21A2">
        <w:rPr>
          <w:rStyle w:val="SCCRespondentForIndexChar"/>
          <w:b w:val="0"/>
        </w:rPr>
        <w:t xml:space="preserve">2011 SCC 14, [2011] 1 S.C.R. </w:t>
      </w:r>
      <w:r w:rsidR="007768E6" w:rsidRPr="00CF728D">
        <w:rPr>
          <w:rStyle w:val="SCCRespondentForIndexChar"/>
          <w:b w:val="0"/>
        </w:rPr>
        <w:t>527</w:t>
      </w:r>
    </w:p>
    <w:p w:rsidR="00A149DF" w:rsidRPr="001426A9" w:rsidRDefault="00A149DF" w:rsidP="00485C98">
      <w:pPr>
        <w:spacing w:line="480" w:lineRule="auto"/>
        <w:jc w:val="both"/>
      </w:pPr>
    </w:p>
    <w:p w:rsidR="00D15621" w:rsidRPr="00485C98" w:rsidRDefault="007D786A" w:rsidP="00485C98">
      <w:pPr>
        <w:pStyle w:val="SCCLsocParty"/>
        <w:tabs>
          <w:tab w:val="right" w:pos="8280"/>
        </w:tabs>
        <w:spacing w:line="480" w:lineRule="auto"/>
        <w:rPr>
          <w:lang w:val="en-US"/>
        </w:rPr>
      </w:pPr>
      <w:r>
        <w:t xml:space="preserve">Her Majesty </w:t>
      </w:r>
      <w:proofErr w:type="gramStart"/>
      <w:r>
        <w:t>The</w:t>
      </w:r>
      <w:proofErr w:type="gramEnd"/>
      <w:r>
        <w:t xml:space="preserve"> Queen</w:t>
      </w:r>
      <w:r w:rsidR="00485C98">
        <w:tab/>
      </w:r>
      <w:r w:rsidR="00485C98" w:rsidRPr="00485C98">
        <w:rPr>
          <w:b w:val="0"/>
          <w:i/>
        </w:rPr>
        <w:t>Appellant</w:t>
      </w:r>
    </w:p>
    <w:p w:rsidR="00485C98" w:rsidRPr="00485C98" w:rsidRDefault="00485C98" w:rsidP="00485C98">
      <w:pPr>
        <w:pStyle w:val="SCCLsocVersus"/>
        <w:spacing w:line="480" w:lineRule="auto"/>
        <w:rPr>
          <w:lang w:val="en-US"/>
        </w:rPr>
      </w:pPr>
    </w:p>
    <w:p w:rsidR="00D15621" w:rsidRPr="00485C98" w:rsidRDefault="00485C98" w:rsidP="00485C98">
      <w:pPr>
        <w:pStyle w:val="SCCLsocVersus"/>
        <w:spacing w:line="480" w:lineRule="auto"/>
      </w:pPr>
      <w:r w:rsidRPr="00485C98">
        <w:t>v.</w:t>
      </w:r>
    </w:p>
    <w:p w:rsidR="00492905" w:rsidRPr="00492905" w:rsidRDefault="00492905" w:rsidP="00485C98">
      <w:pPr>
        <w:spacing w:line="480" w:lineRule="auto"/>
      </w:pPr>
    </w:p>
    <w:p w:rsidR="00D15621" w:rsidRDefault="007D786A" w:rsidP="00485C98">
      <w:pPr>
        <w:pStyle w:val="SCCLsocParty"/>
        <w:tabs>
          <w:tab w:val="right" w:pos="8280"/>
        </w:tabs>
        <w:spacing w:line="480" w:lineRule="auto"/>
      </w:pPr>
      <w:r>
        <w:t>S.D.</w:t>
      </w:r>
      <w:r w:rsidR="00485C98">
        <w:tab/>
      </w:r>
      <w:r w:rsidR="00485C98" w:rsidRPr="00485C98">
        <w:rPr>
          <w:b w:val="0"/>
          <w:i/>
        </w:rPr>
        <w:t>Respondent</w:t>
      </w:r>
    </w:p>
    <w:p w:rsidR="00A149DF" w:rsidRDefault="00A149DF" w:rsidP="00485C98">
      <w:pPr>
        <w:spacing w:line="480" w:lineRule="auto"/>
        <w:jc w:val="both"/>
      </w:pPr>
    </w:p>
    <w:p w:rsidR="00426659" w:rsidRPr="00426659" w:rsidRDefault="00426659" w:rsidP="00485C98">
      <w:pPr>
        <w:spacing w:line="480" w:lineRule="auto"/>
        <w:jc w:val="both"/>
        <w:rPr>
          <w:b/>
        </w:rPr>
      </w:pPr>
      <w:r w:rsidRPr="00426659">
        <w:rPr>
          <w:b/>
        </w:rPr>
        <w:t>Indexed as:</w:t>
      </w:r>
      <w:r>
        <w:rPr>
          <w:b/>
        </w:rPr>
        <w:t xml:space="preserve"> </w:t>
      </w:r>
      <w:r w:rsidRPr="00426659">
        <w:rPr>
          <w:b/>
        </w:rPr>
        <w:t xml:space="preserve"> </w:t>
      </w:r>
      <w:r w:rsidR="007D786A">
        <w:rPr>
          <w:b/>
        </w:rPr>
        <w:t>R</w:t>
      </w:r>
      <w:r>
        <w:rPr>
          <w:rStyle w:val="SCCAppellantForIndexChar"/>
        </w:rPr>
        <w:t>.</w:t>
      </w:r>
      <w:r w:rsidRPr="00426659">
        <w:rPr>
          <w:b/>
        </w:rPr>
        <w:t xml:space="preserve"> </w:t>
      </w:r>
      <w:r w:rsidRPr="00426659">
        <w:rPr>
          <w:b/>
          <w:i/>
        </w:rPr>
        <w:t>v.</w:t>
      </w:r>
      <w:r w:rsidRPr="00426659">
        <w:rPr>
          <w:b/>
        </w:rPr>
        <w:t xml:space="preserve"> </w:t>
      </w:r>
      <w:r w:rsidR="007D786A">
        <w:rPr>
          <w:b/>
        </w:rPr>
        <w:t>S.D.</w:t>
      </w:r>
    </w:p>
    <w:p w:rsidR="00426659" w:rsidRDefault="00426659" w:rsidP="00485C98">
      <w:pPr>
        <w:spacing w:line="480" w:lineRule="auto"/>
        <w:jc w:val="both"/>
      </w:pPr>
    </w:p>
    <w:p w:rsidR="00426659" w:rsidRPr="00C02092" w:rsidRDefault="00566AD1" w:rsidP="00485C98">
      <w:pPr>
        <w:pStyle w:val="SCCSystemYear"/>
        <w:spacing w:line="480" w:lineRule="auto"/>
        <w:jc w:val="both"/>
      </w:pPr>
      <w:r>
        <w:t>2011</w:t>
      </w:r>
      <w:r w:rsidR="003D0399">
        <w:t xml:space="preserve"> </w:t>
      </w:r>
      <w:r w:rsidR="00426659" w:rsidRPr="00C02092">
        <w:t>SCC </w:t>
      </w:r>
      <w:r w:rsidR="007D786A">
        <w:t>14</w:t>
      </w:r>
    </w:p>
    <w:p w:rsidR="00426659" w:rsidRDefault="00426659" w:rsidP="00485C98">
      <w:pPr>
        <w:spacing w:line="480" w:lineRule="auto"/>
        <w:jc w:val="both"/>
      </w:pPr>
    </w:p>
    <w:p w:rsidR="008322BD" w:rsidRDefault="009B57B3" w:rsidP="00485C98">
      <w:pPr>
        <w:spacing w:line="480" w:lineRule="auto"/>
        <w:jc w:val="both"/>
      </w:pPr>
      <w:r w:rsidRPr="001426A9">
        <w:t xml:space="preserve">File No.:  </w:t>
      </w:r>
      <w:r>
        <w:t>33</w:t>
      </w:r>
      <w:r w:rsidR="007D786A">
        <w:t>842</w:t>
      </w:r>
      <w:r w:rsidRPr="001426A9">
        <w:t>.</w:t>
      </w:r>
    </w:p>
    <w:p w:rsidR="00E97830" w:rsidRDefault="00E97830" w:rsidP="00485C98">
      <w:pPr>
        <w:spacing w:line="480" w:lineRule="auto"/>
        <w:jc w:val="both"/>
      </w:pPr>
    </w:p>
    <w:p w:rsidR="008322BD" w:rsidRDefault="00D3267C" w:rsidP="00485C98">
      <w:pPr>
        <w:jc w:val="both"/>
      </w:pPr>
      <w:r>
        <w:t xml:space="preserve">Hearing and judgment: </w:t>
      </w:r>
      <w:r w:rsidR="000B1783">
        <w:t xml:space="preserve"> </w:t>
      </w:r>
      <w:r w:rsidR="007D786A">
        <w:t>March</w:t>
      </w:r>
      <w:r w:rsidR="00566AD1">
        <w:t xml:space="preserve"> </w:t>
      </w:r>
      <w:r w:rsidR="007D786A">
        <w:t>17</w:t>
      </w:r>
      <w:r>
        <w:t>, 2011</w:t>
      </w:r>
      <w:r w:rsidR="009B57B3" w:rsidRPr="001426A9">
        <w:t>.</w:t>
      </w:r>
    </w:p>
    <w:p w:rsidR="00D3267C" w:rsidRDefault="00D3267C" w:rsidP="00485C98">
      <w:pPr>
        <w:jc w:val="both"/>
      </w:pPr>
      <w:r>
        <w:t xml:space="preserve">Dissenting reasons delivered: </w:t>
      </w:r>
      <w:r w:rsidR="000B1783">
        <w:t xml:space="preserve"> </w:t>
      </w:r>
      <w:r>
        <w:t>March 21, 2011.</w:t>
      </w:r>
    </w:p>
    <w:p w:rsidR="00A149DF" w:rsidRDefault="00A149DF" w:rsidP="00485C98">
      <w:pPr>
        <w:spacing w:line="480" w:lineRule="auto"/>
        <w:jc w:val="both"/>
      </w:pPr>
    </w:p>
    <w:p w:rsidR="008322BD" w:rsidRDefault="009B57B3" w:rsidP="00485C98">
      <w:pPr>
        <w:jc w:val="both"/>
      </w:pPr>
      <w:r w:rsidRPr="001426A9">
        <w:t xml:space="preserve">Present:  </w:t>
      </w:r>
      <w:r>
        <w:t>Binnie, LeBel, Deschamps, Fish, Charron, Rothstein and Cromwell JJ.</w:t>
      </w:r>
    </w:p>
    <w:p w:rsidR="00A149DF" w:rsidRPr="001426A9" w:rsidRDefault="00A149DF" w:rsidP="00485C98">
      <w:pPr>
        <w:spacing w:line="480" w:lineRule="auto"/>
        <w:jc w:val="both"/>
      </w:pPr>
    </w:p>
    <w:p w:rsidR="008322BD" w:rsidRPr="001C779F" w:rsidRDefault="00656313" w:rsidP="00485C98">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r w:rsidR="007D786A">
        <w:t>quebec</w:t>
      </w:r>
    </w:p>
    <w:p w:rsidR="003A4C70" w:rsidRPr="001426A9" w:rsidRDefault="003A4C70" w:rsidP="00FC4EFB">
      <w:pPr>
        <w:pStyle w:val="SCCNormalDoubleSpacing"/>
      </w:pPr>
    </w:p>
    <w:p w:rsidR="008322BD" w:rsidRPr="001D1F51" w:rsidRDefault="009B57B3" w:rsidP="00FC4EFB">
      <w:pPr>
        <w:pStyle w:val="SCCNormalDoubleSpacing"/>
        <w:rPr>
          <w:i/>
          <w:iCs/>
        </w:rPr>
      </w:pPr>
      <w:r w:rsidRPr="00583EDE">
        <w:tab/>
      </w:r>
      <w:r w:rsidR="00D3267C">
        <w:rPr>
          <w:i/>
        </w:rPr>
        <w:t xml:space="preserve">Criminal law — Sexual interference — Indictment — Time of offence — </w:t>
      </w:r>
      <w:r w:rsidR="001D1F51">
        <w:rPr>
          <w:i/>
          <w:iCs/>
        </w:rPr>
        <w:t>Accused convicted of committing offence</w:t>
      </w:r>
      <w:r w:rsidR="001D1F51">
        <w:t xml:space="preserve"> </w:t>
      </w:r>
      <w:r w:rsidR="001D1F51">
        <w:rPr>
          <w:i/>
          <w:iCs/>
        </w:rPr>
        <w:t>on date other than one referred to in indictment — Fairness of trial not affected</w:t>
      </w:r>
      <w:r w:rsidR="00D3267C">
        <w:rPr>
          <w:i/>
        </w:rPr>
        <w:t>.</w:t>
      </w:r>
    </w:p>
    <w:p w:rsidR="00A149DF" w:rsidRDefault="00A149DF" w:rsidP="00FC4EFB">
      <w:pPr>
        <w:pStyle w:val="SCCNormalDoubleSpacing"/>
      </w:pPr>
    </w:p>
    <w:p w:rsidR="00656313" w:rsidRDefault="009B57B3" w:rsidP="00FC4EFB">
      <w:pPr>
        <w:pStyle w:val="SCCNormalDoubleSpacing"/>
      </w:pPr>
      <w:r w:rsidRPr="001426A9">
        <w:lastRenderedPageBreak/>
        <w:tab/>
        <w:t xml:space="preserve">APPEAL from a judgment of the </w:t>
      </w:r>
      <w:r w:rsidR="007D786A">
        <w:t xml:space="preserve">Quebec </w:t>
      </w:r>
      <w:r>
        <w:t>Court of Appeal</w:t>
      </w:r>
      <w:r w:rsidR="007D786A">
        <w:t xml:space="preserve"> (Pelletier, Morissette</w:t>
      </w:r>
      <w:r w:rsidR="00927B5E">
        <w:t xml:space="preserve"> and Duval Hesl</w:t>
      </w:r>
      <w:r w:rsidR="007D786A">
        <w:t xml:space="preserve">er JJ.A.), 2010 QCCA 1418, </w:t>
      </w:r>
      <w:r w:rsidR="00124DEF">
        <w:t>SOQUIJ AZ-50662831, [2010] J.Q. n</w:t>
      </w:r>
      <w:r w:rsidR="00124DEF" w:rsidRPr="00545AB1">
        <w:rPr>
          <w:vertAlign w:val="superscript"/>
        </w:rPr>
        <w:t>o</w:t>
      </w:r>
      <w:r w:rsidR="00124DEF">
        <w:t xml:space="preserve"> 7507 (QL), 2010 CarswellQue 7903, </w:t>
      </w:r>
      <w:r w:rsidR="000B2584">
        <w:t>setting aside the accused’s conviction and ordering a new trial. Appeal allowed, Fish J. dissenting.</w:t>
      </w:r>
    </w:p>
    <w:p w:rsidR="00656313" w:rsidRDefault="00656313" w:rsidP="00FC4EFB">
      <w:pPr>
        <w:pStyle w:val="SCCNormalDoubleSpacing"/>
      </w:pPr>
    </w:p>
    <w:p w:rsidR="00D15621" w:rsidRDefault="007D786A">
      <w:pPr>
        <w:pStyle w:val="SCCNormalDoubleSpacing"/>
      </w:pPr>
      <w:r>
        <w:rPr>
          <w:rStyle w:val="SCCCounselNameChar"/>
        </w:rPr>
        <w:tab/>
        <w:t>Joey Dubois</w:t>
      </w:r>
      <w:r>
        <w:rPr>
          <w:rStyle w:val="SCCCounselSeparatorChar"/>
        </w:rPr>
        <w:t xml:space="preserve"> and </w:t>
      </w:r>
      <w:r>
        <w:rPr>
          <w:rStyle w:val="SCCCounselNameChar"/>
        </w:rPr>
        <w:t>Mylène Grégoire</w:t>
      </w:r>
      <w:r>
        <w:rPr>
          <w:rStyle w:val="SCCCounselPartyRoleChar"/>
        </w:rPr>
        <w:t>, for the appellant.</w:t>
      </w:r>
    </w:p>
    <w:p w:rsidR="00D15621" w:rsidRDefault="00D15621">
      <w:pPr>
        <w:pStyle w:val="SCCNormalDoubleSpacing"/>
      </w:pPr>
    </w:p>
    <w:p w:rsidR="00D15621" w:rsidRDefault="007D786A">
      <w:pPr>
        <w:pStyle w:val="SCCNormalDoubleSpacing"/>
      </w:pPr>
      <w:r>
        <w:rPr>
          <w:rStyle w:val="SCCCounselNameChar"/>
        </w:rPr>
        <w:tab/>
        <w:t>Rob</w:t>
      </w:r>
      <w:r w:rsidR="00E13B80">
        <w:rPr>
          <w:rStyle w:val="SCCCounselNameChar"/>
        </w:rPr>
        <w:t>ert</w:t>
      </w:r>
      <w:r w:rsidR="00715840">
        <w:rPr>
          <w:rStyle w:val="SCCCounselNameChar"/>
        </w:rPr>
        <w:t xml:space="preserve"> </w:t>
      </w:r>
      <w:r w:rsidR="00485C98">
        <w:rPr>
          <w:rStyle w:val="SCCCounselNameChar"/>
        </w:rPr>
        <w:t xml:space="preserve">Jr. </w:t>
      </w:r>
      <w:r>
        <w:rPr>
          <w:rStyle w:val="SCCCounselNameChar"/>
        </w:rPr>
        <w:t>Poirier</w:t>
      </w:r>
      <w:r>
        <w:rPr>
          <w:rStyle w:val="SCCCounselPartyRoleChar"/>
        </w:rPr>
        <w:t>, for the respondent.</w:t>
      </w:r>
    </w:p>
    <w:p w:rsidR="00D15621" w:rsidRDefault="00D15621">
      <w:pPr>
        <w:pStyle w:val="SCCNormalDoubleSpacing"/>
      </w:pPr>
    </w:p>
    <w:p w:rsidR="007A5794" w:rsidRDefault="007A5794" w:rsidP="007A5794">
      <w:pPr>
        <w:pStyle w:val="SCCNormalDoubleSpacing"/>
      </w:pPr>
      <w:r>
        <w:tab/>
      </w:r>
      <w:proofErr w:type="gramStart"/>
      <w:r w:rsidR="00863BBF">
        <w:t>English version of t</w:t>
      </w:r>
      <w:r>
        <w:t xml:space="preserve">he judgment </w:t>
      </w:r>
      <w:r w:rsidR="00CB065A">
        <w:t xml:space="preserve">of </w:t>
      </w:r>
      <w:proofErr w:type="spellStart"/>
      <w:r w:rsidR="00CB065A">
        <w:t>Binnie</w:t>
      </w:r>
      <w:proofErr w:type="spellEnd"/>
      <w:r w:rsidR="00CB065A">
        <w:t xml:space="preserve">, </w:t>
      </w:r>
      <w:proofErr w:type="spellStart"/>
      <w:r w:rsidR="00CB065A">
        <w:t>LeBel</w:t>
      </w:r>
      <w:proofErr w:type="spellEnd"/>
      <w:r w:rsidR="00CB065A">
        <w:t xml:space="preserve">, </w:t>
      </w:r>
      <w:proofErr w:type="spellStart"/>
      <w:r w:rsidR="00CB065A">
        <w:t>Deschamps</w:t>
      </w:r>
      <w:proofErr w:type="spellEnd"/>
      <w:r w:rsidR="00CB065A">
        <w:t xml:space="preserve">, </w:t>
      </w:r>
      <w:proofErr w:type="spellStart"/>
      <w:r w:rsidR="00CB065A">
        <w:t>Charron</w:t>
      </w:r>
      <w:proofErr w:type="spellEnd"/>
      <w:r w:rsidR="00CB065A">
        <w:t>, Rothstein and Cromwell JJ.</w:t>
      </w:r>
      <w:proofErr w:type="gramEnd"/>
      <w:r w:rsidR="00CB065A">
        <w:t xml:space="preserve"> </w:t>
      </w:r>
      <w:proofErr w:type="gramStart"/>
      <w:r>
        <w:t>delivered</w:t>
      </w:r>
      <w:proofErr w:type="gramEnd"/>
      <w:r>
        <w:t xml:space="preserve"> orally by</w:t>
      </w:r>
    </w:p>
    <w:p w:rsidR="007A5794" w:rsidRDefault="007A5794" w:rsidP="00F722A4">
      <w:pPr>
        <w:pStyle w:val="SCCNormalDoubleSpacing"/>
      </w:pPr>
    </w:p>
    <w:p w:rsidR="007A5794" w:rsidRDefault="007A5794" w:rsidP="00F722A4">
      <w:pPr>
        <w:pStyle w:val="SCCNormalDoubleSpacing"/>
        <w:numPr>
          <w:ilvl w:val="0"/>
          <w:numId w:val="1"/>
        </w:numPr>
        <w:ind w:left="0" w:firstLine="0"/>
      </w:pPr>
      <w:r w:rsidRPr="007F4232">
        <w:rPr>
          <w:smallCaps/>
        </w:rPr>
        <w:t>Binnie J.</w:t>
      </w:r>
      <w:r w:rsidRPr="00334355">
        <w:t xml:space="preserve"> — </w:t>
      </w:r>
      <w:r>
        <w:t>The majority of the Court would allow the appeal, Fish J. dissenting.  The main issue in this appeal is whether the trial judge erred in law in convicting the respondent, who was charged with sexual interference with his daughter, on the basis of a date other than the one referred to in the indictment.</w:t>
      </w:r>
    </w:p>
    <w:p w:rsidR="007A5794" w:rsidRDefault="007A5794" w:rsidP="00F722A4">
      <w:pPr>
        <w:pStyle w:val="SCCNormalDoubleSpacing"/>
        <w:tabs>
          <w:tab w:val="left" w:pos="1440"/>
        </w:tabs>
      </w:pPr>
    </w:p>
    <w:p w:rsidR="007A5794" w:rsidRDefault="007A5794" w:rsidP="00F722A4">
      <w:pPr>
        <w:pStyle w:val="SCCNormalDoubleSpacing"/>
        <w:numPr>
          <w:ilvl w:val="0"/>
          <w:numId w:val="1"/>
        </w:numPr>
        <w:ind w:left="0" w:firstLine="0"/>
      </w:pPr>
      <w:r>
        <w:t>The majority of the Court agree with the conclusion of Duval Hesler J.A., who dissented in the Court of Appeal, that [</w:t>
      </w:r>
      <w:r w:rsidR="00E034B3" w:rsidRPr="00E034B3">
        <w:rPr>
          <w:smallCaps/>
        </w:rPr>
        <w:t>translation</w:t>
      </w:r>
      <w:r>
        <w:t>] “trial fairness was not compromised . . . .  The evidence accepted by the trial judge satisfied her beyond a reasonable doubt that the incident in question did in fact occur regardless of the exact time it took place” (para. 69).  In our view, the defence was based entirely on a question relating to credibility.  The respondent was in no way prejudiced.</w:t>
      </w:r>
    </w:p>
    <w:p w:rsidR="007A5794" w:rsidRDefault="007A5794" w:rsidP="00F722A4">
      <w:pPr>
        <w:pStyle w:val="SCCNormalDoubleSpacing"/>
        <w:tabs>
          <w:tab w:val="left" w:pos="1440"/>
        </w:tabs>
      </w:pPr>
    </w:p>
    <w:p w:rsidR="007A5794" w:rsidRDefault="007A5794" w:rsidP="00F722A4">
      <w:pPr>
        <w:pStyle w:val="SCCNormalDoubleSpacing"/>
        <w:numPr>
          <w:ilvl w:val="0"/>
          <w:numId w:val="1"/>
        </w:numPr>
        <w:ind w:left="0" w:firstLine="0"/>
      </w:pPr>
      <w:r>
        <w:t>We consider the other arguments raised by the respondent in this case to be unfounded.</w:t>
      </w:r>
    </w:p>
    <w:p w:rsidR="007A5794" w:rsidRDefault="007A5794" w:rsidP="00F722A4">
      <w:pPr>
        <w:pStyle w:val="SCCNormalDoubleSpacing"/>
        <w:tabs>
          <w:tab w:val="left" w:pos="1440"/>
        </w:tabs>
      </w:pPr>
    </w:p>
    <w:p w:rsidR="007A5794" w:rsidRDefault="007A5794" w:rsidP="00F722A4">
      <w:pPr>
        <w:pStyle w:val="SCCNormalDoubleSpacing"/>
        <w:numPr>
          <w:ilvl w:val="0"/>
          <w:numId w:val="1"/>
        </w:numPr>
        <w:ind w:left="0" w:firstLine="0"/>
      </w:pPr>
      <w:r>
        <w:t xml:space="preserve">The appeal is accordingly allowed and the Court of Appeal’s decision is reversed.  The trial judge’s verdict is restored. </w:t>
      </w:r>
    </w:p>
    <w:p w:rsidR="007A5794" w:rsidRDefault="007A5794" w:rsidP="00F722A4">
      <w:pPr>
        <w:pStyle w:val="SCCNormalDoubleSpacing"/>
        <w:tabs>
          <w:tab w:val="left" w:pos="1440"/>
        </w:tabs>
      </w:pPr>
    </w:p>
    <w:p w:rsidR="007A5794" w:rsidRDefault="00F722A4" w:rsidP="00F722A4">
      <w:pPr>
        <w:pStyle w:val="SCCNormalDoubleSpacing"/>
      </w:pPr>
      <w:r>
        <w:tab/>
      </w:r>
      <w:r w:rsidR="00863BBF">
        <w:t xml:space="preserve">English version of </w:t>
      </w:r>
      <w:r>
        <w:t>the reasons delivered by</w:t>
      </w:r>
    </w:p>
    <w:p w:rsidR="007A5794" w:rsidRDefault="007A5794" w:rsidP="00F722A4">
      <w:pPr>
        <w:pStyle w:val="SCCNormalDoubleSpacing"/>
        <w:tabs>
          <w:tab w:val="left" w:pos="1440"/>
        </w:tabs>
      </w:pPr>
    </w:p>
    <w:p w:rsidR="007A5794" w:rsidRDefault="007A5794" w:rsidP="00F722A4">
      <w:pPr>
        <w:pStyle w:val="SCCNormalDoubleSpacing"/>
        <w:numPr>
          <w:ilvl w:val="0"/>
          <w:numId w:val="1"/>
        </w:numPr>
        <w:tabs>
          <w:tab w:val="clear" w:pos="1168"/>
          <w:tab w:val="left" w:pos="1170"/>
        </w:tabs>
        <w:ind w:left="0" w:firstLine="0"/>
      </w:pPr>
      <w:r w:rsidRPr="007A5794">
        <w:rPr>
          <w:smallCaps/>
        </w:rPr>
        <w:t>Fish J.</w:t>
      </w:r>
      <w:r>
        <w:t xml:space="preserve"> (dissenting) </w:t>
      </w:r>
      <w:r w:rsidR="00F722A4">
        <w:t>—</w:t>
      </w:r>
      <w:r>
        <w:t xml:space="preserve"> According to the indictment in this case, which has to this date not been amended, the case the respondent had to meet was that he had touched the complainant for a sexual purpose [</w:t>
      </w:r>
      <w:r w:rsidR="00492905" w:rsidRPr="00492905">
        <w:rPr>
          <w:smallCaps/>
        </w:rPr>
        <w:t>translation</w:t>
      </w:r>
      <w:r>
        <w:t>] “</w:t>
      </w:r>
      <w:r w:rsidR="00620E1E">
        <w:t>[</w:t>
      </w:r>
      <w:r>
        <w:t>b</w:t>
      </w:r>
      <w:r w:rsidR="00620E1E">
        <w:t>]</w:t>
      </w:r>
      <w:r>
        <w:t>etween April 1, 2002</w:t>
      </w:r>
      <w:r w:rsidR="00485C98">
        <w:t>,</w:t>
      </w:r>
      <w:r>
        <w:t xml:space="preserve"> and May 31, 2002”.  At trial, the complainant testified that the respondent had touched her for a sexual purpose not during the period mentioned in the indictment but in the summer of 2001.  However, the trial judge convicted the respondent of touching the complainant for a sexual purpose neither during the period alleged in the indictment nor during the period mentioned by the complainant, but after September 22, 2002, the date the respondent purchased the futon on which the incident mentioned by the complainant allegedly took place.  In these circumstances, and for the reasons given by Pelletier J.A. (with which Morissette J.A. concurred), I believe the respondent did not have the fair trial to which he was entitled. Accordingly, I would have dismissed the Crown’s appeal to this Court.</w:t>
      </w:r>
    </w:p>
    <w:p w:rsidR="007A5794" w:rsidRDefault="007A5794" w:rsidP="00F722A4">
      <w:pPr>
        <w:pStyle w:val="SCCNormalDoubleSpacing"/>
        <w:tabs>
          <w:tab w:val="left" w:pos="1440"/>
        </w:tabs>
      </w:pPr>
    </w:p>
    <w:p w:rsidR="007A5794" w:rsidRPr="00427AE3" w:rsidRDefault="007A5794" w:rsidP="00F722A4">
      <w:pPr>
        <w:pStyle w:val="SCCNormalDoubleSpacing"/>
        <w:rPr>
          <w:i/>
          <w:lang w:val="fr-CA"/>
        </w:rPr>
      </w:pPr>
      <w:r w:rsidRPr="001426A9">
        <w:lastRenderedPageBreak/>
        <w:tab/>
      </w:r>
      <w:r w:rsidRPr="00427AE3">
        <w:rPr>
          <w:i/>
          <w:lang w:val="fr-CA"/>
        </w:rPr>
        <w:t>Judgment accordingly.</w:t>
      </w:r>
    </w:p>
    <w:p w:rsidR="007A5794" w:rsidRPr="00427AE3" w:rsidRDefault="007A5794" w:rsidP="00F722A4">
      <w:pPr>
        <w:pStyle w:val="SCCNormalDoubleSpacing"/>
        <w:rPr>
          <w:lang w:val="fr-CA"/>
        </w:rPr>
      </w:pPr>
    </w:p>
    <w:p w:rsidR="004B760A" w:rsidRPr="00D3267C" w:rsidRDefault="004B760A" w:rsidP="00F722A4">
      <w:pPr>
        <w:pStyle w:val="SCCLawFirm"/>
        <w:rPr>
          <w:lang w:val="fr-FR"/>
        </w:rPr>
      </w:pPr>
      <w:r w:rsidRPr="00427AE3">
        <w:rPr>
          <w:lang w:val="fr-CA"/>
        </w:rPr>
        <w:tab/>
      </w:r>
      <w:r w:rsidRPr="00D3267C">
        <w:rPr>
          <w:lang w:val="fr-FR"/>
        </w:rPr>
        <w:t>Solicitor for the appellant</w:t>
      </w:r>
      <w:proofErr w:type="gramStart"/>
      <w:r w:rsidRPr="00D3267C">
        <w:rPr>
          <w:lang w:val="fr-FR"/>
        </w:rPr>
        <w:t>:  Directeur</w:t>
      </w:r>
      <w:proofErr w:type="gramEnd"/>
      <w:r w:rsidRPr="00D3267C">
        <w:rPr>
          <w:lang w:val="fr-FR"/>
        </w:rPr>
        <w:t xml:space="preserve"> des poursuites criminelles et pénale</w:t>
      </w:r>
      <w:r w:rsidR="0069691E" w:rsidRPr="00D3267C">
        <w:rPr>
          <w:lang w:val="fr-FR"/>
        </w:rPr>
        <w:t>s</w:t>
      </w:r>
      <w:r w:rsidRPr="00D3267C">
        <w:rPr>
          <w:lang w:val="fr-FR"/>
        </w:rPr>
        <w:t xml:space="preserve"> du Québec, Salaberry-de-Valleyfield.</w:t>
      </w:r>
    </w:p>
    <w:p w:rsidR="004B760A" w:rsidRPr="00D3267C" w:rsidRDefault="004B760A" w:rsidP="00F722A4">
      <w:pPr>
        <w:pStyle w:val="SCCLawFirm"/>
        <w:rPr>
          <w:lang w:val="fr-FR"/>
        </w:rPr>
      </w:pPr>
    </w:p>
    <w:p w:rsidR="004B760A" w:rsidRPr="00D3267C" w:rsidRDefault="004B760A" w:rsidP="00F722A4">
      <w:pPr>
        <w:pStyle w:val="SCCLawFirm"/>
        <w:rPr>
          <w:lang w:val="fr-FR"/>
        </w:rPr>
      </w:pPr>
      <w:r w:rsidRPr="00D3267C">
        <w:rPr>
          <w:lang w:val="fr-FR"/>
        </w:rPr>
        <w:tab/>
        <w:t xml:space="preserve">Solicitor for the </w:t>
      </w:r>
      <w:proofErr w:type="spellStart"/>
      <w:r w:rsidRPr="00D3267C">
        <w:rPr>
          <w:lang w:val="fr-FR"/>
        </w:rPr>
        <w:t>respondent</w:t>
      </w:r>
      <w:proofErr w:type="spellEnd"/>
      <w:proofErr w:type="gramStart"/>
      <w:r w:rsidRPr="00D3267C">
        <w:rPr>
          <w:lang w:val="fr-FR"/>
        </w:rPr>
        <w:t>:  Centre</w:t>
      </w:r>
      <w:proofErr w:type="gramEnd"/>
      <w:r w:rsidRPr="00D3267C">
        <w:rPr>
          <w:lang w:val="fr-FR"/>
        </w:rPr>
        <w:t xml:space="preserve"> communautaire juridique de la Rive-Sud, Salaberry-de-Valleyfield</w:t>
      </w:r>
      <w:r w:rsidR="00CB065A">
        <w:rPr>
          <w:lang w:val="fr-FR"/>
        </w:rPr>
        <w:t>, Quebec</w:t>
      </w:r>
      <w:r w:rsidRPr="00D3267C">
        <w:rPr>
          <w:lang w:val="fr-FR"/>
        </w:rPr>
        <w:t>.</w:t>
      </w:r>
    </w:p>
    <w:sectPr w:rsidR="004B760A" w:rsidRPr="00D3267C" w:rsidSect="00A84B10">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3B" w:rsidRDefault="001E363B">
      <w:r>
        <w:separator/>
      </w:r>
    </w:p>
  </w:endnote>
  <w:endnote w:type="continuationSeparator" w:id="0">
    <w:p w:rsidR="001E363B" w:rsidRDefault="001E3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3B" w:rsidRDefault="001E363B">
      <w:r>
        <w:separator/>
      </w:r>
    </w:p>
  </w:footnote>
  <w:footnote w:type="continuationSeparator" w:id="0">
    <w:p w:rsidR="001E363B" w:rsidRDefault="001E3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661"/>
      <w:docPartObj>
        <w:docPartGallery w:val="Page Numbers (Top of Page)"/>
        <w:docPartUnique/>
      </w:docPartObj>
    </w:sdtPr>
    <w:sdtContent>
      <w:p w:rsidR="001E363B" w:rsidRDefault="001E363B">
        <w:pPr>
          <w:pStyle w:val="Header"/>
          <w:jc w:val="center"/>
        </w:pPr>
        <w:r>
          <w:t xml:space="preserve">- </w:t>
        </w:r>
        <w:fldSimple w:instr=" PAGE   \* MERGEFORMAT ">
          <w:r w:rsidR="00CF728D">
            <w:rPr>
              <w:noProof/>
            </w:rPr>
            <w:t>2</w:t>
          </w:r>
        </w:fldSimple>
        <w:r>
          <w:t xml:space="preserve"> -</w:t>
        </w:r>
      </w:p>
    </w:sdtContent>
  </w:sdt>
  <w:p w:rsidR="001E363B" w:rsidRDefault="001E3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388E"/>
    <w:multiLevelType w:val="hybridMultilevel"/>
    <w:tmpl w:val="AFBAF640"/>
    <w:lvl w:ilvl="0" w:tplc="F966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rsids>
    <w:rsidRoot w:val="0031414C"/>
    <w:rsid w:val="00000ED4"/>
    <w:rsid w:val="00025198"/>
    <w:rsid w:val="000578A3"/>
    <w:rsid w:val="000648CC"/>
    <w:rsid w:val="000B1783"/>
    <w:rsid w:val="000B2584"/>
    <w:rsid w:val="000C59B8"/>
    <w:rsid w:val="00104F33"/>
    <w:rsid w:val="00111DE2"/>
    <w:rsid w:val="00116B38"/>
    <w:rsid w:val="00124DEF"/>
    <w:rsid w:val="00135406"/>
    <w:rsid w:val="00135972"/>
    <w:rsid w:val="001426A9"/>
    <w:rsid w:val="00154D7C"/>
    <w:rsid w:val="001570B0"/>
    <w:rsid w:val="0015752C"/>
    <w:rsid w:val="00157737"/>
    <w:rsid w:val="00165277"/>
    <w:rsid w:val="00170592"/>
    <w:rsid w:val="001B33E0"/>
    <w:rsid w:val="001B4573"/>
    <w:rsid w:val="001C779F"/>
    <w:rsid w:val="001D1F51"/>
    <w:rsid w:val="001D2AC1"/>
    <w:rsid w:val="001D4E88"/>
    <w:rsid w:val="001E363B"/>
    <w:rsid w:val="00220FC2"/>
    <w:rsid w:val="00224FC0"/>
    <w:rsid w:val="00225EA4"/>
    <w:rsid w:val="00226EAF"/>
    <w:rsid w:val="00231F3A"/>
    <w:rsid w:val="00235D8F"/>
    <w:rsid w:val="002406EE"/>
    <w:rsid w:val="00243EC8"/>
    <w:rsid w:val="002745CC"/>
    <w:rsid w:val="002B7924"/>
    <w:rsid w:val="002D39A4"/>
    <w:rsid w:val="002E6705"/>
    <w:rsid w:val="0030329A"/>
    <w:rsid w:val="0031086F"/>
    <w:rsid w:val="00312984"/>
    <w:rsid w:val="0031414C"/>
    <w:rsid w:val="00314E01"/>
    <w:rsid w:val="0032089D"/>
    <w:rsid w:val="003310DE"/>
    <w:rsid w:val="0035169A"/>
    <w:rsid w:val="0035259D"/>
    <w:rsid w:val="00364B18"/>
    <w:rsid w:val="003A4C70"/>
    <w:rsid w:val="003B215F"/>
    <w:rsid w:val="003C799C"/>
    <w:rsid w:val="003D0399"/>
    <w:rsid w:val="003E1C71"/>
    <w:rsid w:val="003F327B"/>
    <w:rsid w:val="00406166"/>
    <w:rsid w:val="0040704B"/>
    <w:rsid w:val="00410A55"/>
    <w:rsid w:val="00411300"/>
    <w:rsid w:val="00415417"/>
    <w:rsid w:val="00426659"/>
    <w:rsid w:val="00427AE3"/>
    <w:rsid w:val="00441CB0"/>
    <w:rsid w:val="00450352"/>
    <w:rsid w:val="00454BDB"/>
    <w:rsid w:val="00462859"/>
    <w:rsid w:val="00465132"/>
    <w:rsid w:val="00467132"/>
    <w:rsid w:val="00480C90"/>
    <w:rsid w:val="0048396F"/>
    <w:rsid w:val="00485C98"/>
    <w:rsid w:val="00492905"/>
    <w:rsid w:val="00493C18"/>
    <w:rsid w:val="004A600C"/>
    <w:rsid w:val="004A6118"/>
    <w:rsid w:val="004A7024"/>
    <w:rsid w:val="004B760A"/>
    <w:rsid w:val="004C478D"/>
    <w:rsid w:val="004E2C26"/>
    <w:rsid w:val="004E636A"/>
    <w:rsid w:val="00511044"/>
    <w:rsid w:val="005125A8"/>
    <w:rsid w:val="00521AE8"/>
    <w:rsid w:val="00527180"/>
    <w:rsid w:val="005333BE"/>
    <w:rsid w:val="0055469F"/>
    <w:rsid w:val="00555291"/>
    <w:rsid w:val="00566AD1"/>
    <w:rsid w:val="00583EDE"/>
    <w:rsid w:val="005E4698"/>
    <w:rsid w:val="00610539"/>
    <w:rsid w:val="00613036"/>
    <w:rsid w:val="00613969"/>
    <w:rsid w:val="00620E1E"/>
    <w:rsid w:val="00625C35"/>
    <w:rsid w:val="00656313"/>
    <w:rsid w:val="006565F4"/>
    <w:rsid w:val="00684EEA"/>
    <w:rsid w:val="0069689B"/>
    <w:rsid w:val="0069691E"/>
    <w:rsid w:val="006A2A15"/>
    <w:rsid w:val="006B5FF5"/>
    <w:rsid w:val="00701759"/>
    <w:rsid w:val="00705C15"/>
    <w:rsid w:val="00713A83"/>
    <w:rsid w:val="00715840"/>
    <w:rsid w:val="00747288"/>
    <w:rsid w:val="00747DD3"/>
    <w:rsid w:val="007549C8"/>
    <w:rsid w:val="00763875"/>
    <w:rsid w:val="00766D14"/>
    <w:rsid w:val="00767A0F"/>
    <w:rsid w:val="007768E6"/>
    <w:rsid w:val="007A05F6"/>
    <w:rsid w:val="007A5794"/>
    <w:rsid w:val="007B6F4A"/>
    <w:rsid w:val="007D786A"/>
    <w:rsid w:val="007E1C47"/>
    <w:rsid w:val="007E337A"/>
    <w:rsid w:val="007E5C70"/>
    <w:rsid w:val="007F2FF5"/>
    <w:rsid w:val="007F3F08"/>
    <w:rsid w:val="00804CC6"/>
    <w:rsid w:val="00817190"/>
    <w:rsid w:val="008260E2"/>
    <w:rsid w:val="008322BD"/>
    <w:rsid w:val="00834F73"/>
    <w:rsid w:val="00863BBF"/>
    <w:rsid w:val="00864CF8"/>
    <w:rsid w:val="00874914"/>
    <w:rsid w:val="00891422"/>
    <w:rsid w:val="00892E1A"/>
    <w:rsid w:val="008C01DA"/>
    <w:rsid w:val="008D1219"/>
    <w:rsid w:val="008F78E9"/>
    <w:rsid w:val="009179F9"/>
    <w:rsid w:val="00927B5E"/>
    <w:rsid w:val="00933E5E"/>
    <w:rsid w:val="00935218"/>
    <w:rsid w:val="00936020"/>
    <w:rsid w:val="009403F3"/>
    <w:rsid w:val="009555B7"/>
    <w:rsid w:val="00956767"/>
    <w:rsid w:val="009567AA"/>
    <w:rsid w:val="00967374"/>
    <w:rsid w:val="009A7FA6"/>
    <w:rsid w:val="009B2F23"/>
    <w:rsid w:val="009B57B3"/>
    <w:rsid w:val="009D2920"/>
    <w:rsid w:val="009D5AEB"/>
    <w:rsid w:val="009F0850"/>
    <w:rsid w:val="009F0E33"/>
    <w:rsid w:val="00A149DF"/>
    <w:rsid w:val="00A21B90"/>
    <w:rsid w:val="00A41805"/>
    <w:rsid w:val="00A548CB"/>
    <w:rsid w:val="00A5521C"/>
    <w:rsid w:val="00A643E7"/>
    <w:rsid w:val="00A73C38"/>
    <w:rsid w:val="00A84B10"/>
    <w:rsid w:val="00AB5677"/>
    <w:rsid w:val="00AB670D"/>
    <w:rsid w:val="00AC45E1"/>
    <w:rsid w:val="00AF03C5"/>
    <w:rsid w:val="00B000D8"/>
    <w:rsid w:val="00B00F75"/>
    <w:rsid w:val="00B145B6"/>
    <w:rsid w:val="00B50C81"/>
    <w:rsid w:val="00B557F8"/>
    <w:rsid w:val="00B815FC"/>
    <w:rsid w:val="00B93FBC"/>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B065A"/>
    <w:rsid w:val="00CE3171"/>
    <w:rsid w:val="00CF1601"/>
    <w:rsid w:val="00CF728D"/>
    <w:rsid w:val="00D0172F"/>
    <w:rsid w:val="00D068A7"/>
    <w:rsid w:val="00D15621"/>
    <w:rsid w:val="00D32086"/>
    <w:rsid w:val="00D3267C"/>
    <w:rsid w:val="00D37A3F"/>
    <w:rsid w:val="00D4431D"/>
    <w:rsid w:val="00D4667A"/>
    <w:rsid w:val="00D7516F"/>
    <w:rsid w:val="00D95F8E"/>
    <w:rsid w:val="00DA0590"/>
    <w:rsid w:val="00DC0D02"/>
    <w:rsid w:val="00DC1788"/>
    <w:rsid w:val="00DE319C"/>
    <w:rsid w:val="00DE6B9E"/>
    <w:rsid w:val="00DF0CA8"/>
    <w:rsid w:val="00DF2B48"/>
    <w:rsid w:val="00DF49A7"/>
    <w:rsid w:val="00E034B3"/>
    <w:rsid w:val="00E07EE2"/>
    <w:rsid w:val="00E07FD1"/>
    <w:rsid w:val="00E13B80"/>
    <w:rsid w:val="00E24573"/>
    <w:rsid w:val="00E25E1E"/>
    <w:rsid w:val="00E27EE7"/>
    <w:rsid w:val="00E33F5A"/>
    <w:rsid w:val="00E35404"/>
    <w:rsid w:val="00E45109"/>
    <w:rsid w:val="00E47B7A"/>
    <w:rsid w:val="00E60269"/>
    <w:rsid w:val="00E97830"/>
    <w:rsid w:val="00EA21A2"/>
    <w:rsid w:val="00EF0683"/>
    <w:rsid w:val="00F0070C"/>
    <w:rsid w:val="00F00EB7"/>
    <w:rsid w:val="00F36AB6"/>
    <w:rsid w:val="00F37A09"/>
    <w:rsid w:val="00F409CE"/>
    <w:rsid w:val="00F4379D"/>
    <w:rsid w:val="00F67E83"/>
    <w:rsid w:val="00F722A4"/>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table" w:styleId="TableGrid">
    <w:name w:val="Table Grid"/>
    <w:basedOn w:val="TableNormal"/>
    <w:uiPriority w:val="59"/>
    <w:rsid w:val="0046285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462859"/>
    <w:rPr>
      <w:rFonts w:eastAsiaTheme="minorHAnsi" w:cstheme="minorBidi"/>
      <w:b/>
      <w:smallCaps/>
      <w:szCs w:val="24"/>
      <w:lang w:eastAsia="en-US"/>
    </w:rPr>
  </w:style>
  <w:style w:type="character" w:customStyle="1" w:styleId="SCCLsocPrefixChar">
    <w:name w:val="SCC.Lsoc.Prefix Char"/>
    <w:basedOn w:val="DefaultParagraphFont"/>
    <w:link w:val="SCCLsocPrefix"/>
    <w:rsid w:val="00462859"/>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6201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2011-03-31T12:33:00Z</dcterms:created>
  <dcterms:modified xsi:type="dcterms:W3CDTF">2011-08-04T18:09:00Z</dcterms:modified>
</cp:coreProperties>
</file>