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163" w:rsidRPr="005F2844" w:rsidRDefault="00BC2163" w:rsidP="00BC2163">
      <w:pPr>
        <w:tabs>
          <w:tab w:val="center" w:pos="4680"/>
          <w:tab w:val="right" w:pos="9360"/>
        </w:tabs>
        <w:rPr>
          <w:rFonts w:eastAsiaTheme="minorHAnsi" w:cstheme="minorBidi"/>
          <w:szCs w:val="24"/>
          <w:lang w:eastAsia="en-US"/>
        </w:rPr>
      </w:pPr>
      <w:r w:rsidRPr="005F2844">
        <w:rPr>
          <w:rFonts w:eastAsiaTheme="minorHAnsi" w:cstheme="minorBidi"/>
          <w:szCs w:val="24"/>
          <w:lang w:eastAsia="en-US"/>
        </w:rPr>
        <w:ptab w:relativeTo="margin" w:alignment="center" w:leader="none"/>
      </w:r>
      <w:r w:rsidRPr="005F2844">
        <w:rPr>
          <w:rFonts w:eastAsiaTheme="minorHAnsi" w:cstheme="minorBidi"/>
          <w:szCs w:val="24"/>
          <w:lang w:eastAsia="en-US"/>
        </w:rPr>
        <w:t xml:space="preserve"> </w:t>
      </w:r>
      <w:r w:rsidRPr="005F2844">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65pt;height:64.35pt" o:ole="">
            <v:imagedata r:id="rId7" o:title=""/>
          </v:shape>
          <o:OLEObject Type="Embed" ProgID="Presentations.Drawing.13" ShapeID="_x0000_i1025" DrawAspect="Content" ObjectID="_1370686445" r:id="rId8"/>
        </w:object>
      </w:r>
      <w:r w:rsidRPr="005F2844">
        <w:rPr>
          <w:rFonts w:eastAsiaTheme="minorHAnsi" w:cstheme="minorBidi"/>
          <w:szCs w:val="24"/>
          <w:lang w:eastAsia="en-US"/>
        </w:rPr>
        <w:t xml:space="preserve"> </w:t>
      </w:r>
      <w:r w:rsidRPr="005F2844">
        <w:rPr>
          <w:rFonts w:eastAsiaTheme="minorHAnsi" w:cstheme="minorBidi"/>
          <w:szCs w:val="24"/>
          <w:lang w:eastAsia="en-US"/>
        </w:rPr>
        <w:ptab w:relativeTo="margin" w:alignment="right" w:leader="none"/>
      </w:r>
    </w:p>
    <w:p w:rsidR="00BC2163" w:rsidRPr="005F2844" w:rsidRDefault="00BC2163" w:rsidP="00BC2163">
      <w:pPr>
        <w:tabs>
          <w:tab w:val="center" w:pos="4680"/>
          <w:tab w:val="right" w:pos="9360"/>
        </w:tabs>
        <w:rPr>
          <w:rFonts w:eastAsiaTheme="minorHAnsi" w:cstheme="minorBidi"/>
          <w:szCs w:val="24"/>
          <w:lang w:eastAsia="en-US"/>
        </w:rPr>
      </w:pPr>
    </w:p>
    <w:p w:rsidR="00BC2163" w:rsidRPr="005F2844" w:rsidRDefault="00BC2163" w:rsidP="00BC2163">
      <w:pPr>
        <w:jc w:val="center"/>
        <w:rPr>
          <w:rFonts w:eastAsiaTheme="minorHAnsi" w:cstheme="minorBidi"/>
          <w:b/>
          <w:szCs w:val="24"/>
          <w:lang w:eastAsia="en-US"/>
        </w:rPr>
      </w:pPr>
      <w:r w:rsidRPr="005F2844">
        <w:rPr>
          <w:rFonts w:eastAsiaTheme="minorHAnsi" w:cstheme="minorBidi"/>
          <w:b/>
          <w:szCs w:val="24"/>
          <w:lang w:eastAsia="en-US"/>
        </w:rPr>
        <w:t>SUPREME COURT OF CANADA</w:t>
      </w:r>
    </w:p>
    <w:p w:rsidR="00BC2163" w:rsidRPr="005F2844" w:rsidRDefault="00BC2163" w:rsidP="00BC2163">
      <w:pPr>
        <w:rPr>
          <w:rFonts w:eastAsiaTheme="minorHAnsi" w:cstheme="minorBidi"/>
          <w:szCs w:val="24"/>
          <w:lang w:eastAsia="en-US"/>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BC2163" w:rsidRPr="005F2844" w:rsidTr="00F943DD">
        <w:trPr>
          <w:cantSplit/>
        </w:trPr>
        <w:tc>
          <w:tcPr>
            <w:tcW w:w="6768" w:type="dxa"/>
          </w:tcPr>
          <w:p w:rsidR="00BC2163" w:rsidRPr="005F2844" w:rsidRDefault="00BC2163" w:rsidP="00F943DD">
            <w:r w:rsidRPr="005F2844">
              <w:rPr>
                <w:b/>
                <w:smallCaps/>
              </w:rPr>
              <w:t>Citation:</w:t>
            </w:r>
            <w:r w:rsidRPr="005F2844">
              <w:t xml:space="preserve"> R. </w:t>
            </w:r>
            <w:r w:rsidRPr="005F2844">
              <w:rPr>
                <w:i/>
              </w:rPr>
              <w:t>v.</w:t>
            </w:r>
            <w:r w:rsidRPr="005F2844">
              <w:t xml:space="preserve"> </w:t>
            </w:r>
            <w:proofErr w:type="spellStart"/>
            <w:r w:rsidRPr="005F2844">
              <w:t>Miljevic</w:t>
            </w:r>
            <w:proofErr w:type="spellEnd"/>
            <w:r w:rsidRPr="005F2844">
              <w:t xml:space="preserve">, </w:t>
            </w:r>
            <w:r>
              <w:rPr>
                <w:rStyle w:val="SCCRespondentForIndexChar"/>
                <w:b w:val="0"/>
              </w:rPr>
              <w:t>2011 SCC 8, [2011] 1 S.C.R. 203</w:t>
            </w:r>
          </w:p>
        </w:tc>
        <w:tc>
          <w:tcPr>
            <w:tcW w:w="2808" w:type="dxa"/>
          </w:tcPr>
          <w:p w:rsidR="00BC2163" w:rsidRPr="005F2844" w:rsidRDefault="00BC2163" w:rsidP="00F943DD">
            <w:r w:rsidRPr="005F2844">
              <w:rPr>
                <w:b/>
                <w:smallCaps/>
              </w:rPr>
              <w:t>Date:</w:t>
            </w:r>
            <w:r w:rsidRPr="005F2844">
              <w:t xml:space="preserve"> 20110216</w:t>
            </w:r>
          </w:p>
          <w:p w:rsidR="00BC2163" w:rsidRPr="005F2844" w:rsidRDefault="00BC2163" w:rsidP="00F943DD">
            <w:r w:rsidRPr="005F2844">
              <w:rPr>
                <w:b/>
                <w:smallCaps/>
              </w:rPr>
              <w:t>Docket:</w:t>
            </w:r>
            <w:r w:rsidRPr="005F2844">
              <w:t xml:space="preserve"> 33714</w:t>
            </w:r>
          </w:p>
        </w:tc>
      </w:tr>
    </w:tbl>
    <w:p w:rsidR="00BC2163" w:rsidRPr="005F2844" w:rsidRDefault="00BC2163" w:rsidP="00BC2163">
      <w:pPr>
        <w:rPr>
          <w:rFonts w:eastAsiaTheme="minorHAnsi" w:cstheme="minorBidi"/>
          <w:szCs w:val="24"/>
          <w:lang w:eastAsia="en-US"/>
        </w:rPr>
      </w:pPr>
    </w:p>
    <w:p w:rsidR="00BC2163" w:rsidRPr="005F2844" w:rsidRDefault="00BC2163" w:rsidP="00BC2163">
      <w:pPr>
        <w:rPr>
          <w:rFonts w:eastAsiaTheme="minorHAnsi" w:cstheme="minorBidi"/>
          <w:b/>
          <w:smallCaps/>
          <w:szCs w:val="24"/>
          <w:lang w:eastAsia="en-US"/>
        </w:rPr>
      </w:pPr>
      <w:r w:rsidRPr="005F2844">
        <w:rPr>
          <w:rFonts w:eastAsiaTheme="minorHAnsi" w:cstheme="minorBidi"/>
          <w:b/>
          <w:smallCaps/>
          <w:szCs w:val="24"/>
          <w:lang w:eastAsia="en-US"/>
        </w:rPr>
        <w:t>Between:</w:t>
      </w:r>
    </w:p>
    <w:p w:rsidR="00BC2163" w:rsidRPr="005F2844" w:rsidRDefault="00BC2163" w:rsidP="00BC2163">
      <w:pPr>
        <w:jc w:val="center"/>
        <w:rPr>
          <w:rFonts w:eastAsiaTheme="minorHAnsi" w:cstheme="minorBidi"/>
          <w:b/>
          <w:szCs w:val="24"/>
          <w:lang w:eastAsia="en-US"/>
        </w:rPr>
      </w:pPr>
      <w:r w:rsidRPr="005F2844">
        <w:rPr>
          <w:rFonts w:eastAsiaTheme="minorHAnsi" w:cstheme="minorBidi"/>
          <w:b/>
          <w:szCs w:val="24"/>
          <w:lang w:eastAsia="en-US"/>
        </w:rPr>
        <w:t xml:space="preserve">Marko </w:t>
      </w:r>
      <w:proofErr w:type="spellStart"/>
      <w:r w:rsidRPr="005F2844">
        <w:rPr>
          <w:rFonts w:eastAsiaTheme="minorHAnsi" w:cstheme="minorBidi"/>
          <w:b/>
          <w:szCs w:val="24"/>
          <w:lang w:eastAsia="en-US"/>
        </w:rPr>
        <w:t>Miljevic</w:t>
      </w:r>
      <w:proofErr w:type="spellEnd"/>
    </w:p>
    <w:p w:rsidR="00BC2163" w:rsidRPr="005F2844" w:rsidRDefault="00BC2163" w:rsidP="00BC2163">
      <w:pPr>
        <w:jc w:val="center"/>
        <w:rPr>
          <w:rFonts w:eastAsiaTheme="minorHAnsi" w:cstheme="minorBidi"/>
          <w:szCs w:val="24"/>
          <w:lang w:eastAsia="en-US"/>
        </w:rPr>
      </w:pPr>
      <w:r w:rsidRPr="005F2844">
        <w:rPr>
          <w:rFonts w:eastAsiaTheme="minorHAnsi" w:cstheme="minorBidi"/>
          <w:szCs w:val="24"/>
          <w:lang w:eastAsia="en-US"/>
        </w:rPr>
        <w:t>Appellant</w:t>
      </w:r>
    </w:p>
    <w:p w:rsidR="00BC2163" w:rsidRPr="005F2844" w:rsidRDefault="00BC2163" w:rsidP="00BC2163">
      <w:pPr>
        <w:jc w:val="center"/>
        <w:rPr>
          <w:rFonts w:eastAsiaTheme="minorHAnsi" w:cstheme="minorBidi"/>
          <w:szCs w:val="24"/>
          <w:lang w:eastAsia="en-US"/>
        </w:rPr>
      </w:pPr>
      <w:proofErr w:type="gramStart"/>
      <w:r w:rsidRPr="005F2844">
        <w:rPr>
          <w:rFonts w:eastAsiaTheme="minorHAnsi" w:cstheme="minorBidi"/>
          <w:szCs w:val="24"/>
          <w:lang w:eastAsia="en-US"/>
        </w:rPr>
        <w:t>and</w:t>
      </w:r>
      <w:proofErr w:type="gramEnd"/>
    </w:p>
    <w:p w:rsidR="00BC2163" w:rsidRPr="005F2844" w:rsidRDefault="00BC2163" w:rsidP="00BC2163">
      <w:pPr>
        <w:jc w:val="center"/>
        <w:rPr>
          <w:rFonts w:eastAsiaTheme="minorHAnsi" w:cstheme="minorBidi"/>
          <w:b/>
          <w:szCs w:val="24"/>
          <w:lang w:eastAsia="en-US"/>
        </w:rPr>
      </w:pPr>
      <w:r w:rsidRPr="005F2844">
        <w:rPr>
          <w:rFonts w:eastAsiaTheme="minorHAnsi" w:cstheme="minorBidi"/>
          <w:b/>
          <w:szCs w:val="24"/>
          <w:lang w:eastAsia="en-US"/>
        </w:rPr>
        <w:t xml:space="preserve">Her Majesty </w:t>
      </w:r>
      <w:proofErr w:type="gramStart"/>
      <w:r w:rsidRPr="005F2844">
        <w:rPr>
          <w:rFonts w:eastAsiaTheme="minorHAnsi" w:cstheme="minorBidi"/>
          <w:b/>
          <w:szCs w:val="24"/>
          <w:lang w:eastAsia="en-US"/>
        </w:rPr>
        <w:t>The</w:t>
      </w:r>
      <w:proofErr w:type="gramEnd"/>
      <w:r w:rsidRPr="005F2844">
        <w:rPr>
          <w:rFonts w:eastAsiaTheme="minorHAnsi" w:cstheme="minorBidi"/>
          <w:b/>
          <w:szCs w:val="24"/>
          <w:lang w:eastAsia="en-US"/>
        </w:rPr>
        <w:t xml:space="preserve"> Queen</w:t>
      </w:r>
    </w:p>
    <w:p w:rsidR="00BC2163" w:rsidRPr="005F2844" w:rsidRDefault="00BC2163" w:rsidP="00BC2163">
      <w:pPr>
        <w:jc w:val="center"/>
        <w:rPr>
          <w:rFonts w:eastAsiaTheme="minorHAnsi" w:cstheme="minorBidi"/>
          <w:szCs w:val="24"/>
          <w:lang w:eastAsia="en-US"/>
        </w:rPr>
      </w:pPr>
      <w:r w:rsidRPr="005F2844">
        <w:rPr>
          <w:rFonts w:eastAsiaTheme="minorHAnsi" w:cstheme="minorBidi"/>
          <w:szCs w:val="24"/>
          <w:lang w:eastAsia="en-US"/>
        </w:rPr>
        <w:t>Respondent</w:t>
      </w:r>
    </w:p>
    <w:p w:rsidR="00BC2163" w:rsidRPr="005F2844" w:rsidRDefault="00BC2163" w:rsidP="00BC2163">
      <w:pPr>
        <w:rPr>
          <w:rFonts w:eastAsiaTheme="minorHAnsi" w:cstheme="minorBidi"/>
          <w:szCs w:val="24"/>
          <w:lang w:eastAsia="en-US"/>
        </w:rPr>
      </w:pPr>
    </w:p>
    <w:p w:rsidR="00BC2163" w:rsidRPr="005F2844" w:rsidRDefault="00BC2163" w:rsidP="00BC2163">
      <w:pPr>
        <w:rPr>
          <w:rFonts w:eastAsiaTheme="minorHAnsi" w:cstheme="minorBidi"/>
          <w:szCs w:val="24"/>
          <w:lang w:eastAsia="en-US"/>
        </w:rPr>
      </w:pPr>
    </w:p>
    <w:p w:rsidR="00BC2163" w:rsidRPr="005F2844" w:rsidRDefault="00BC2163" w:rsidP="00BC2163">
      <w:pPr>
        <w:rPr>
          <w:rFonts w:eastAsiaTheme="minorHAnsi" w:cstheme="minorBidi"/>
          <w:szCs w:val="24"/>
          <w:lang w:eastAsia="en-US"/>
        </w:rPr>
      </w:pPr>
      <w:r w:rsidRPr="005F2844">
        <w:rPr>
          <w:rFonts w:eastAsiaTheme="minorHAnsi" w:cstheme="minorBidi"/>
          <w:b/>
          <w:smallCaps/>
          <w:szCs w:val="24"/>
          <w:lang w:eastAsia="en-US"/>
        </w:rPr>
        <w:t>Coram:</w:t>
      </w:r>
      <w:r w:rsidRPr="005F2844">
        <w:rPr>
          <w:rFonts w:eastAsiaTheme="minorHAnsi" w:cstheme="minorBidi"/>
          <w:szCs w:val="24"/>
          <w:lang w:eastAsia="en-US"/>
        </w:rPr>
        <w:t xml:space="preserve"> </w:t>
      </w:r>
      <w:proofErr w:type="spellStart"/>
      <w:r w:rsidRPr="005F2844">
        <w:rPr>
          <w:rFonts w:eastAsiaTheme="minorHAnsi" w:cstheme="minorBidi"/>
          <w:szCs w:val="24"/>
          <w:lang w:eastAsia="en-US"/>
        </w:rPr>
        <w:t>McLachlin</w:t>
      </w:r>
      <w:proofErr w:type="spellEnd"/>
      <w:r w:rsidRPr="005F2844">
        <w:rPr>
          <w:rFonts w:eastAsiaTheme="minorHAnsi" w:cstheme="minorBidi"/>
          <w:szCs w:val="24"/>
          <w:lang w:eastAsia="en-US"/>
        </w:rPr>
        <w:t xml:space="preserve"> C.J. and </w:t>
      </w:r>
      <w:proofErr w:type="spellStart"/>
      <w:r w:rsidRPr="005F2844">
        <w:rPr>
          <w:rFonts w:eastAsiaTheme="minorHAnsi" w:cstheme="minorBidi"/>
          <w:szCs w:val="24"/>
          <w:lang w:eastAsia="en-US"/>
        </w:rPr>
        <w:t>Deschamps</w:t>
      </w:r>
      <w:proofErr w:type="spellEnd"/>
      <w:r w:rsidRPr="005F2844">
        <w:rPr>
          <w:rFonts w:eastAsiaTheme="minorHAnsi" w:cstheme="minorBidi"/>
          <w:szCs w:val="24"/>
          <w:lang w:eastAsia="en-US"/>
        </w:rPr>
        <w:t xml:space="preserve">, Fish, </w:t>
      </w:r>
      <w:proofErr w:type="spellStart"/>
      <w:r w:rsidRPr="005F2844">
        <w:rPr>
          <w:rFonts w:eastAsiaTheme="minorHAnsi" w:cstheme="minorBidi"/>
          <w:szCs w:val="24"/>
          <w:lang w:eastAsia="en-US"/>
        </w:rPr>
        <w:t>Abella</w:t>
      </w:r>
      <w:proofErr w:type="spellEnd"/>
      <w:r w:rsidRPr="005F2844">
        <w:rPr>
          <w:rFonts w:eastAsiaTheme="minorHAnsi" w:cstheme="minorBidi"/>
          <w:szCs w:val="24"/>
          <w:lang w:eastAsia="en-US"/>
        </w:rPr>
        <w:t xml:space="preserve">, </w:t>
      </w:r>
      <w:proofErr w:type="spellStart"/>
      <w:r w:rsidRPr="005F2844">
        <w:rPr>
          <w:rFonts w:eastAsiaTheme="minorHAnsi" w:cstheme="minorBidi"/>
          <w:szCs w:val="24"/>
          <w:lang w:eastAsia="en-US"/>
        </w:rPr>
        <w:t>Charron</w:t>
      </w:r>
      <w:proofErr w:type="spellEnd"/>
      <w:r w:rsidRPr="005F2844">
        <w:rPr>
          <w:rFonts w:eastAsiaTheme="minorHAnsi" w:cstheme="minorBidi"/>
          <w:szCs w:val="24"/>
          <w:lang w:eastAsia="en-US"/>
        </w:rPr>
        <w:t>, Rothstein and Cromwell JJ.</w:t>
      </w:r>
    </w:p>
    <w:p w:rsidR="00BC2163" w:rsidRPr="005F2844" w:rsidRDefault="00BC2163" w:rsidP="00BC2163">
      <w:pPr>
        <w:rPr>
          <w:rFonts w:eastAsiaTheme="minorHAnsi" w:cstheme="minorBidi"/>
          <w:szCs w:val="24"/>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BC2163" w:rsidRPr="005F2844" w:rsidTr="00F943DD">
        <w:trPr>
          <w:cantSplit/>
        </w:trPr>
        <w:tc>
          <w:tcPr>
            <w:tcW w:w="3618" w:type="dxa"/>
          </w:tcPr>
          <w:p w:rsidR="00BC2163" w:rsidRPr="005F2844" w:rsidRDefault="00BC2163" w:rsidP="00F943DD">
            <w:pPr>
              <w:rPr>
                <w:b/>
                <w:smallCaps/>
              </w:rPr>
            </w:pPr>
            <w:r w:rsidRPr="005F2844">
              <w:rPr>
                <w:b/>
                <w:smallCaps/>
              </w:rPr>
              <w:t>Reasons for Judgment:</w:t>
            </w:r>
          </w:p>
          <w:p w:rsidR="00BC2163" w:rsidRPr="005F2844" w:rsidRDefault="00BC2163" w:rsidP="00F943DD">
            <w:r w:rsidRPr="005F2844">
              <w:t>(</w:t>
            </w:r>
            <w:proofErr w:type="spellStart"/>
            <w:r w:rsidRPr="005F2844">
              <w:t>paras</w:t>
            </w:r>
            <w:proofErr w:type="spellEnd"/>
            <w:r w:rsidRPr="005F2844">
              <w:t>. 1 to 4)</w:t>
            </w:r>
          </w:p>
          <w:p w:rsidR="00BC2163" w:rsidRPr="005F2844" w:rsidRDefault="00BC2163" w:rsidP="00F943DD"/>
          <w:p w:rsidR="00BC2163" w:rsidRPr="005F2844" w:rsidRDefault="00BC2163" w:rsidP="00F943DD">
            <w:pPr>
              <w:rPr>
                <w:b/>
                <w:smallCaps/>
              </w:rPr>
            </w:pPr>
            <w:r w:rsidRPr="005F2844">
              <w:rPr>
                <w:b/>
                <w:smallCaps/>
              </w:rPr>
              <w:t>Dissenting Reasons:</w:t>
            </w:r>
          </w:p>
          <w:p w:rsidR="00BC2163" w:rsidRPr="005F2844" w:rsidRDefault="00BC2163" w:rsidP="00F943DD">
            <w:pPr>
              <w:rPr>
                <w:b/>
                <w:smallCaps/>
              </w:rPr>
            </w:pPr>
            <w:r w:rsidRPr="005F2844">
              <w:t>(</w:t>
            </w:r>
            <w:proofErr w:type="spellStart"/>
            <w:r w:rsidRPr="005F2844">
              <w:t>paras</w:t>
            </w:r>
            <w:proofErr w:type="spellEnd"/>
            <w:r w:rsidRPr="005F2844">
              <w:t>. 5 to 27)</w:t>
            </w:r>
          </w:p>
        </w:tc>
        <w:tc>
          <w:tcPr>
            <w:tcW w:w="5958" w:type="dxa"/>
          </w:tcPr>
          <w:p w:rsidR="00BC2163" w:rsidRPr="005F2844" w:rsidRDefault="00BC2163" w:rsidP="00F943DD">
            <w:r w:rsidRPr="005F2844">
              <w:t>Cromwell J. (</w:t>
            </w:r>
            <w:proofErr w:type="spellStart"/>
            <w:r w:rsidRPr="005F2844">
              <w:t>Abella</w:t>
            </w:r>
            <w:proofErr w:type="spellEnd"/>
            <w:r w:rsidRPr="005F2844">
              <w:t xml:space="preserve">, </w:t>
            </w:r>
            <w:proofErr w:type="spellStart"/>
            <w:r w:rsidRPr="005F2844">
              <w:t>Charron</w:t>
            </w:r>
            <w:proofErr w:type="spellEnd"/>
            <w:r w:rsidRPr="005F2844">
              <w:t xml:space="preserve"> and Rothstein JJ. concurring)</w:t>
            </w:r>
          </w:p>
          <w:p w:rsidR="00BC2163" w:rsidRPr="005F2844" w:rsidRDefault="00BC2163" w:rsidP="00F943DD"/>
          <w:p w:rsidR="00BC2163" w:rsidRPr="005F2844" w:rsidRDefault="00BC2163" w:rsidP="00F943DD"/>
          <w:p w:rsidR="00BC2163" w:rsidRPr="005F2844" w:rsidRDefault="00BC2163" w:rsidP="00F943DD">
            <w:r w:rsidRPr="005F2844">
              <w:t>Fish J. (</w:t>
            </w:r>
            <w:proofErr w:type="spellStart"/>
            <w:r w:rsidRPr="005F2844">
              <w:t>McLachlin</w:t>
            </w:r>
            <w:proofErr w:type="spellEnd"/>
            <w:r w:rsidRPr="005F2844">
              <w:t xml:space="preserve"> C.J. and </w:t>
            </w:r>
            <w:proofErr w:type="spellStart"/>
            <w:r w:rsidRPr="005F2844">
              <w:t>Deschamps</w:t>
            </w:r>
            <w:proofErr w:type="spellEnd"/>
            <w:r w:rsidRPr="005F2844">
              <w:t xml:space="preserve"> J. concurring)</w:t>
            </w:r>
          </w:p>
        </w:tc>
      </w:tr>
    </w:tbl>
    <w:p w:rsidR="00BC2163" w:rsidRPr="005F2844" w:rsidRDefault="00BC2163" w:rsidP="00BC2163">
      <w:pPr>
        <w:rPr>
          <w:rFonts w:eastAsiaTheme="minorHAnsi" w:cstheme="minorBidi"/>
          <w:szCs w:val="24"/>
          <w:lang w:eastAsia="en-US"/>
        </w:rPr>
      </w:pPr>
    </w:p>
    <w:p w:rsidR="00BC2163" w:rsidRPr="005F2844" w:rsidRDefault="00BC2163" w:rsidP="00BC2163">
      <w:pPr>
        <w:rPr>
          <w:rFonts w:eastAsiaTheme="minorHAnsi" w:cstheme="minorBidi"/>
          <w:szCs w:val="24"/>
          <w:lang w:eastAsia="en-US"/>
        </w:rPr>
      </w:pPr>
    </w:p>
    <w:p w:rsidR="00BC2163" w:rsidRPr="005F2844" w:rsidRDefault="00BC2163" w:rsidP="00BC2163">
      <w:pPr>
        <w:rPr>
          <w:rFonts w:eastAsiaTheme="minorHAnsi" w:cstheme="minorBidi"/>
          <w:szCs w:val="24"/>
          <w:lang w:eastAsia="en-US"/>
        </w:rPr>
      </w:pPr>
      <w:r w:rsidRPr="000578D9">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BC2163" w:rsidRPr="005F2844" w:rsidRDefault="00BC2163" w:rsidP="00BC2163">
      <w:pPr>
        <w:rPr>
          <w:rStyle w:val="SCCAppellantForRunningHeadChar"/>
        </w:rPr>
      </w:pPr>
      <w:r w:rsidRPr="005F2844">
        <w:rPr>
          <w:rStyle w:val="SCCAppellantForRunningHeadChar"/>
        </w:rPr>
        <w:br w:type="page"/>
      </w:r>
    </w:p>
    <w:p w:rsidR="008322BD" w:rsidRPr="00F54B33" w:rsidRDefault="00A6202B" w:rsidP="00BF12E8">
      <w:pPr>
        <w:spacing w:line="480" w:lineRule="auto"/>
        <w:jc w:val="both"/>
        <w:rPr>
          <w:rStyle w:val="SCCRespondentForRunningHeadChar"/>
        </w:rPr>
      </w:pPr>
      <w:r w:rsidRPr="00A6202B">
        <w:lastRenderedPageBreak/>
        <w:t xml:space="preserve">R. </w:t>
      </w:r>
      <w:r w:rsidRPr="00A6202B">
        <w:rPr>
          <w:i/>
        </w:rPr>
        <w:t>v.</w:t>
      </w:r>
      <w:r w:rsidRPr="00A6202B">
        <w:t xml:space="preserve"> </w:t>
      </w:r>
      <w:proofErr w:type="spellStart"/>
      <w:r w:rsidRPr="00A6202B">
        <w:rPr>
          <w:rStyle w:val="SCCAppellantForIndexChar"/>
          <w:b w:val="0"/>
        </w:rPr>
        <w:t>Miljevic</w:t>
      </w:r>
      <w:proofErr w:type="spellEnd"/>
      <w:r>
        <w:rPr>
          <w:rStyle w:val="SCCRespondentForRunningHeadChar"/>
        </w:rPr>
        <w:t xml:space="preserve">, </w:t>
      </w:r>
      <w:r>
        <w:rPr>
          <w:rStyle w:val="SCCRespondentForIndexChar"/>
          <w:b w:val="0"/>
        </w:rPr>
        <w:t>2011 SCC 8, [2011] 1 S.C.R. 203</w:t>
      </w:r>
    </w:p>
    <w:p w:rsidR="00BF12E8" w:rsidRPr="00F54B33" w:rsidRDefault="00BF12E8" w:rsidP="00BF12E8">
      <w:pPr>
        <w:spacing w:line="480" w:lineRule="auto"/>
        <w:jc w:val="both"/>
        <w:rPr>
          <w:rStyle w:val="SCCRespondentForRunningHeadChar"/>
        </w:rPr>
      </w:pPr>
    </w:p>
    <w:p w:rsidR="00210F5D" w:rsidRPr="00F54B33" w:rsidRDefault="00BF12E8" w:rsidP="00691E3C">
      <w:pPr>
        <w:pStyle w:val="SCCLsocParty"/>
        <w:tabs>
          <w:tab w:val="right" w:pos="8280"/>
        </w:tabs>
      </w:pPr>
      <w:r w:rsidRPr="00691E3C">
        <w:rPr>
          <w:b/>
        </w:rPr>
        <w:t xml:space="preserve">Marko </w:t>
      </w:r>
      <w:proofErr w:type="spellStart"/>
      <w:r w:rsidRPr="00691E3C">
        <w:rPr>
          <w:b/>
        </w:rPr>
        <w:t>Miljevic</w:t>
      </w:r>
      <w:proofErr w:type="spellEnd"/>
      <w:r w:rsidRPr="00F54B33">
        <w:tab/>
      </w:r>
      <w:r w:rsidRPr="00F54B33">
        <w:rPr>
          <w:i/>
        </w:rPr>
        <w:t>Appellant</w:t>
      </w:r>
      <w:r w:rsidRPr="00F54B33">
        <w:br/>
      </w:r>
    </w:p>
    <w:p w:rsidR="00210F5D" w:rsidRPr="00691E3C" w:rsidRDefault="00BF12E8" w:rsidP="00691E3C">
      <w:pPr>
        <w:pStyle w:val="SCCLsocVersus"/>
        <w:rPr>
          <w:i/>
        </w:rPr>
      </w:pPr>
      <w:proofErr w:type="gramStart"/>
      <w:r w:rsidRPr="00691E3C">
        <w:rPr>
          <w:i/>
        </w:rPr>
        <w:t>v</w:t>
      </w:r>
      <w:proofErr w:type="gramEnd"/>
      <w:r w:rsidRPr="00691E3C">
        <w:rPr>
          <w:i/>
        </w:rPr>
        <w:t>.</w:t>
      </w:r>
      <w:r w:rsidRPr="00691E3C">
        <w:rPr>
          <w:i/>
        </w:rPr>
        <w:br/>
      </w:r>
    </w:p>
    <w:p w:rsidR="00210F5D" w:rsidRPr="00F54B33" w:rsidRDefault="00BF12E8" w:rsidP="00691E3C">
      <w:pPr>
        <w:pStyle w:val="SCCLsocParty"/>
        <w:tabs>
          <w:tab w:val="right" w:pos="8280"/>
        </w:tabs>
      </w:pPr>
      <w:r w:rsidRPr="00691E3C">
        <w:rPr>
          <w:b/>
        </w:rPr>
        <w:t xml:space="preserve">Her Majesty </w:t>
      </w:r>
      <w:proofErr w:type="gramStart"/>
      <w:r w:rsidRPr="00691E3C">
        <w:rPr>
          <w:b/>
        </w:rPr>
        <w:t>The</w:t>
      </w:r>
      <w:proofErr w:type="gramEnd"/>
      <w:r w:rsidRPr="00691E3C">
        <w:rPr>
          <w:b/>
        </w:rPr>
        <w:t xml:space="preserve"> Queen</w:t>
      </w:r>
      <w:r w:rsidRPr="00F54B33">
        <w:tab/>
      </w:r>
      <w:r w:rsidRPr="00F54B33">
        <w:rPr>
          <w:i/>
        </w:rPr>
        <w:t>Respondent</w:t>
      </w:r>
    </w:p>
    <w:p w:rsidR="00766D14" w:rsidRPr="00F54B33" w:rsidRDefault="00766D14" w:rsidP="00BF12E8">
      <w:pPr>
        <w:spacing w:line="480" w:lineRule="auto"/>
        <w:jc w:val="both"/>
      </w:pPr>
    </w:p>
    <w:p w:rsidR="00426659" w:rsidRPr="00F54B33" w:rsidRDefault="00426659" w:rsidP="00BF12E8">
      <w:pPr>
        <w:spacing w:line="480" w:lineRule="auto"/>
        <w:jc w:val="both"/>
        <w:rPr>
          <w:b/>
        </w:rPr>
      </w:pPr>
      <w:r w:rsidRPr="00F54B33">
        <w:rPr>
          <w:b/>
        </w:rPr>
        <w:t xml:space="preserve">Indexed as: </w:t>
      </w:r>
      <w:r w:rsidR="00BF12E8" w:rsidRPr="00F54B33">
        <w:rPr>
          <w:b/>
        </w:rPr>
        <w:t xml:space="preserve"> R. </w:t>
      </w:r>
      <w:r w:rsidR="00BF12E8" w:rsidRPr="00F54B33">
        <w:rPr>
          <w:b/>
          <w:i/>
        </w:rPr>
        <w:t>v.</w:t>
      </w:r>
      <w:r w:rsidR="00BF12E8" w:rsidRPr="00F54B33">
        <w:rPr>
          <w:b/>
        </w:rPr>
        <w:t xml:space="preserve"> </w:t>
      </w:r>
      <w:proofErr w:type="spellStart"/>
      <w:r w:rsidRPr="00F54B33">
        <w:rPr>
          <w:rStyle w:val="SCCAppellantForIndexChar"/>
        </w:rPr>
        <w:t>Miljevic</w:t>
      </w:r>
      <w:proofErr w:type="spellEnd"/>
    </w:p>
    <w:p w:rsidR="00426659" w:rsidRPr="00F54B33" w:rsidRDefault="00426659" w:rsidP="00BF12E8">
      <w:pPr>
        <w:spacing w:line="480" w:lineRule="auto"/>
        <w:jc w:val="both"/>
      </w:pPr>
    </w:p>
    <w:p w:rsidR="00426659" w:rsidRPr="00F54B33" w:rsidRDefault="00566AD1" w:rsidP="00BF12E8">
      <w:pPr>
        <w:pStyle w:val="SCCSystemYear"/>
        <w:spacing w:line="480" w:lineRule="auto"/>
        <w:jc w:val="both"/>
      </w:pPr>
      <w:r w:rsidRPr="00F54B33">
        <w:t>201</w:t>
      </w:r>
      <w:r w:rsidR="00BF12E8" w:rsidRPr="00F54B33">
        <w:t>1</w:t>
      </w:r>
      <w:r w:rsidR="003D0399" w:rsidRPr="00F54B33">
        <w:t xml:space="preserve"> </w:t>
      </w:r>
      <w:r w:rsidR="00426659" w:rsidRPr="00F54B33">
        <w:t>SCC </w:t>
      </w:r>
      <w:r w:rsidR="00BD1A3B" w:rsidRPr="00F54B33">
        <w:t>8</w:t>
      </w:r>
    </w:p>
    <w:p w:rsidR="00426659" w:rsidRPr="00F54B33" w:rsidRDefault="00426659" w:rsidP="00BF12E8">
      <w:pPr>
        <w:spacing w:line="480" w:lineRule="auto"/>
        <w:jc w:val="both"/>
      </w:pPr>
    </w:p>
    <w:p w:rsidR="008322BD" w:rsidRPr="00F54B33" w:rsidRDefault="009B57B3" w:rsidP="00BF12E8">
      <w:pPr>
        <w:spacing w:line="480" w:lineRule="auto"/>
        <w:jc w:val="both"/>
      </w:pPr>
      <w:r w:rsidRPr="00F54B33">
        <w:t>File No.:  33714.</w:t>
      </w:r>
    </w:p>
    <w:p w:rsidR="00E97830" w:rsidRPr="00F54B33" w:rsidRDefault="00E97830" w:rsidP="00BF12E8">
      <w:pPr>
        <w:spacing w:line="480" w:lineRule="auto"/>
        <w:jc w:val="both"/>
      </w:pPr>
    </w:p>
    <w:p w:rsidR="008322BD" w:rsidRPr="00F54B33" w:rsidRDefault="00566AD1" w:rsidP="00BF12E8">
      <w:pPr>
        <w:spacing w:line="480" w:lineRule="auto"/>
        <w:jc w:val="both"/>
      </w:pPr>
      <w:r w:rsidRPr="00F54B33">
        <w:t>2010:  December 17</w:t>
      </w:r>
      <w:r w:rsidR="009B57B3" w:rsidRPr="00F54B33">
        <w:t xml:space="preserve">; </w:t>
      </w:r>
      <w:r w:rsidR="00BF12E8" w:rsidRPr="00F54B33">
        <w:t xml:space="preserve">2011:  </w:t>
      </w:r>
      <w:r w:rsidR="00BD1A3B" w:rsidRPr="00F54B33">
        <w:t>February 16</w:t>
      </w:r>
      <w:r w:rsidR="009B57B3" w:rsidRPr="00F54B33">
        <w:t>.</w:t>
      </w:r>
    </w:p>
    <w:p w:rsidR="00E97830" w:rsidRPr="00F54B33" w:rsidRDefault="00E97830" w:rsidP="00BF12E8">
      <w:pPr>
        <w:spacing w:line="480" w:lineRule="auto"/>
        <w:jc w:val="both"/>
      </w:pPr>
    </w:p>
    <w:p w:rsidR="00A149DF" w:rsidRPr="00F54B33" w:rsidRDefault="009B57B3" w:rsidP="009D6A50">
      <w:pPr>
        <w:spacing w:after="240"/>
        <w:jc w:val="both"/>
      </w:pPr>
      <w:r w:rsidRPr="00F54B33">
        <w:t xml:space="preserve">Present:  </w:t>
      </w:r>
      <w:proofErr w:type="spellStart"/>
      <w:r w:rsidRPr="00F54B33">
        <w:t>McLachlin</w:t>
      </w:r>
      <w:proofErr w:type="spellEnd"/>
      <w:r w:rsidRPr="00F54B33">
        <w:t xml:space="preserve"> C.J. and </w:t>
      </w:r>
      <w:proofErr w:type="spellStart"/>
      <w:r w:rsidRPr="00F54B33">
        <w:t>Deschamps</w:t>
      </w:r>
      <w:proofErr w:type="spellEnd"/>
      <w:r w:rsidRPr="00F54B33">
        <w:t xml:space="preserve">, Fish, </w:t>
      </w:r>
      <w:proofErr w:type="spellStart"/>
      <w:r w:rsidRPr="00F54B33">
        <w:t>Abella</w:t>
      </w:r>
      <w:proofErr w:type="spellEnd"/>
      <w:r w:rsidRPr="00F54B33">
        <w:t xml:space="preserve">, </w:t>
      </w:r>
      <w:proofErr w:type="spellStart"/>
      <w:r w:rsidRPr="00F54B33">
        <w:t>Charron</w:t>
      </w:r>
      <w:proofErr w:type="spellEnd"/>
      <w:r w:rsidRPr="00F54B33">
        <w:t>, Rothstein and Cromwell JJ.</w:t>
      </w:r>
    </w:p>
    <w:p w:rsidR="00BF12E8" w:rsidRPr="00F54B33" w:rsidRDefault="00BF12E8" w:rsidP="00BF12E8">
      <w:pPr>
        <w:spacing w:line="480" w:lineRule="auto"/>
        <w:jc w:val="both"/>
      </w:pPr>
    </w:p>
    <w:p w:rsidR="003A4C70" w:rsidRPr="00F54B33" w:rsidRDefault="00656313" w:rsidP="00BF12E8">
      <w:pPr>
        <w:pStyle w:val="SCCLowerCourtNameLowercase"/>
      </w:pPr>
      <w:r w:rsidRPr="00F54B33">
        <w:t>o</w:t>
      </w:r>
      <w:r w:rsidR="00170592" w:rsidRPr="00F54B33">
        <w:t>n</w:t>
      </w:r>
      <w:r w:rsidR="00224FC0" w:rsidRPr="00F54B33">
        <w:t xml:space="preserve"> </w:t>
      </w:r>
      <w:r w:rsidRPr="00F54B33">
        <w:t>a</w:t>
      </w:r>
      <w:r w:rsidR="00170592" w:rsidRPr="00F54B33">
        <w:t>ppeal</w:t>
      </w:r>
      <w:r w:rsidR="00224FC0" w:rsidRPr="00F54B33">
        <w:t xml:space="preserve"> </w:t>
      </w:r>
      <w:r w:rsidR="00170592" w:rsidRPr="00F54B33">
        <w:t>from</w:t>
      </w:r>
      <w:r w:rsidR="009567AA" w:rsidRPr="00F54B33">
        <w:t xml:space="preserve"> the</w:t>
      </w:r>
      <w:r w:rsidR="00224FC0" w:rsidRPr="00F54B33">
        <w:t xml:space="preserve"> </w:t>
      </w:r>
      <w:r w:rsidR="009B57B3" w:rsidRPr="00F54B33">
        <w:t>court of appeal f</w:t>
      </w:r>
      <w:r w:rsidR="00BF12E8" w:rsidRPr="00F54B33">
        <w:t>or</w:t>
      </w:r>
      <w:r w:rsidR="009B57B3" w:rsidRPr="00F54B33">
        <w:t xml:space="preserve"> </w:t>
      </w:r>
      <w:proofErr w:type="spellStart"/>
      <w:r w:rsidR="009B57B3" w:rsidRPr="00F54B33">
        <w:t>alberta</w:t>
      </w:r>
      <w:proofErr w:type="spellEnd"/>
    </w:p>
    <w:p w:rsidR="00BF12E8" w:rsidRPr="00F54B33" w:rsidRDefault="00BF12E8" w:rsidP="00BF12E8">
      <w:pPr>
        <w:pStyle w:val="SCCNormalDoubleSpacing"/>
      </w:pPr>
    </w:p>
    <w:p w:rsidR="007B35B6" w:rsidRPr="00F54B33" w:rsidRDefault="007B35B6" w:rsidP="007B35B6">
      <w:pPr>
        <w:pStyle w:val="SCCNormalDoubleSpacing"/>
        <w:spacing w:after="480"/>
        <w:rPr>
          <w:i/>
        </w:rPr>
      </w:pPr>
      <w:r w:rsidRPr="00F54B33">
        <w:tab/>
      </w:r>
      <w:r w:rsidRPr="00F54B33">
        <w:rPr>
          <w:i/>
          <w:lang w:val="en-US" w:eastAsia="en-US"/>
        </w:rPr>
        <w:t xml:space="preserve">Criminal law — Trial — Charge to jury — Questions from jury — </w:t>
      </w:r>
      <w:proofErr w:type="gramStart"/>
      <w:r w:rsidRPr="00F54B33">
        <w:rPr>
          <w:i/>
        </w:rPr>
        <w:t>Whether</w:t>
      </w:r>
      <w:proofErr w:type="gramEnd"/>
      <w:r w:rsidRPr="00F54B33">
        <w:rPr>
          <w:i/>
        </w:rPr>
        <w:t xml:space="preserve"> trial judge erred in response to jury’s questions.</w:t>
      </w:r>
    </w:p>
    <w:p w:rsidR="007B35B6" w:rsidRPr="00F54B33" w:rsidRDefault="007B35B6" w:rsidP="007B35B6">
      <w:pPr>
        <w:pStyle w:val="SCCNormalDoubleSpacing"/>
        <w:spacing w:after="480"/>
      </w:pPr>
      <w:r w:rsidRPr="00F54B33">
        <w:rPr>
          <w:bCs/>
          <w:color w:val="000000"/>
          <w:szCs w:val="24"/>
        </w:rPr>
        <w:lastRenderedPageBreak/>
        <w:tab/>
        <w:t xml:space="preserve">The </w:t>
      </w:r>
      <w:r w:rsidRPr="00F54B33">
        <w:t>accused was charged with second degree murder.  At trial, he admitted that he was guilty of manslaughter but argued that he did not have the required mental state for murder</w:t>
      </w:r>
      <w:r w:rsidR="009D6A50" w:rsidRPr="00F54B33">
        <w:t xml:space="preserve">. </w:t>
      </w:r>
      <w:r w:rsidRPr="00F54B33">
        <w:t xml:space="preserve"> During deliberations, the jury asked the trial judge to </w:t>
      </w:r>
      <w:r w:rsidRPr="00F54B33">
        <w:rPr>
          <w:szCs w:val="24"/>
        </w:rPr>
        <w:t xml:space="preserve">explain the difference between manslaughter and second degree murder, to provide examples, and to provide a specific definition of manslaughter.  </w:t>
      </w:r>
      <w:r w:rsidRPr="00F54B33">
        <w:t>The trial judge responded to the questions but did not provide examples or a definition of manslaughter</w:t>
      </w:r>
      <w:r w:rsidRPr="00FC3B9D">
        <w:t>.</w:t>
      </w:r>
      <w:r w:rsidRPr="00F54B33">
        <w:t xml:space="preserve">  The jury convicted the </w:t>
      </w:r>
      <w:r w:rsidR="00C43EA1">
        <w:t>accused</w:t>
      </w:r>
      <w:r w:rsidR="009D6A50" w:rsidRPr="00F54B33">
        <w:t xml:space="preserve"> of second degree murder.</w:t>
      </w:r>
    </w:p>
    <w:p w:rsidR="007B35B6" w:rsidRPr="00F54B33" w:rsidRDefault="007B35B6" w:rsidP="007B35B6">
      <w:pPr>
        <w:pStyle w:val="SCCNormalDoubleSpacing"/>
        <w:spacing w:after="480"/>
      </w:pPr>
      <w:r w:rsidRPr="00F54B33">
        <w:tab/>
      </w:r>
      <w:r w:rsidRPr="00C43EA1">
        <w:rPr>
          <w:i/>
        </w:rPr>
        <w:t>Held</w:t>
      </w:r>
      <w:r w:rsidRPr="00F54B33">
        <w:t xml:space="preserve"> </w:t>
      </w:r>
      <w:r w:rsidR="00C43EA1">
        <w:t>(</w:t>
      </w:r>
      <w:proofErr w:type="spellStart"/>
      <w:r w:rsidRPr="00F54B33">
        <w:t>McLachlin</w:t>
      </w:r>
      <w:proofErr w:type="spellEnd"/>
      <w:r w:rsidRPr="00F54B33">
        <w:t xml:space="preserve"> C.J. </w:t>
      </w:r>
      <w:r w:rsidR="00CA6614" w:rsidRPr="00F54B33">
        <w:t xml:space="preserve">and </w:t>
      </w:r>
      <w:proofErr w:type="spellStart"/>
      <w:r w:rsidR="00CA6614" w:rsidRPr="00F54B33">
        <w:t>Deschamps</w:t>
      </w:r>
      <w:proofErr w:type="spellEnd"/>
      <w:r w:rsidR="00CA6614" w:rsidRPr="00F54B33">
        <w:t xml:space="preserve"> </w:t>
      </w:r>
      <w:r w:rsidRPr="00F54B33">
        <w:t>and Fish</w:t>
      </w:r>
      <w:r w:rsidR="009D6A50" w:rsidRPr="00F54B33">
        <w:t> </w:t>
      </w:r>
      <w:r w:rsidR="00CA6614" w:rsidRPr="00F54B33">
        <w:t>J</w:t>
      </w:r>
      <w:r w:rsidRPr="00F54B33">
        <w:t xml:space="preserve">J. </w:t>
      </w:r>
      <w:r w:rsidRPr="00C43EA1">
        <w:t>dissenting</w:t>
      </w:r>
      <w:r w:rsidR="00C43EA1">
        <w:t>)</w:t>
      </w:r>
      <w:r w:rsidRPr="00F54B33">
        <w:t>:  The appeal should be dismissed.</w:t>
      </w:r>
    </w:p>
    <w:p w:rsidR="00937891" w:rsidRPr="00F54B33" w:rsidRDefault="007B35B6" w:rsidP="00937891">
      <w:pPr>
        <w:pStyle w:val="SCCNormalDoubleSpacing"/>
        <w:spacing w:after="480"/>
      </w:pPr>
      <w:r w:rsidRPr="00F54B33">
        <w:rPr>
          <w:i/>
        </w:rPr>
        <w:tab/>
        <w:t>Per</w:t>
      </w:r>
      <w:r w:rsidRPr="00F54B33">
        <w:t xml:space="preserve"> </w:t>
      </w:r>
      <w:proofErr w:type="spellStart"/>
      <w:r w:rsidRPr="00F54B33">
        <w:t>Abella</w:t>
      </w:r>
      <w:proofErr w:type="spellEnd"/>
      <w:r w:rsidRPr="00F54B33">
        <w:t xml:space="preserve">, </w:t>
      </w:r>
      <w:proofErr w:type="spellStart"/>
      <w:r w:rsidRPr="00F54B33">
        <w:t>Charron</w:t>
      </w:r>
      <w:proofErr w:type="spellEnd"/>
      <w:r w:rsidRPr="00F54B33">
        <w:t xml:space="preserve">, Rothstein and </w:t>
      </w:r>
      <w:r w:rsidRPr="00C43EA1">
        <w:t>Cromwell</w:t>
      </w:r>
      <w:r w:rsidR="009D6A50" w:rsidRPr="00C43EA1">
        <w:t> </w:t>
      </w:r>
      <w:r w:rsidRPr="00F54B33">
        <w:t xml:space="preserve">JJ.:  The trial judge responded correctly to the jury’s questions.  He explained that the difference between manslaughter and second degree murder is in the </w:t>
      </w:r>
      <w:proofErr w:type="spellStart"/>
      <w:r w:rsidRPr="00F54B33">
        <w:t>accused’s</w:t>
      </w:r>
      <w:proofErr w:type="spellEnd"/>
      <w:r w:rsidRPr="00F54B33">
        <w:t xml:space="preserve"> mental state.  There is no reasonable possibility that the jury misunderstood what had to be proved for a conviction of second degree murder or that they should find the accused guilty of manslaug</w:t>
      </w:r>
      <w:r w:rsidR="0019472C">
        <w:t>hter if murder was not proved.</w:t>
      </w:r>
    </w:p>
    <w:p w:rsidR="00937891" w:rsidRPr="00F54B33" w:rsidRDefault="00937891" w:rsidP="00937891">
      <w:pPr>
        <w:pStyle w:val="SCCNormalDoubleSpacing"/>
        <w:spacing w:after="480"/>
        <w:rPr>
          <w:b/>
        </w:rPr>
      </w:pPr>
      <w:r w:rsidRPr="00F54B33">
        <w:rPr>
          <w:i/>
        </w:rPr>
        <w:tab/>
      </w:r>
      <w:r w:rsidR="007F5AA9" w:rsidRPr="00F54B33">
        <w:rPr>
          <w:i/>
        </w:rPr>
        <w:t>Per</w:t>
      </w:r>
      <w:r w:rsidR="009D6A50" w:rsidRPr="00F54B33">
        <w:t xml:space="preserve"> </w:t>
      </w:r>
      <w:proofErr w:type="spellStart"/>
      <w:r w:rsidR="009D6A50" w:rsidRPr="00F54B33">
        <w:t>McLachlin</w:t>
      </w:r>
      <w:proofErr w:type="spellEnd"/>
      <w:r w:rsidR="009D6A50" w:rsidRPr="00F54B33">
        <w:t> </w:t>
      </w:r>
      <w:r w:rsidR="007F5AA9" w:rsidRPr="00F54B33">
        <w:t xml:space="preserve">C.J. </w:t>
      </w:r>
      <w:r w:rsidR="00CA6614" w:rsidRPr="00F54B33">
        <w:t xml:space="preserve">and </w:t>
      </w:r>
      <w:proofErr w:type="spellStart"/>
      <w:r w:rsidR="00CA6614" w:rsidRPr="00F54B33">
        <w:t>Deschamps</w:t>
      </w:r>
      <w:proofErr w:type="spellEnd"/>
      <w:r w:rsidR="00CA6614" w:rsidRPr="00F54B33">
        <w:t xml:space="preserve"> </w:t>
      </w:r>
      <w:r w:rsidR="007F5AA9" w:rsidRPr="00F54B33">
        <w:t xml:space="preserve">and </w:t>
      </w:r>
      <w:r w:rsidR="007F5AA9" w:rsidRPr="00C43EA1">
        <w:t>Fish</w:t>
      </w:r>
      <w:r w:rsidR="007F5AA9" w:rsidRPr="00F54B33">
        <w:rPr>
          <w:b/>
        </w:rPr>
        <w:t> </w:t>
      </w:r>
      <w:r w:rsidR="007F5AA9" w:rsidRPr="00F54B33">
        <w:t>J</w:t>
      </w:r>
      <w:r w:rsidR="00C43EA1">
        <w:t>J. (</w:t>
      </w:r>
      <w:proofErr w:type="gramStart"/>
      <w:r w:rsidR="007F5AA9" w:rsidRPr="00C43EA1">
        <w:t>dissenting</w:t>
      </w:r>
      <w:proofErr w:type="gramEnd"/>
      <w:r w:rsidR="00C43EA1">
        <w:t>)</w:t>
      </w:r>
      <w:r w:rsidR="007F5AA9" w:rsidRPr="00F54B33">
        <w:t xml:space="preserve">:  </w:t>
      </w:r>
      <w:r w:rsidRPr="00F54B33">
        <w:t xml:space="preserve">The </w:t>
      </w:r>
      <w:r w:rsidRPr="00F54B33">
        <w:rPr>
          <w:szCs w:val="24"/>
        </w:rPr>
        <w:t>failure to explain the difference between manslaughter and second</w:t>
      </w:r>
      <w:r w:rsidR="00C43EA1">
        <w:rPr>
          <w:szCs w:val="24"/>
        </w:rPr>
        <w:t xml:space="preserve"> </w:t>
      </w:r>
      <w:r w:rsidRPr="00F54B33">
        <w:rPr>
          <w:szCs w:val="24"/>
        </w:rPr>
        <w:t xml:space="preserve">degree murder was fatal. </w:t>
      </w:r>
      <w:r w:rsidRPr="00F54B33">
        <w:rPr>
          <w:b/>
          <w:szCs w:val="24"/>
        </w:rPr>
        <w:t xml:space="preserve"> </w:t>
      </w:r>
      <w:r w:rsidRPr="00F54B33">
        <w:rPr>
          <w:szCs w:val="24"/>
        </w:rPr>
        <w:t>J</w:t>
      </w:r>
      <w:r w:rsidRPr="00F54B33">
        <w:t>urors should not be required to convict an accused of one of two offences without understanding the elements of each offence and how the evidence relates to each offence</w:t>
      </w:r>
      <w:r w:rsidRPr="00F54B33">
        <w:rPr>
          <w:szCs w:val="24"/>
        </w:rPr>
        <w:t xml:space="preserve">.  The jury should have been informed that the mental element of the offence </w:t>
      </w:r>
      <w:r w:rsidRPr="00F54B33">
        <w:rPr>
          <w:szCs w:val="24"/>
        </w:rPr>
        <w:lastRenderedPageBreak/>
        <w:t xml:space="preserve">required both the intentional application of force and the objective </w:t>
      </w:r>
      <w:proofErr w:type="spellStart"/>
      <w:r w:rsidRPr="00F54B33">
        <w:rPr>
          <w:szCs w:val="24"/>
        </w:rPr>
        <w:t>foreseeability</w:t>
      </w:r>
      <w:proofErr w:type="spellEnd"/>
      <w:r w:rsidRPr="00F54B33">
        <w:rPr>
          <w:szCs w:val="24"/>
        </w:rPr>
        <w:t xml:space="preserve"> of the risk of bodily harm, which is neither trivial nor transitory, in the context of the dangerous act.  The trial judge gave the wrong definition of the bodily harm required for murder and failed to draw the jury’s attention to the question whether the </w:t>
      </w:r>
      <w:r w:rsidR="00C43EA1">
        <w:rPr>
          <w:szCs w:val="24"/>
        </w:rPr>
        <w:t xml:space="preserve">accused </w:t>
      </w:r>
      <w:r w:rsidRPr="00F54B33">
        <w:rPr>
          <w:szCs w:val="24"/>
        </w:rPr>
        <w:t>lacked the subjective foresight that distinguishes murder from manslaughter because of his extensive consumption of alcohol and drugs</w:t>
      </w:r>
      <w:r w:rsidR="0019472C">
        <w:rPr>
          <w:szCs w:val="24"/>
        </w:rPr>
        <w:t>.</w:t>
      </w:r>
    </w:p>
    <w:p w:rsidR="007E1C47" w:rsidRPr="00F54B33" w:rsidRDefault="002E6705" w:rsidP="00F002EB">
      <w:pPr>
        <w:pStyle w:val="SCCNormalDoubleSpacing"/>
        <w:keepNext/>
        <w:spacing w:after="480"/>
        <w:rPr>
          <w:b/>
        </w:rPr>
      </w:pPr>
      <w:r w:rsidRPr="00F54B33">
        <w:rPr>
          <w:b/>
        </w:rPr>
        <w:t>Cases Cited</w:t>
      </w:r>
    </w:p>
    <w:p w:rsidR="00A1551D" w:rsidRPr="00F54B33" w:rsidRDefault="00A1551D" w:rsidP="00F002EB">
      <w:pPr>
        <w:pStyle w:val="SCCNormalDoubleSpacing"/>
        <w:keepNext/>
        <w:spacing w:after="480"/>
      </w:pPr>
      <w:proofErr w:type="gramStart"/>
      <w:r w:rsidRPr="00F54B33">
        <w:t>By Cromwell J.</w:t>
      </w:r>
      <w:proofErr w:type="gramEnd"/>
    </w:p>
    <w:p w:rsidR="004E2C26" w:rsidRPr="00F54B33" w:rsidRDefault="002E6705" w:rsidP="009D6A50">
      <w:pPr>
        <w:pStyle w:val="SCCNormalDoubleSpacing"/>
        <w:spacing w:after="480"/>
      </w:pPr>
      <w:r w:rsidRPr="00F54B33">
        <w:tab/>
      </w:r>
      <w:r w:rsidR="007B35B6" w:rsidRPr="00F54B33">
        <w:rPr>
          <w:b/>
        </w:rPr>
        <w:t>Distinguished</w:t>
      </w:r>
      <w:r w:rsidRPr="00F54B33">
        <w:rPr>
          <w:b/>
        </w:rPr>
        <w:t>:</w:t>
      </w:r>
      <w:r w:rsidR="0062147D" w:rsidRPr="00F54B33">
        <w:rPr>
          <w:b/>
        </w:rPr>
        <w:t xml:space="preserve">  </w:t>
      </w:r>
      <w:r w:rsidR="0062147D" w:rsidRPr="00F54B33">
        <w:rPr>
          <w:i/>
        </w:rPr>
        <w:t>R. v. Layton</w:t>
      </w:r>
      <w:r w:rsidR="0062147D" w:rsidRPr="00F54B33">
        <w:t>, 2009 SCC 36, [2009] 2 S.C.R. 540.</w:t>
      </w:r>
      <w:r w:rsidR="00BD0E9E" w:rsidRPr="00F54B33">
        <w:t xml:space="preserve"> </w:t>
      </w:r>
    </w:p>
    <w:p w:rsidR="00A1551D" w:rsidRPr="00F54B33" w:rsidRDefault="00A1551D" w:rsidP="009D6A50">
      <w:pPr>
        <w:pStyle w:val="SCCNormalDoubleSpacing"/>
        <w:keepNext/>
        <w:spacing w:after="480"/>
      </w:pPr>
      <w:r w:rsidRPr="00F54B33">
        <w:t>By</w:t>
      </w:r>
      <w:r w:rsidR="009D6A50" w:rsidRPr="00F54B33">
        <w:t xml:space="preserve"> </w:t>
      </w:r>
      <w:r w:rsidRPr="00F54B33">
        <w:t>Fish</w:t>
      </w:r>
      <w:r w:rsidR="009D6A50" w:rsidRPr="00F54B33">
        <w:t> </w:t>
      </w:r>
      <w:r w:rsidRPr="00F54B33">
        <w:t>J.</w:t>
      </w:r>
      <w:r w:rsidR="001838E4" w:rsidRPr="00F54B33">
        <w:t xml:space="preserve"> (dissenting)</w:t>
      </w:r>
    </w:p>
    <w:p w:rsidR="00A1551D" w:rsidRPr="00F54B33" w:rsidRDefault="00A1551D" w:rsidP="009D6A50">
      <w:pPr>
        <w:pStyle w:val="SCCNormalDoubleSpacing"/>
        <w:spacing w:after="480"/>
      </w:pPr>
      <w:r w:rsidRPr="00F54B33">
        <w:tab/>
      </w:r>
      <w:proofErr w:type="gramStart"/>
      <w:r w:rsidRPr="00F54B33">
        <w:rPr>
          <w:i/>
        </w:rPr>
        <w:t>R. v. MacKay</w:t>
      </w:r>
      <w:r w:rsidRPr="00F54B33">
        <w:t xml:space="preserve">, </w:t>
      </w:r>
      <w:r w:rsidR="009A2D4C" w:rsidRPr="00F54B33">
        <w:t xml:space="preserve">2005 SCC 75, </w:t>
      </w:r>
      <w:r w:rsidRPr="00F54B33">
        <w:t>[2005] 3 S.C.R. 607</w:t>
      </w:r>
      <w:r w:rsidR="001838E4" w:rsidRPr="00F54B33">
        <w:t>;</w:t>
      </w:r>
      <w:r w:rsidRPr="00F54B33">
        <w:rPr>
          <w:i/>
        </w:rPr>
        <w:t xml:space="preserve"> </w:t>
      </w:r>
      <w:proofErr w:type="spellStart"/>
      <w:r w:rsidRPr="00F54B33">
        <w:rPr>
          <w:i/>
        </w:rPr>
        <w:t>Azoulay</w:t>
      </w:r>
      <w:proofErr w:type="spellEnd"/>
      <w:r w:rsidRPr="00F54B33">
        <w:rPr>
          <w:i/>
        </w:rPr>
        <w:t xml:space="preserve"> v.</w:t>
      </w:r>
      <w:proofErr w:type="gramEnd"/>
      <w:r w:rsidRPr="00F54B33">
        <w:rPr>
          <w:i/>
        </w:rPr>
        <w:t xml:space="preserve"> </w:t>
      </w:r>
      <w:proofErr w:type="gramStart"/>
      <w:r w:rsidRPr="00F54B33">
        <w:rPr>
          <w:i/>
        </w:rPr>
        <w:t>The Queen</w:t>
      </w:r>
      <w:r w:rsidRPr="00F54B33">
        <w:t>, [1952] 2 S.C.R. 495</w:t>
      </w:r>
      <w:r w:rsidR="005419BD" w:rsidRPr="00F54B33">
        <w:t xml:space="preserve">; </w:t>
      </w:r>
      <w:r w:rsidR="005419BD" w:rsidRPr="00F54B33">
        <w:rPr>
          <w:i/>
        </w:rPr>
        <w:t>R. v. S. (W.D.)</w:t>
      </w:r>
      <w:r w:rsidR="005419BD" w:rsidRPr="00F54B33">
        <w:t>, [1994] 3 S.C.R. 521</w:t>
      </w:r>
      <w:r w:rsidR="00520BE4" w:rsidRPr="00F54B33">
        <w:t xml:space="preserve">; </w:t>
      </w:r>
      <w:r w:rsidR="00520BE4" w:rsidRPr="00F54B33">
        <w:rPr>
          <w:i/>
        </w:rPr>
        <w:t>R. v. Daley</w:t>
      </w:r>
      <w:r w:rsidR="00520BE4" w:rsidRPr="00F54B33">
        <w:t>, 2007 SCC 53, [2007] 3 S.C.R. 523</w:t>
      </w:r>
      <w:r w:rsidR="001838E4" w:rsidRPr="00F54B33">
        <w:t>.</w:t>
      </w:r>
      <w:proofErr w:type="gramEnd"/>
    </w:p>
    <w:p w:rsidR="003B215F" w:rsidRPr="00F54B33" w:rsidRDefault="002E6705" w:rsidP="009D6A50">
      <w:pPr>
        <w:pStyle w:val="SCCNormalDoubleSpacing"/>
        <w:keepNext/>
        <w:spacing w:after="480"/>
      </w:pPr>
      <w:r w:rsidRPr="00F54B33">
        <w:rPr>
          <w:b/>
        </w:rPr>
        <w:t>Statutes and Regulations Cite</w:t>
      </w:r>
      <w:r w:rsidR="00A41805" w:rsidRPr="00F54B33">
        <w:rPr>
          <w:b/>
        </w:rPr>
        <w:t>d</w:t>
      </w:r>
    </w:p>
    <w:p w:rsidR="00B6671D" w:rsidRPr="00F54B33" w:rsidRDefault="00035767" w:rsidP="009D6A50">
      <w:pPr>
        <w:pStyle w:val="SCCNormalDoubleSpacing"/>
        <w:spacing w:after="480"/>
        <w:ind w:left="540" w:hanging="540"/>
        <w:rPr>
          <w:szCs w:val="24"/>
          <w:lang w:val="en-US"/>
        </w:rPr>
      </w:pPr>
      <w:r w:rsidRPr="00F54B33">
        <w:rPr>
          <w:i/>
          <w:lang w:val="en-US"/>
        </w:rPr>
        <w:t>Criminal Code</w:t>
      </w:r>
      <w:r w:rsidR="00F002EB" w:rsidRPr="00F54B33">
        <w:rPr>
          <w:lang w:val="en-US"/>
        </w:rPr>
        <w:t>, R.S.C. 1985, c. </w:t>
      </w:r>
      <w:r w:rsidRPr="00F54B33">
        <w:rPr>
          <w:lang w:val="en-US"/>
        </w:rPr>
        <w:t>C</w:t>
      </w:r>
      <w:r w:rsidR="00F002EB" w:rsidRPr="00F54B33">
        <w:rPr>
          <w:lang w:val="en-US"/>
        </w:rPr>
        <w:noBreakHyphen/>
      </w:r>
      <w:r w:rsidRPr="00F54B33">
        <w:rPr>
          <w:lang w:val="en-US"/>
        </w:rPr>
        <w:t>46</w:t>
      </w:r>
      <w:r w:rsidR="00ED0D85" w:rsidRPr="00F54B33">
        <w:rPr>
          <w:lang w:val="en-US"/>
        </w:rPr>
        <w:t>, s</w:t>
      </w:r>
      <w:r w:rsidR="00C318CC" w:rsidRPr="00F54B33">
        <w:rPr>
          <w:lang w:val="en-US"/>
        </w:rPr>
        <w:t>s</w:t>
      </w:r>
      <w:r w:rsidR="00F002EB" w:rsidRPr="00F54B33">
        <w:rPr>
          <w:lang w:val="en-US"/>
        </w:rPr>
        <w:t>. </w:t>
      </w:r>
      <w:r w:rsidR="00ED0D85" w:rsidRPr="00F54B33">
        <w:rPr>
          <w:lang w:val="en-US"/>
        </w:rPr>
        <w:t>229(</w:t>
      </w:r>
      <w:r w:rsidR="00ED0D85" w:rsidRPr="00F54B33">
        <w:rPr>
          <w:i/>
          <w:lang w:val="en-US"/>
        </w:rPr>
        <w:t>a</w:t>
      </w:r>
      <w:proofErr w:type="gramStart"/>
      <w:r w:rsidR="00ED0D85" w:rsidRPr="00F54B33">
        <w:rPr>
          <w:lang w:val="en-US"/>
        </w:rPr>
        <w:t>)(</w:t>
      </w:r>
      <w:proofErr w:type="gramEnd"/>
      <w:r w:rsidR="00ED0D85" w:rsidRPr="00F54B33">
        <w:rPr>
          <w:lang w:val="en-US"/>
        </w:rPr>
        <w:t>ii)</w:t>
      </w:r>
      <w:r w:rsidR="00C318CC" w:rsidRPr="00F54B33">
        <w:rPr>
          <w:lang w:val="en-US"/>
        </w:rPr>
        <w:t>, 691(1)(</w:t>
      </w:r>
      <w:r w:rsidR="00C318CC" w:rsidRPr="00F54B33">
        <w:rPr>
          <w:i/>
          <w:lang w:val="en-US"/>
        </w:rPr>
        <w:t>a</w:t>
      </w:r>
      <w:r w:rsidR="00C318CC" w:rsidRPr="00F54B33">
        <w:rPr>
          <w:lang w:val="en-US"/>
        </w:rPr>
        <w:t>)</w:t>
      </w:r>
      <w:r w:rsidR="00ED0D85" w:rsidRPr="00F54B33">
        <w:rPr>
          <w:lang w:val="en-US"/>
        </w:rPr>
        <w:t>.</w:t>
      </w:r>
      <w:r w:rsidR="00ED0D85" w:rsidRPr="00F54B33">
        <w:rPr>
          <w:szCs w:val="24"/>
          <w:lang w:val="en-US"/>
        </w:rPr>
        <w:t xml:space="preserve"> </w:t>
      </w:r>
    </w:p>
    <w:p w:rsidR="00B6671D" w:rsidRPr="00F54B33" w:rsidRDefault="00B6671D" w:rsidP="009D6A50">
      <w:pPr>
        <w:pStyle w:val="SCCNormalDoubleSpacing"/>
        <w:keepNext/>
        <w:spacing w:after="480"/>
        <w:ind w:left="547" w:hanging="547"/>
        <w:rPr>
          <w:b/>
          <w:szCs w:val="24"/>
        </w:rPr>
      </w:pPr>
      <w:r w:rsidRPr="00F54B33">
        <w:rPr>
          <w:b/>
          <w:szCs w:val="24"/>
        </w:rPr>
        <w:lastRenderedPageBreak/>
        <w:t>Authors Cited</w:t>
      </w:r>
    </w:p>
    <w:p w:rsidR="00A149DF" w:rsidRPr="00F54B33" w:rsidRDefault="00D662E4" w:rsidP="009D6A50">
      <w:pPr>
        <w:pStyle w:val="SCCNormalDoubleSpacing"/>
        <w:spacing w:after="720" w:line="240" w:lineRule="auto"/>
        <w:ind w:left="547" w:hanging="547"/>
        <w:rPr>
          <w:szCs w:val="24"/>
        </w:rPr>
      </w:pPr>
      <w:r w:rsidRPr="00F54B33">
        <w:rPr>
          <w:szCs w:val="24"/>
        </w:rPr>
        <w:fldChar w:fldCharType="begin"/>
      </w:r>
      <w:r w:rsidR="00B6671D" w:rsidRPr="00F54B33">
        <w:rPr>
          <w:szCs w:val="24"/>
        </w:rPr>
        <w:instrText xml:space="preserve"> SEQ CHAPTER \h \r 1</w:instrText>
      </w:r>
      <w:r w:rsidRPr="00F54B33">
        <w:rPr>
          <w:szCs w:val="24"/>
        </w:rPr>
        <w:fldChar w:fldCharType="end"/>
      </w:r>
      <w:r w:rsidR="00B6671D" w:rsidRPr="00F54B33">
        <w:rPr>
          <w:szCs w:val="24"/>
        </w:rPr>
        <w:t xml:space="preserve">Watt, David.  </w:t>
      </w:r>
      <w:r w:rsidR="00B6671D" w:rsidRPr="00F54B33">
        <w:rPr>
          <w:i/>
          <w:iCs/>
          <w:szCs w:val="24"/>
        </w:rPr>
        <w:t>Watt’s Manual of Criminal Jury Instructions</w:t>
      </w:r>
      <w:r w:rsidR="00B6671D" w:rsidRPr="00F54B33">
        <w:rPr>
          <w:szCs w:val="24"/>
        </w:rPr>
        <w:t>.  Toronto:  Thomson/</w:t>
      </w:r>
      <w:proofErr w:type="spellStart"/>
      <w:r w:rsidR="00B6671D" w:rsidRPr="00F54B33">
        <w:rPr>
          <w:szCs w:val="24"/>
        </w:rPr>
        <w:t>Carswell</w:t>
      </w:r>
      <w:proofErr w:type="spellEnd"/>
      <w:r w:rsidR="00B6671D" w:rsidRPr="00F54B33">
        <w:rPr>
          <w:szCs w:val="24"/>
        </w:rPr>
        <w:t>, 2005.</w:t>
      </w:r>
    </w:p>
    <w:p w:rsidR="00521916" w:rsidRPr="00F54B33" w:rsidRDefault="00BF12E8" w:rsidP="009D6A50">
      <w:pPr>
        <w:tabs>
          <w:tab w:val="left" w:pos="1170"/>
        </w:tabs>
        <w:spacing w:after="480" w:line="480" w:lineRule="auto"/>
        <w:jc w:val="both"/>
        <w:rPr>
          <w:szCs w:val="24"/>
          <w:lang w:val="en-US"/>
        </w:rPr>
      </w:pPr>
      <w:r w:rsidRPr="00F54B33">
        <w:tab/>
      </w:r>
      <w:r w:rsidR="009B57B3" w:rsidRPr="00F54B33">
        <w:t xml:space="preserve">APPEAL from a judgment of the </w:t>
      </w:r>
      <w:r w:rsidRPr="00F54B33">
        <w:t xml:space="preserve">Alberta </w:t>
      </w:r>
      <w:r w:rsidR="009B57B3" w:rsidRPr="00F54B33">
        <w:t xml:space="preserve">Court of Appeal </w:t>
      </w:r>
      <w:r w:rsidRPr="00F54B33">
        <w:t>(</w:t>
      </w:r>
      <w:r w:rsidR="00D662E4" w:rsidRPr="00F54B33">
        <w:rPr>
          <w:szCs w:val="24"/>
        </w:rPr>
        <w:fldChar w:fldCharType="begin"/>
      </w:r>
      <w:r w:rsidRPr="00F54B33">
        <w:rPr>
          <w:szCs w:val="24"/>
        </w:rPr>
        <w:instrText xml:space="preserve"> SEQ CHAPTER \h \r 1</w:instrText>
      </w:r>
      <w:r w:rsidR="00D662E4" w:rsidRPr="00F54B33">
        <w:rPr>
          <w:szCs w:val="24"/>
        </w:rPr>
        <w:fldChar w:fldCharType="end"/>
      </w:r>
      <w:proofErr w:type="spellStart"/>
      <w:r w:rsidRPr="00F54B33">
        <w:rPr>
          <w:szCs w:val="24"/>
          <w:lang w:val="en-US"/>
        </w:rPr>
        <w:t>Côté</w:t>
      </w:r>
      <w:proofErr w:type="spellEnd"/>
      <w:r w:rsidRPr="00F54B33">
        <w:rPr>
          <w:szCs w:val="24"/>
          <w:lang w:val="en-US"/>
        </w:rPr>
        <w:t xml:space="preserve">, O’Brien and McDonald JJ.A.), </w:t>
      </w:r>
      <w:r w:rsidR="00D662E4" w:rsidRPr="00F54B33">
        <w:rPr>
          <w:szCs w:val="24"/>
        </w:rPr>
        <w:fldChar w:fldCharType="begin"/>
      </w:r>
      <w:r w:rsidR="00521916" w:rsidRPr="00F54B33">
        <w:rPr>
          <w:szCs w:val="24"/>
        </w:rPr>
        <w:instrText xml:space="preserve"> SEQ CHAPTER \h \r 1</w:instrText>
      </w:r>
      <w:r w:rsidR="00D662E4" w:rsidRPr="00F54B33">
        <w:rPr>
          <w:szCs w:val="24"/>
        </w:rPr>
        <w:fldChar w:fldCharType="end"/>
      </w:r>
      <w:r w:rsidR="00521916" w:rsidRPr="00F54B33">
        <w:rPr>
          <w:szCs w:val="24"/>
          <w:lang w:val="en-US"/>
        </w:rPr>
        <w:t>2010 ABCA 115, 25 Alta. L.R. (5th) 135, 482 A.R. 115</w:t>
      </w:r>
      <w:r w:rsidR="003D02E4" w:rsidRPr="00F54B33">
        <w:rPr>
          <w:szCs w:val="24"/>
          <w:lang w:val="en-US"/>
        </w:rPr>
        <w:t>, 490 W.A.C. 115,</w:t>
      </w:r>
      <w:r w:rsidR="00521916" w:rsidRPr="00F54B33">
        <w:rPr>
          <w:szCs w:val="24"/>
          <w:lang w:val="en-US"/>
        </w:rPr>
        <w:t xml:space="preserve"> 254 C.C.C. (3d) 25, [2010</w:t>
      </w:r>
      <w:r w:rsidR="009D6A50" w:rsidRPr="00F54B33">
        <w:rPr>
          <w:szCs w:val="24"/>
          <w:lang w:val="en-US"/>
        </w:rPr>
        <w:t>] 9 W.W.R. 279, [2010] A.J. No. </w:t>
      </w:r>
      <w:r w:rsidR="00521916" w:rsidRPr="00F54B33">
        <w:rPr>
          <w:szCs w:val="24"/>
          <w:lang w:val="en-US"/>
        </w:rPr>
        <w:t xml:space="preserve">384 (QL), 2010 </w:t>
      </w:r>
      <w:proofErr w:type="spellStart"/>
      <w:r w:rsidR="00521916" w:rsidRPr="00F54B33">
        <w:rPr>
          <w:szCs w:val="24"/>
          <w:lang w:val="en-US"/>
        </w:rPr>
        <w:t>CarswellAlta</w:t>
      </w:r>
      <w:proofErr w:type="spellEnd"/>
      <w:r w:rsidR="00521916" w:rsidRPr="00F54B33">
        <w:rPr>
          <w:szCs w:val="24"/>
          <w:lang w:val="en-US"/>
        </w:rPr>
        <w:t xml:space="preserve"> 637,</w:t>
      </w:r>
      <w:r w:rsidR="009D6A50" w:rsidRPr="00F54B33">
        <w:rPr>
          <w:szCs w:val="24"/>
          <w:lang w:val="en-US"/>
        </w:rPr>
        <w:t xml:space="preserve"> </w:t>
      </w:r>
      <w:r w:rsidR="00C43EA1">
        <w:rPr>
          <w:szCs w:val="24"/>
          <w:lang w:val="en-US"/>
        </w:rPr>
        <w:t xml:space="preserve">upholding the </w:t>
      </w:r>
      <w:proofErr w:type="spellStart"/>
      <w:r w:rsidR="00C43EA1">
        <w:rPr>
          <w:szCs w:val="24"/>
          <w:lang w:val="en-US"/>
        </w:rPr>
        <w:t>accused’s</w:t>
      </w:r>
      <w:proofErr w:type="spellEnd"/>
      <w:r w:rsidR="00C43EA1">
        <w:rPr>
          <w:szCs w:val="24"/>
          <w:lang w:val="en-US"/>
        </w:rPr>
        <w:t xml:space="preserve"> conviction for second degree murder. </w:t>
      </w:r>
      <w:r w:rsidR="00521916" w:rsidRPr="00F54B33">
        <w:rPr>
          <w:szCs w:val="24"/>
          <w:lang w:val="en-US"/>
        </w:rPr>
        <w:t xml:space="preserve"> Appeal dismissed</w:t>
      </w:r>
      <w:r w:rsidR="00860019" w:rsidRPr="00F54B33">
        <w:rPr>
          <w:szCs w:val="24"/>
          <w:lang w:val="en-US"/>
        </w:rPr>
        <w:t xml:space="preserve">, </w:t>
      </w:r>
      <w:proofErr w:type="spellStart"/>
      <w:r w:rsidR="009D6A50" w:rsidRPr="00F54B33">
        <w:rPr>
          <w:szCs w:val="24"/>
          <w:lang w:val="en-US"/>
        </w:rPr>
        <w:t>McLachlin</w:t>
      </w:r>
      <w:proofErr w:type="spellEnd"/>
      <w:r w:rsidR="009D6A50" w:rsidRPr="00F54B33">
        <w:rPr>
          <w:szCs w:val="24"/>
          <w:lang w:val="en-US"/>
        </w:rPr>
        <w:t> </w:t>
      </w:r>
      <w:r w:rsidR="007B35B6" w:rsidRPr="00F54B33">
        <w:rPr>
          <w:szCs w:val="24"/>
          <w:lang w:val="en-US"/>
        </w:rPr>
        <w:t>C.J.</w:t>
      </w:r>
      <w:r w:rsidR="008C6E74" w:rsidRPr="00F54B33">
        <w:rPr>
          <w:szCs w:val="24"/>
          <w:lang w:val="en-US"/>
        </w:rPr>
        <w:t xml:space="preserve"> and </w:t>
      </w:r>
      <w:proofErr w:type="spellStart"/>
      <w:r w:rsidR="008C6E74" w:rsidRPr="00F54B33">
        <w:rPr>
          <w:szCs w:val="24"/>
          <w:lang w:val="en-US"/>
        </w:rPr>
        <w:t>Deschamps</w:t>
      </w:r>
      <w:proofErr w:type="spellEnd"/>
      <w:r w:rsidR="007B35B6" w:rsidRPr="00F54B33">
        <w:rPr>
          <w:szCs w:val="24"/>
          <w:lang w:val="en-US"/>
        </w:rPr>
        <w:t xml:space="preserve"> and </w:t>
      </w:r>
      <w:r w:rsidR="00860019" w:rsidRPr="00F54B33">
        <w:rPr>
          <w:szCs w:val="24"/>
          <w:lang w:val="en-US"/>
        </w:rPr>
        <w:t>Fish</w:t>
      </w:r>
      <w:r w:rsidR="009D6A50" w:rsidRPr="00F54B33">
        <w:rPr>
          <w:szCs w:val="24"/>
          <w:lang w:val="en-US"/>
        </w:rPr>
        <w:t> </w:t>
      </w:r>
      <w:r w:rsidR="008C6E74" w:rsidRPr="00F54B33">
        <w:rPr>
          <w:szCs w:val="24"/>
          <w:lang w:val="en-US"/>
        </w:rPr>
        <w:t>J</w:t>
      </w:r>
      <w:r w:rsidR="007B35B6" w:rsidRPr="00F54B33">
        <w:rPr>
          <w:szCs w:val="24"/>
          <w:lang w:val="en-US"/>
        </w:rPr>
        <w:t>J.</w:t>
      </w:r>
      <w:r w:rsidR="00860019" w:rsidRPr="00F54B33">
        <w:rPr>
          <w:szCs w:val="24"/>
          <w:lang w:val="en-US"/>
        </w:rPr>
        <w:t xml:space="preserve"> </w:t>
      </w:r>
      <w:proofErr w:type="gramStart"/>
      <w:r w:rsidR="00860019" w:rsidRPr="00F54B33">
        <w:rPr>
          <w:szCs w:val="24"/>
          <w:lang w:val="en-US"/>
        </w:rPr>
        <w:t>dissenting</w:t>
      </w:r>
      <w:proofErr w:type="gramEnd"/>
      <w:r w:rsidR="00521916" w:rsidRPr="00F54B33">
        <w:rPr>
          <w:szCs w:val="24"/>
          <w:lang w:val="en-US"/>
        </w:rPr>
        <w:t>.</w:t>
      </w:r>
    </w:p>
    <w:p w:rsidR="00210F5D" w:rsidRPr="00F54B33" w:rsidRDefault="009D6A50" w:rsidP="009D6A50">
      <w:pPr>
        <w:pStyle w:val="SCCNormalDoubleSpacing"/>
        <w:spacing w:after="480"/>
      </w:pPr>
      <w:r w:rsidRPr="00F54B33">
        <w:rPr>
          <w:rStyle w:val="SCCCounselNameChar"/>
        </w:rPr>
        <w:tab/>
      </w:r>
      <w:proofErr w:type="gramStart"/>
      <w:r w:rsidRPr="00F54B33">
        <w:rPr>
          <w:rStyle w:val="SCCCounselNameChar"/>
        </w:rPr>
        <w:t>Noel </w:t>
      </w:r>
      <w:r w:rsidR="00583613" w:rsidRPr="00F54B33">
        <w:rPr>
          <w:rStyle w:val="SCCCounselNameChar"/>
        </w:rPr>
        <w:t>C. O’</w:t>
      </w:r>
      <w:r w:rsidR="00BF12E8" w:rsidRPr="00F54B33">
        <w:rPr>
          <w:rStyle w:val="SCCCounselNameChar"/>
        </w:rPr>
        <w:t>Brien</w:t>
      </w:r>
      <w:r w:rsidR="00BF12E8" w:rsidRPr="00F54B33">
        <w:rPr>
          <w:rStyle w:val="SCCCounselNameChar"/>
          <w:i w:val="0"/>
        </w:rPr>
        <w:t xml:space="preserve">, </w:t>
      </w:r>
      <w:r w:rsidR="00BF12E8" w:rsidRPr="00F54B33">
        <w:rPr>
          <w:rStyle w:val="SCCCounselNameChar"/>
        </w:rPr>
        <w:t>Q.C.</w:t>
      </w:r>
      <w:r w:rsidR="00BF12E8" w:rsidRPr="00F54B33">
        <w:rPr>
          <w:rStyle w:val="SCCCounselPartyRoleChar"/>
        </w:rPr>
        <w:t>, for the appellant.</w:t>
      </w:r>
      <w:proofErr w:type="gramEnd"/>
    </w:p>
    <w:p w:rsidR="00210F5D" w:rsidRPr="00F54B33" w:rsidRDefault="00BF12E8" w:rsidP="009D6A50">
      <w:pPr>
        <w:pStyle w:val="SCCNormalDoubleSpacing"/>
        <w:spacing w:after="480"/>
      </w:pPr>
      <w:r w:rsidRPr="00F54B33">
        <w:rPr>
          <w:rStyle w:val="SCCCounselNameChar"/>
        </w:rPr>
        <w:tab/>
      </w:r>
      <w:proofErr w:type="spellStart"/>
      <w:proofErr w:type="gramStart"/>
      <w:r w:rsidRPr="00F54B33">
        <w:rPr>
          <w:rStyle w:val="SCCCounselNameChar"/>
        </w:rPr>
        <w:t>Goran</w:t>
      </w:r>
      <w:proofErr w:type="spellEnd"/>
      <w:r w:rsidRPr="00F54B33">
        <w:rPr>
          <w:rStyle w:val="SCCCounselNameChar"/>
        </w:rPr>
        <w:t xml:space="preserve"> </w:t>
      </w:r>
      <w:proofErr w:type="spellStart"/>
      <w:r w:rsidRPr="00F54B33">
        <w:rPr>
          <w:rStyle w:val="SCCCounselNameChar"/>
        </w:rPr>
        <w:t>Tomljanovic</w:t>
      </w:r>
      <w:proofErr w:type="spellEnd"/>
      <w:r w:rsidRPr="00F54B33">
        <w:rPr>
          <w:rStyle w:val="SCCCounselNameChar"/>
          <w:i w:val="0"/>
        </w:rPr>
        <w:t xml:space="preserve">, </w:t>
      </w:r>
      <w:r w:rsidRPr="00F54B33">
        <w:rPr>
          <w:rStyle w:val="SCCCounselNameChar"/>
        </w:rPr>
        <w:t>Q.C.</w:t>
      </w:r>
      <w:r w:rsidRPr="00F54B33">
        <w:rPr>
          <w:rStyle w:val="SCCCounselPartyRoleChar"/>
        </w:rPr>
        <w:t xml:space="preserve">, </w:t>
      </w:r>
      <w:r w:rsidR="00411760" w:rsidRPr="00F54B33">
        <w:rPr>
          <w:rStyle w:val="SCCCounselPartyRoleChar"/>
        </w:rPr>
        <w:t xml:space="preserve">and </w:t>
      </w:r>
      <w:proofErr w:type="spellStart"/>
      <w:r w:rsidR="00411760" w:rsidRPr="0019472C">
        <w:rPr>
          <w:rStyle w:val="SCCCounselPartyRoleChar"/>
          <w:i/>
        </w:rPr>
        <w:t>Iwona</w:t>
      </w:r>
      <w:proofErr w:type="spellEnd"/>
      <w:r w:rsidR="00411760" w:rsidRPr="0019472C">
        <w:rPr>
          <w:rStyle w:val="SCCCounselPartyRoleChar"/>
          <w:i/>
        </w:rPr>
        <w:t xml:space="preserve"> </w:t>
      </w:r>
      <w:proofErr w:type="spellStart"/>
      <w:r w:rsidR="00411760" w:rsidRPr="0019472C">
        <w:rPr>
          <w:rStyle w:val="SCCCounselPartyRoleChar"/>
          <w:i/>
        </w:rPr>
        <w:t>Kuklicz</w:t>
      </w:r>
      <w:proofErr w:type="spellEnd"/>
      <w:r w:rsidR="00411760" w:rsidRPr="0019472C">
        <w:rPr>
          <w:rStyle w:val="SCCCounselPartyRoleChar"/>
        </w:rPr>
        <w:t>,</w:t>
      </w:r>
      <w:r w:rsidR="00411760" w:rsidRPr="00F54B33">
        <w:rPr>
          <w:rStyle w:val="SCCCounselPartyRoleChar"/>
        </w:rPr>
        <w:t xml:space="preserve"> </w:t>
      </w:r>
      <w:r w:rsidRPr="00F54B33">
        <w:rPr>
          <w:rStyle w:val="SCCCounselPartyRoleChar"/>
        </w:rPr>
        <w:t>for the respondent.</w:t>
      </w:r>
      <w:proofErr w:type="gramEnd"/>
    </w:p>
    <w:p w:rsidR="00AA7F12" w:rsidRDefault="00E00E57" w:rsidP="00E6679C">
      <w:pPr>
        <w:tabs>
          <w:tab w:val="left" w:pos="-1440"/>
          <w:tab w:val="left" w:pos="-720"/>
          <w:tab w:val="left" w:pos="1170"/>
        </w:tabs>
        <w:spacing w:after="480" w:line="480" w:lineRule="auto"/>
        <w:jc w:val="both"/>
      </w:pPr>
      <w:r>
        <w:tab/>
      </w:r>
      <w:proofErr w:type="gramStart"/>
      <w:r>
        <w:t xml:space="preserve">The judgment of </w:t>
      </w:r>
      <w:proofErr w:type="spellStart"/>
      <w:r>
        <w:t>Abella</w:t>
      </w:r>
      <w:proofErr w:type="spellEnd"/>
      <w:r>
        <w:t xml:space="preserve">, </w:t>
      </w:r>
      <w:proofErr w:type="spellStart"/>
      <w:r>
        <w:t>Charron</w:t>
      </w:r>
      <w:proofErr w:type="spellEnd"/>
      <w:r>
        <w:t>, Rothstein and Cromwell JJ.</w:t>
      </w:r>
      <w:proofErr w:type="gramEnd"/>
      <w:r>
        <w:t xml:space="preserve"> </w:t>
      </w:r>
      <w:proofErr w:type="gramStart"/>
      <w:r>
        <w:t>was</w:t>
      </w:r>
      <w:proofErr w:type="gramEnd"/>
      <w:r>
        <w:t xml:space="preserve"> delivered by</w:t>
      </w:r>
    </w:p>
    <w:p w:rsidR="00E6679C" w:rsidRPr="00E01D05" w:rsidRDefault="00AA7F12" w:rsidP="00691E3C">
      <w:pPr>
        <w:pStyle w:val="ReasonsNumbering-AltN"/>
      </w:pPr>
      <w:r w:rsidRPr="00E01D05">
        <w:rPr>
          <w:smallCaps/>
        </w:rPr>
        <w:t>Cromwell J.</w:t>
      </w:r>
      <w:r w:rsidRPr="00E01D05">
        <w:t xml:space="preserve"> — </w:t>
      </w:r>
      <w:proofErr w:type="gramStart"/>
      <w:r w:rsidR="00E6679C" w:rsidRPr="00E01D05">
        <w:t>The</w:t>
      </w:r>
      <w:proofErr w:type="gramEnd"/>
      <w:r w:rsidR="00E6679C" w:rsidRPr="00E01D05">
        <w:t xml:space="preserve"> appellant admitted that he unlawfully caused the death of the victim and was therefore guilty of manslaughter.  The jury convicted on the charge of second degree murder. The only live issue at trial was whether the appellant had the required mental state for murder, that is, whether he intended to cause death or intended to cause bodily harm that he knew was likely to cause death and was reckless as to whether death ensued. This appeal as of right brought pursuant </w:t>
      </w:r>
      <w:r w:rsidR="00E6679C" w:rsidRPr="00E01D05">
        <w:lastRenderedPageBreak/>
        <w:t>to s.</w:t>
      </w:r>
      <w:r>
        <w:t xml:space="preserve"> </w:t>
      </w:r>
      <w:r w:rsidR="00E6679C" w:rsidRPr="00E01D05">
        <w:t>691(1)(</w:t>
      </w:r>
      <w:r w:rsidR="00E6679C" w:rsidRPr="00E01D05">
        <w:rPr>
          <w:i/>
        </w:rPr>
        <w:t>a</w:t>
      </w:r>
      <w:r w:rsidR="00E6679C" w:rsidRPr="00E01D05">
        <w:t xml:space="preserve">) of the </w:t>
      </w:r>
      <w:r w:rsidR="00E6679C" w:rsidRPr="00E01D05">
        <w:rPr>
          <w:i/>
        </w:rPr>
        <w:t>Criminal Code</w:t>
      </w:r>
      <w:r w:rsidR="00E6679C" w:rsidRPr="00E01D05">
        <w:t xml:space="preserve">, R.S.C. 1985, c. C-46, turns on whether the trial judge erred in his answer to questions from the jury about the offence of manslaughter, an offence which as noted the appellant admitted having committed.  </w:t>
      </w:r>
      <w:r w:rsidR="00E6679C" w:rsidRPr="00E01D05">
        <w:rPr>
          <w:color w:val="000000"/>
        </w:rPr>
        <w:t>The formal judgment of the Court of Appeal sets out the grounds of the dissent as follows:</w:t>
      </w:r>
    </w:p>
    <w:p w:rsidR="00E6679C" w:rsidRPr="00E01D05" w:rsidRDefault="00E6679C" w:rsidP="001C1433">
      <w:pPr>
        <w:pStyle w:val="Citation-AltC"/>
      </w:pPr>
      <w:r w:rsidRPr="00E01D05">
        <w:t xml:space="preserve">In this case, where the unlawful act had been admitted, it should have been explained to the jury that the </w:t>
      </w:r>
      <w:proofErr w:type="spellStart"/>
      <w:r w:rsidRPr="00E01D05">
        <w:rPr>
          <w:i/>
        </w:rPr>
        <w:t>actus</w:t>
      </w:r>
      <w:proofErr w:type="spellEnd"/>
      <w:r w:rsidRPr="00E01D05">
        <w:rPr>
          <w:i/>
        </w:rPr>
        <w:t xml:space="preserve"> </w:t>
      </w:r>
      <w:proofErr w:type="spellStart"/>
      <w:r w:rsidRPr="00E01D05">
        <w:rPr>
          <w:i/>
        </w:rPr>
        <w:t>reus</w:t>
      </w:r>
      <w:proofErr w:type="spellEnd"/>
      <w:r w:rsidRPr="00E01D05">
        <w:t xml:space="preserve"> had been admitted, namely the deliberate throwing of a heavy object into the crowd — an inherently dangerous act (which, in the circumstances of this case, amounted to an assault).  Further, the jury should have been informed that the mental element of the offence, in this instance, required both the intentional application of force (which was admitted) and the objective </w:t>
      </w:r>
      <w:proofErr w:type="spellStart"/>
      <w:r w:rsidRPr="00E01D05">
        <w:t>foreseeability</w:t>
      </w:r>
      <w:proofErr w:type="spellEnd"/>
      <w:r w:rsidRPr="00E01D05">
        <w:t xml:space="preserve"> of the risk of bodily harm, which is neither trivial nor transitory, in the context of the dangerous act.</w:t>
      </w:r>
    </w:p>
    <w:p w:rsidR="00E6679C" w:rsidRPr="00E01D05" w:rsidRDefault="00E6679C" w:rsidP="001C1433">
      <w:pPr>
        <w:pStyle w:val="ContinueReasonsNo-AltP"/>
      </w:pPr>
      <w:r w:rsidRPr="00E01D05">
        <w:t>In my view, the trial judge did not err and for the reasons of the majority</w:t>
      </w:r>
      <w:r w:rsidR="00AA7F12">
        <w:t xml:space="preserve"> of the Alberta Court of Appeal (</w:t>
      </w:r>
      <w:r w:rsidRPr="00E01D05">
        <w:t>2010 ABCA 115, 25 Alta. L.R. (5th) 135</w:t>
      </w:r>
      <w:r w:rsidR="00AA7F12">
        <w:t>)</w:t>
      </w:r>
      <w:r w:rsidRPr="00E01D05">
        <w:t xml:space="preserve">, at </w:t>
      </w:r>
      <w:proofErr w:type="spellStart"/>
      <w:r w:rsidRPr="00E01D05">
        <w:t>paras</w:t>
      </w:r>
      <w:proofErr w:type="spellEnd"/>
      <w:r w:rsidRPr="00E01D05">
        <w:t>. 21-26, I would dismiss the appeal.</w:t>
      </w:r>
    </w:p>
    <w:p w:rsidR="00E6679C" w:rsidRPr="00E01D05" w:rsidRDefault="00E6679C" w:rsidP="00691E3C">
      <w:pPr>
        <w:pStyle w:val="ReasonsNumbering-AltN"/>
      </w:pPr>
      <w:r w:rsidRPr="00E01D05">
        <w:t xml:space="preserve">I would add only that the judge responded helpfully and correctly to the jury’s questions.  Moreover, unlike the situation in </w:t>
      </w:r>
      <w:r w:rsidRPr="00E01D05">
        <w:rPr>
          <w:i/>
        </w:rPr>
        <w:t>R. v. Layton</w:t>
      </w:r>
      <w:r w:rsidRPr="00E01D05">
        <w:t>, 2009 SCC 36, [2009] 2 S.C.R. 540, the trial judge in this case encouraged the jury to pose a further question if his answer did not assist them.  The jury asked: “In ‘layman terms’ what is the difference between murder</w:t>
      </w:r>
      <w:r w:rsidR="00AA7F12">
        <w:t xml:space="preserve"> 2 and manslaughter?  Examples?  . . . </w:t>
      </w:r>
      <w:r w:rsidRPr="00E01D05">
        <w:t xml:space="preserve"> A specific definition of manslaughter?”  With the approval of both Crown and defence counsel, the judge told the jury that the difference is in the </w:t>
      </w:r>
      <w:proofErr w:type="spellStart"/>
      <w:r w:rsidRPr="00E01D05">
        <w:t>accused’s</w:t>
      </w:r>
      <w:proofErr w:type="spellEnd"/>
      <w:r w:rsidRPr="00E01D05">
        <w:t xml:space="preserve"> mental state and then </w:t>
      </w:r>
      <w:r w:rsidRPr="00E01D05">
        <w:lastRenderedPageBreak/>
        <w:t xml:space="preserve">reviewed the portion of his original charge setting out the mental element of second degree murder. He added that the jury was to take it as established that the appellant had killed the victim unlawfully but that to establish that this killing was murder, the Crown had to establish something more, the state of mind required for murder.   The judge declined to give the jury examples for fear that they would not make the difference between murder and manslaughter any clearer.  He explained to the jury that each case is driven by its own facts, and the facts of one case or one example might not truly help them.  With respect to the jury’s inquiry about a “specific definition of manslaughter”, the judge told the jury that there is no specific definition of manslaughter in the </w:t>
      </w:r>
      <w:r w:rsidRPr="00E01D05">
        <w:rPr>
          <w:i/>
        </w:rPr>
        <w:t>Criminal Code</w:t>
      </w:r>
      <w:r w:rsidRPr="00E01D05">
        <w:t>, but he could help them by saying that the killing in this case was either murder or manslaughter and that if the appellant was not proved to have had the mental state required for murder, then the killing is manslaughter.  He concluded by encouraging the jury to formulate a further question if his answers did not assist them.</w:t>
      </w:r>
    </w:p>
    <w:p w:rsidR="00E6679C" w:rsidRPr="00E01D05" w:rsidRDefault="00E6679C" w:rsidP="00691E3C">
      <w:pPr>
        <w:pStyle w:val="ReasonsNumbering-AltN"/>
      </w:pPr>
      <w:r w:rsidRPr="00E01D05">
        <w:t>In my view, there is no legal error as contended by the appellant in these instructions.  There is no reasonable possibility that the jury could have misunderstood what had to be proved in order for them to return a guilty verdict on the charge of second degree murder.  There is similarly no reasonable possibility that they could have misunderstood that if murder was not proved, they should return a guilty verdict on the offence of manslaughter, as defence counsel had urged them to do. The instructions focussed the jury on the sole issue it had to decide and gave them the correct legal principles necessary for them to do so.</w:t>
      </w:r>
    </w:p>
    <w:p w:rsidR="00E6679C" w:rsidRPr="00E01D05" w:rsidRDefault="00E6679C" w:rsidP="00B8015E">
      <w:pPr>
        <w:pStyle w:val="ReasonsNumbering-AltN"/>
      </w:pPr>
      <w:r w:rsidRPr="00E01D05">
        <w:lastRenderedPageBreak/>
        <w:t>I would dismiss the appeal.</w:t>
      </w:r>
    </w:p>
    <w:p w:rsidR="004B3117" w:rsidRDefault="00B8015E" w:rsidP="00431F6D">
      <w:pPr>
        <w:tabs>
          <w:tab w:val="left" w:pos="1080"/>
        </w:tabs>
        <w:spacing w:after="480" w:line="480" w:lineRule="auto"/>
        <w:jc w:val="both"/>
        <w:rPr>
          <w:rStyle w:val="SCCCoramChar"/>
        </w:rPr>
      </w:pPr>
      <w:r>
        <w:tab/>
      </w:r>
      <w:r w:rsidR="004B3117">
        <w:t xml:space="preserve">The reasons of </w:t>
      </w:r>
      <w:proofErr w:type="spellStart"/>
      <w:r w:rsidR="004B3117">
        <w:t>McLachlin</w:t>
      </w:r>
      <w:proofErr w:type="spellEnd"/>
      <w:proofErr w:type="gramStart"/>
      <w:r w:rsidR="004B3117">
        <w:t xml:space="preserve">  </w:t>
      </w:r>
      <w:r w:rsidR="004B3117" w:rsidRPr="0083406E">
        <w:rPr>
          <w:rStyle w:val="SCCCoramChar"/>
        </w:rPr>
        <w:t>C.J</w:t>
      </w:r>
      <w:proofErr w:type="gramEnd"/>
      <w:r w:rsidR="004B3117" w:rsidRPr="0083406E">
        <w:rPr>
          <w:rStyle w:val="SCCCoramChar"/>
        </w:rPr>
        <w:t xml:space="preserve">. and </w:t>
      </w:r>
      <w:proofErr w:type="spellStart"/>
      <w:r w:rsidR="004B3117" w:rsidRPr="0083406E">
        <w:rPr>
          <w:rStyle w:val="SCCCoramChar"/>
        </w:rPr>
        <w:t>Deschamps</w:t>
      </w:r>
      <w:proofErr w:type="spellEnd"/>
      <w:r w:rsidR="004B3117">
        <w:rPr>
          <w:rStyle w:val="SCCCoramChar"/>
        </w:rPr>
        <w:t xml:space="preserve"> and </w:t>
      </w:r>
      <w:r w:rsidR="004B3117" w:rsidRPr="0083406E">
        <w:rPr>
          <w:rStyle w:val="SCCCoramChar"/>
        </w:rPr>
        <w:t>Fish</w:t>
      </w:r>
      <w:r w:rsidR="004B3117">
        <w:rPr>
          <w:rStyle w:val="SCCCoramChar"/>
        </w:rPr>
        <w:t xml:space="preserve"> JJ. </w:t>
      </w:r>
      <w:proofErr w:type="gramStart"/>
      <w:r w:rsidR="004B3117">
        <w:rPr>
          <w:rStyle w:val="SCCCoramChar"/>
        </w:rPr>
        <w:t>were</w:t>
      </w:r>
      <w:proofErr w:type="gramEnd"/>
      <w:r w:rsidR="004B3117">
        <w:rPr>
          <w:rStyle w:val="SCCCoramChar"/>
        </w:rPr>
        <w:t xml:space="preserve"> delivered by</w:t>
      </w:r>
    </w:p>
    <w:p w:rsidR="00E6679C" w:rsidRPr="0083406E" w:rsidRDefault="00E6679C" w:rsidP="00B8015E">
      <w:pPr>
        <w:tabs>
          <w:tab w:val="left" w:pos="-1440"/>
          <w:tab w:val="left" w:pos="-720"/>
          <w:tab w:val="left" w:pos="1170"/>
        </w:tabs>
        <w:spacing w:after="480" w:line="480" w:lineRule="auto"/>
        <w:jc w:val="both"/>
      </w:pPr>
      <w:r w:rsidRPr="0083406E">
        <w:rPr>
          <w:smallCaps/>
        </w:rPr>
        <w:tab/>
        <w:t>Fish J.</w:t>
      </w:r>
      <w:r w:rsidRPr="0083406E">
        <w:t xml:space="preserve"> </w:t>
      </w:r>
      <w:r w:rsidR="000C63DC">
        <w:t xml:space="preserve">(dissenting) </w:t>
      </w:r>
      <w:r w:rsidRPr="0083406E">
        <w:t>—</w:t>
      </w:r>
    </w:p>
    <w:p w:rsidR="00E6679C" w:rsidRPr="0083406E" w:rsidRDefault="00E6679C" w:rsidP="00B8015E">
      <w:pPr>
        <w:pStyle w:val="Heading1"/>
        <w:spacing w:line="480" w:lineRule="auto"/>
        <w:jc w:val="center"/>
      </w:pPr>
      <w:r w:rsidRPr="0083406E">
        <w:t>I</w:t>
      </w:r>
    </w:p>
    <w:p w:rsidR="00E6679C" w:rsidRPr="0083406E" w:rsidRDefault="00E6679C" w:rsidP="00691E3C">
      <w:pPr>
        <w:pStyle w:val="ReasonsNumbering-AltN"/>
      </w:pPr>
      <w:r w:rsidRPr="0083406E">
        <w:t xml:space="preserve">Like O’Brien J.A., dissenting in the Court of Appeal (2010 ABCA 115, 25 Alta. L.R. (5th) 135), and for substantially the same reasons, I would allow the appeal and order a new trial. </w:t>
      </w:r>
    </w:p>
    <w:p w:rsidR="00E6679C" w:rsidRPr="0083406E" w:rsidRDefault="00E6679C" w:rsidP="00691E3C">
      <w:pPr>
        <w:pStyle w:val="ReasonsNumbering-AltN"/>
        <w:rPr>
          <w:szCs w:val="24"/>
        </w:rPr>
      </w:pPr>
      <w:r w:rsidRPr="0083406E">
        <w:t xml:space="preserve">As Justice O’Brien points out </w:t>
      </w:r>
      <w:r w:rsidRPr="0083406E">
        <w:rPr>
          <w:szCs w:val="24"/>
        </w:rPr>
        <w:t xml:space="preserve">(at </w:t>
      </w:r>
      <w:proofErr w:type="spellStart"/>
      <w:r w:rsidRPr="0083406E">
        <w:rPr>
          <w:szCs w:val="24"/>
        </w:rPr>
        <w:t>para</w:t>
      </w:r>
      <w:proofErr w:type="spellEnd"/>
      <w:r w:rsidRPr="0083406E">
        <w:rPr>
          <w:szCs w:val="24"/>
        </w:rPr>
        <w:t xml:space="preserve">. 75), the trial judge directed the jury that they were bound to convict the appellant of either murder or manslaughter.  He directed the jury on the essential elements of murder but gave them no definition and no instructions </w:t>
      </w:r>
      <w:r w:rsidRPr="0083406E">
        <w:rPr>
          <w:i/>
          <w:szCs w:val="24"/>
        </w:rPr>
        <w:t>at all</w:t>
      </w:r>
      <w:r w:rsidRPr="0083406E">
        <w:rPr>
          <w:szCs w:val="24"/>
        </w:rPr>
        <w:t xml:space="preserve"> on the essential elements of manslaughter.</w:t>
      </w:r>
    </w:p>
    <w:p w:rsidR="00E6679C" w:rsidRPr="0083406E" w:rsidRDefault="00E6679C" w:rsidP="00691E3C">
      <w:pPr>
        <w:pStyle w:val="ReasonsNumbering-AltN"/>
        <w:rPr>
          <w:szCs w:val="24"/>
        </w:rPr>
      </w:pPr>
      <w:r w:rsidRPr="0083406E">
        <w:rPr>
          <w:szCs w:val="24"/>
        </w:rPr>
        <w:t xml:space="preserve">After </w:t>
      </w:r>
      <w:r w:rsidRPr="00691E3C">
        <w:t>deliberating</w:t>
      </w:r>
      <w:r w:rsidRPr="0083406E">
        <w:rPr>
          <w:szCs w:val="24"/>
        </w:rPr>
        <w:t xml:space="preserve"> for some time, the jurors evidently needed ― and expressly requested ― further guidance. They asked the judge to explain the difference between manslaughter and second degree murder, and to provide them with a “specific definition of manslaughter”.</w:t>
      </w:r>
    </w:p>
    <w:p w:rsidR="00E6679C" w:rsidRPr="0083406E" w:rsidRDefault="00E6679C" w:rsidP="00691E3C">
      <w:pPr>
        <w:pStyle w:val="ReasonsNumbering-AltN"/>
        <w:rPr>
          <w:szCs w:val="24"/>
        </w:rPr>
      </w:pPr>
      <w:r w:rsidRPr="0083406E">
        <w:rPr>
          <w:szCs w:val="24"/>
        </w:rPr>
        <w:lastRenderedPageBreak/>
        <w:t xml:space="preserve">The judge </w:t>
      </w:r>
      <w:r w:rsidRPr="00691E3C">
        <w:t>concluded</w:t>
      </w:r>
      <w:r w:rsidRPr="0083406E">
        <w:rPr>
          <w:szCs w:val="24"/>
        </w:rPr>
        <w:t xml:space="preserve"> that the jury was having difficulty understanding the distinction between manslaughter and murder, notwithstanding what he had said in his charge. That they had asked for a definition of manslaughter, the judge said, “</w:t>
      </w:r>
      <w:proofErr w:type="gramStart"/>
      <w:r w:rsidRPr="0083406E">
        <w:rPr>
          <w:szCs w:val="24"/>
        </w:rPr>
        <w:t>would</w:t>
      </w:r>
      <w:proofErr w:type="gramEnd"/>
      <w:r w:rsidRPr="0083406E">
        <w:rPr>
          <w:szCs w:val="24"/>
        </w:rPr>
        <w:t xml:space="preserve"> tend to suggest that they are wrestling as to whether or not it is”. He nonetheless refused to give them the definition they had requested, or to provide them with any instructions as to the essential elements of manslaughter.  </w:t>
      </w:r>
    </w:p>
    <w:p w:rsidR="00E6679C" w:rsidRPr="0083406E" w:rsidRDefault="00E6679C" w:rsidP="00691E3C">
      <w:pPr>
        <w:pStyle w:val="ReasonsNumbering-AltN"/>
        <w:rPr>
          <w:szCs w:val="24"/>
        </w:rPr>
      </w:pPr>
      <w:r w:rsidRPr="0083406E">
        <w:rPr>
          <w:szCs w:val="24"/>
        </w:rPr>
        <w:t>I</w:t>
      </w:r>
      <w:r w:rsidRPr="0083406E">
        <w:t xml:space="preserve">n my view, no 12 jurors should be required by a trial judge to convict the accused placed in their charge of one or the other of two offences </w:t>
      </w:r>
      <w:r w:rsidRPr="0083406E">
        <w:rPr>
          <w:i/>
        </w:rPr>
        <w:t>without understanding how the elements of both might relate to the evidence before them</w:t>
      </w:r>
      <w:r w:rsidRPr="0083406E">
        <w:t xml:space="preserve"> (see</w:t>
      </w:r>
      <w:r w:rsidRPr="0083406E">
        <w:rPr>
          <w:i/>
        </w:rPr>
        <w:t xml:space="preserve"> R. v. MacKay</w:t>
      </w:r>
      <w:r w:rsidRPr="0083406E">
        <w:t xml:space="preserve">, 2005 SCC 75, [2005] 3 S.C.R. 607, at </w:t>
      </w:r>
      <w:proofErr w:type="spellStart"/>
      <w:r w:rsidRPr="0083406E">
        <w:t>para</w:t>
      </w:r>
      <w:proofErr w:type="spellEnd"/>
      <w:r w:rsidRPr="0083406E">
        <w:t>. 1, citing</w:t>
      </w:r>
      <w:r w:rsidRPr="0083406E">
        <w:rPr>
          <w:i/>
        </w:rPr>
        <w:t xml:space="preserve"> </w:t>
      </w:r>
      <w:proofErr w:type="spellStart"/>
      <w:r w:rsidRPr="0083406E">
        <w:rPr>
          <w:i/>
        </w:rPr>
        <w:t>Azoulay</w:t>
      </w:r>
      <w:proofErr w:type="spellEnd"/>
      <w:r w:rsidRPr="0083406E">
        <w:rPr>
          <w:i/>
        </w:rPr>
        <w:t xml:space="preserve"> v. The Queen</w:t>
      </w:r>
      <w:r w:rsidRPr="0083406E">
        <w:t xml:space="preserve">, [1952] 2 S.C.R. 495, at p. 503). </w:t>
      </w:r>
      <w:r w:rsidRPr="0083406E">
        <w:rPr>
          <w:szCs w:val="24"/>
        </w:rPr>
        <w:t xml:space="preserve"> Yet that is what happened here.</w:t>
      </w:r>
    </w:p>
    <w:p w:rsidR="00E6679C" w:rsidRDefault="00E6679C" w:rsidP="00691E3C">
      <w:pPr>
        <w:pStyle w:val="ReasonsNumbering-AltN"/>
        <w:rPr>
          <w:szCs w:val="24"/>
        </w:rPr>
      </w:pPr>
      <w:r w:rsidRPr="0083406E">
        <w:rPr>
          <w:szCs w:val="24"/>
        </w:rPr>
        <w:t xml:space="preserve">With respect for those who are of a different view, I agree with O’Brien J.A. that the trial judge thereby committed an error fatal to the jury’s verdict and that a new trial </w:t>
      </w:r>
      <w:r w:rsidRPr="00691E3C">
        <w:t>should</w:t>
      </w:r>
      <w:r w:rsidRPr="0083406E">
        <w:rPr>
          <w:szCs w:val="24"/>
        </w:rPr>
        <w:t xml:space="preserve"> be ordered for that reason.</w:t>
      </w:r>
    </w:p>
    <w:p w:rsidR="00E6679C" w:rsidRPr="0083406E" w:rsidRDefault="00E6679C" w:rsidP="003261E9">
      <w:pPr>
        <w:pStyle w:val="Heading1"/>
        <w:jc w:val="center"/>
      </w:pPr>
      <w:r w:rsidRPr="0083406E">
        <w:t>II</w:t>
      </w:r>
    </w:p>
    <w:p w:rsidR="00E6679C" w:rsidRPr="0083406E" w:rsidRDefault="00E6679C" w:rsidP="00691E3C">
      <w:pPr>
        <w:pStyle w:val="ReasonsNumbering-AltN"/>
        <w:rPr>
          <w:szCs w:val="24"/>
        </w:rPr>
      </w:pPr>
      <w:r w:rsidRPr="0083406E">
        <w:rPr>
          <w:szCs w:val="24"/>
        </w:rPr>
        <w:t xml:space="preserve">Speaking for the majority </w:t>
      </w:r>
      <w:r w:rsidRPr="0083406E">
        <w:t xml:space="preserve">in </w:t>
      </w:r>
      <w:r w:rsidRPr="0083406E">
        <w:rPr>
          <w:i/>
        </w:rPr>
        <w:t>R. v. S. (W.D.)</w:t>
      </w:r>
      <w:r w:rsidRPr="0083406E">
        <w:t xml:space="preserve">, [1994] 3 S.C.R. 521, Cory J.  </w:t>
      </w:r>
      <w:proofErr w:type="gramStart"/>
      <w:r w:rsidRPr="0083406E">
        <w:t>reaffirmed</w:t>
      </w:r>
      <w:proofErr w:type="gramEnd"/>
      <w:r w:rsidRPr="0083406E">
        <w:t xml:space="preserve"> the particular significance of questions from the jury and the paramount duty of trial judges to answer them “</w:t>
      </w:r>
      <w:r w:rsidRPr="0083406E">
        <w:rPr>
          <w:szCs w:val="24"/>
        </w:rPr>
        <w:t>clearly, correctly and comprehensively” (p. 528).</w:t>
      </w:r>
      <w:r w:rsidRPr="0083406E">
        <w:t xml:space="preserve">   “E</w:t>
      </w:r>
      <w:r w:rsidRPr="0083406E">
        <w:rPr>
          <w:szCs w:val="24"/>
        </w:rPr>
        <w:t xml:space="preserve">ven if the question relates to a matter that has been carefully reviewed in the main charge,” Justice Cory added, “it still must be answered in a complete and careful </w:t>
      </w:r>
      <w:r w:rsidRPr="0083406E">
        <w:rPr>
          <w:szCs w:val="24"/>
        </w:rPr>
        <w:lastRenderedPageBreak/>
        <w:t>manner”. And, again: “The jury must be given a full and proper response to their question. The jury is entitled to no less.” That is the law.</w:t>
      </w:r>
    </w:p>
    <w:p w:rsidR="00E6679C" w:rsidRPr="0083406E" w:rsidRDefault="00E6679C" w:rsidP="00691E3C">
      <w:pPr>
        <w:pStyle w:val="ReasonsNumbering-AltN"/>
        <w:rPr>
          <w:szCs w:val="24"/>
        </w:rPr>
      </w:pPr>
      <w:r w:rsidRPr="0083406E">
        <w:t>Here, as we have seen, the judge well understo</w:t>
      </w:r>
      <w:r w:rsidR="000C63DC">
        <w:t>od the significance of the jury’</w:t>
      </w:r>
      <w:r w:rsidRPr="0083406E">
        <w:t>s question. The jurors needed and sought further instructions as to the distinction between manslaughter and second degree murder. To better understand that distinction, upon which their verdict entirely depended, the jury requested a definition of manslaughter. Their request could have been easily satisfied by a simple instruction as to its essential elements and how they related to the main items of evidence. Instead, the jury received an unhelpful response.</w:t>
      </w:r>
    </w:p>
    <w:p w:rsidR="00E6679C" w:rsidRPr="0083406E" w:rsidRDefault="00E6679C" w:rsidP="00691E3C">
      <w:pPr>
        <w:pStyle w:val="ReasonsNumbering-AltN"/>
        <w:rPr>
          <w:szCs w:val="24"/>
        </w:rPr>
      </w:pPr>
      <w:r w:rsidRPr="0083406E">
        <w:rPr>
          <w:szCs w:val="24"/>
        </w:rPr>
        <w:t xml:space="preserve">As O’Brien J.A. </w:t>
      </w:r>
      <w:r w:rsidRPr="00691E3C">
        <w:t>states</w:t>
      </w:r>
      <w:r w:rsidRPr="0083406E">
        <w:rPr>
          <w:szCs w:val="24"/>
        </w:rPr>
        <w:t xml:space="preserve"> (at </w:t>
      </w:r>
      <w:proofErr w:type="spellStart"/>
      <w:r w:rsidRPr="0083406E">
        <w:rPr>
          <w:szCs w:val="24"/>
        </w:rPr>
        <w:t>paras</w:t>
      </w:r>
      <w:proofErr w:type="spellEnd"/>
      <w:r w:rsidRPr="0083406E">
        <w:rPr>
          <w:szCs w:val="24"/>
        </w:rPr>
        <w:t xml:space="preserve">. 84 and 88): </w:t>
      </w:r>
    </w:p>
    <w:p w:rsidR="00E6679C" w:rsidRPr="0083406E" w:rsidRDefault="00E6679C" w:rsidP="001C1433">
      <w:pPr>
        <w:pStyle w:val="Citation-AltC"/>
        <w:spacing w:after="240"/>
        <w:contextualSpacing w:val="0"/>
        <w:rPr>
          <w:szCs w:val="24"/>
        </w:rPr>
      </w:pPr>
      <w:r w:rsidRPr="0083406E">
        <w:rPr>
          <w:szCs w:val="24"/>
        </w:rPr>
        <w:t xml:space="preserve">The answer provided by the trial judge to the jury did little to explain the distinction. It starts with the reiteration that it was proven that there was an “unlawful taking of life”. This, of course, is applicable both to murder and manslaughter. The judge then read selected portions of the charge, which the jury already had in its possession in written form. </w:t>
      </w:r>
    </w:p>
    <w:p w:rsidR="00E6679C" w:rsidRPr="0083406E" w:rsidRDefault="000C63DC" w:rsidP="000C63DC">
      <w:pPr>
        <w:pStyle w:val="Citation-AltC"/>
        <w:spacing w:after="240"/>
        <w:contextualSpacing w:val="0"/>
        <w:jc w:val="center"/>
        <w:rPr>
          <w:szCs w:val="24"/>
        </w:rPr>
      </w:pPr>
      <w:r>
        <w:rPr>
          <w:szCs w:val="24"/>
        </w:rPr>
        <w:t>. . .</w:t>
      </w:r>
    </w:p>
    <w:p w:rsidR="00E6679C" w:rsidRPr="0083406E" w:rsidRDefault="00E6679C" w:rsidP="001C1433">
      <w:pPr>
        <w:pStyle w:val="Citation-AltC"/>
        <w:rPr>
          <w:szCs w:val="24"/>
        </w:rPr>
      </w:pPr>
      <w:r w:rsidRPr="0083406E">
        <w:rPr>
          <w:szCs w:val="24"/>
        </w:rPr>
        <w:t xml:space="preserve">It is not, of course, incumbent on the appellant to identify the reason why the jury was having difficulty distinguishing between the two offences. Here, it comes down simply to this. The jury was being asked to convict the appellant either of murder or manslaughter. For whatever reason, the jury wanted to be informed as to what, as a matter of law, constituted manslaughter. The question was directed at a relevant and live issue and I can think of no good reason for depriving the jury of that instruction. </w:t>
      </w:r>
    </w:p>
    <w:p w:rsidR="00E6679C" w:rsidRPr="0083406E" w:rsidRDefault="00E6679C" w:rsidP="00691E3C">
      <w:pPr>
        <w:pStyle w:val="ReasonsNumbering-AltN"/>
      </w:pPr>
      <w:r w:rsidRPr="0083406E">
        <w:lastRenderedPageBreak/>
        <w:t xml:space="preserve">It appears from the record that the trial judge opted not to outline the elements of manslaughter for two reasons: </w:t>
      </w:r>
      <w:r w:rsidR="000C63DC">
        <w:t>f</w:t>
      </w:r>
      <w:r w:rsidRPr="0083406E">
        <w:t>irst, because to do so might increase the jury’s confusion (for lay people, he explained, the concept “is not something that is necessarily easy to grasp”); and second, because the jury might as a result of his instruction acquit the accused of manslaughter, contrary to his express direction that it was not open to them to do so.</w:t>
      </w:r>
    </w:p>
    <w:p w:rsidR="00E6679C" w:rsidRPr="0083406E" w:rsidRDefault="00E6679C" w:rsidP="00691E3C">
      <w:pPr>
        <w:pStyle w:val="ReasonsNumbering-AltN"/>
      </w:pPr>
      <w:r w:rsidRPr="0083406E">
        <w:t>With respect, I agree with O’Brien J.A. that these rationales for withholding the requested assistance “</w:t>
      </w:r>
      <w:proofErr w:type="spellStart"/>
      <w:r w:rsidRPr="0083406E">
        <w:t>denigrat</w:t>
      </w:r>
      <w:proofErr w:type="spellEnd"/>
      <w:r w:rsidRPr="0083406E">
        <w:t>[e] the role of the jury” (</w:t>
      </w:r>
      <w:proofErr w:type="spellStart"/>
      <w:r w:rsidRPr="0083406E">
        <w:t>para</w:t>
      </w:r>
      <w:proofErr w:type="spellEnd"/>
      <w:r w:rsidRPr="0083406E">
        <w:t>. 89), whose “collective wisdom and intelligence” the law should and does presume (</w:t>
      </w:r>
      <w:r w:rsidRPr="0083406E">
        <w:rPr>
          <w:i/>
        </w:rPr>
        <w:t>R. v. Daley</w:t>
      </w:r>
      <w:r w:rsidRPr="0083406E">
        <w:t xml:space="preserve">, 2007 SCC 53, [2007] 3 S.C.R. 523, at </w:t>
      </w:r>
      <w:proofErr w:type="spellStart"/>
      <w:r w:rsidRPr="0083406E">
        <w:t>para</w:t>
      </w:r>
      <w:proofErr w:type="spellEnd"/>
      <w:r w:rsidRPr="0083406E">
        <w:t xml:space="preserve">. 139).  I reject the proposition that jurors can be confused, and deterred from doing their duty, by a clear explanation of the very law they are duty-bound to apply.   </w:t>
      </w:r>
    </w:p>
    <w:p w:rsidR="00E6679C" w:rsidRPr="0083406E" w:rsidRDefault="00E6679C" w:rsidP="00691E3C">
      <w:pPr>
        <w:pStyle w:val="ReasonsNumbering-AltN"/>
        <w:rPr>
          <w:szCs w:val="24"/>
        </w:rPr>
      </w:pPr>
      <w:r w:rsidRPr="0083406E">
        <w:t>Moreover, the trial judge could easily have satisfied the jury’s request by adopting the model instructions for unlawful act manslaughter set out, for example, in D.</w:t>
      </w:r>
      <w:r w:rsidRPr="0083406E">
        <w:rPr>
          <w:szCs w:val="24"/>
        </w:rPr>
        <w:t xml:space="preserve"> Watt, </w:t>
      </w:r>
      <w:r w:rsidRPr="0083406E">
        <w:rPr>
          <w:i/>
          <w:szCs w:val="24"/>
        </w:rPr>
        <w:t>Watt’s</w:t>
      </w:r>
      <w:r w:rsidRPr="0083406E">
        <w:rPr>
          <w:szCs w:val="24"/>
        </w:rPr>
        <w:t xml:space="preserve"> </w:t>
      </w:r>
      <w:r w:rsidRPr="0083406E">
        <w:rPr>
          <w:i/>
          <w:szCs w:val="24"/>
        </w:rPr>
        <w:t>Manual of Criminal Jury Instructions</w:t>
      </w:r>
      <w:r w:rsidRPr="0083406E">
        <w:rPr>
          <w:szCs w:val="24"/>
        </w:rPr>
        <w:t xml:space="preserve"> (2005), at pp. 472-73, upon which the judge had relied in preparing other elements of his charge.  </w:t>
      </w:r>
    </w:p>
    <w:p w:rsidR="00E6679C" w:rsidRPr="0083406E" w:rsidRDefault="00E6679C" w:rsidP="00691E3C">
      <w:pPr>
        <w:pStyle w:val="ReasonsNumbering-AltN"/>
        <w:rPr>
          <w:szCs w:val="24"/>
        </w:rPr>
      </w:pPr>
      <w:r w:rsidRPr="0083406E">
        <w:rPr>
          <w:szCs w:val="24"/>
        </w:rPr>
        <w:t xml:space="preserve">Instead, the jury was left to reject the manslaughter alternative urged upon them by defence </w:t>
      </w:r>
      <w:r w:rsidRPr="00691E3C">
        <w:t>counsel</w:t>
      </w:r>
      <w:r w:rsidRPr="0083406E">
        <w:rPr>
          <w:szCs w:val="24"/>
        </w:rPr>
        <w:t xml:space="preserve"> without any instruction in law as to its constituent elements. Unwilling and unable to do so in good conscience, the jurors requested ― </w:t>
      </w:r>
      <w:r w:rsidRPr="0083406E">
        <w:rPr>
          <w:szCs w:val="24"/>
        </w:rPr>
        <w:lastRenderedPageBreak/>
        <w:t xml:space="preserve">but never received ― the assistance of the trial judge to which they were by law entitled.  </w:t>
      </w:r>
    </w:p>
    <w:p w:rsidR="00E6679C" w:rsidRPr="0083406E" w:rsidRDefault="00E6679C" w:rsidP="00691E3C">
      <w:pPr>
        <w:pStyle w:val="ReasonsNumbering-AltN"/>
        <w:rPr>
          <w:szCs w:val="24"/>
        </w:rPr>
      </w:pPr>
      <w:r w:rsidRPr="0083406E">
        <w:t>The submissions and concessions by counsel did not displace the judge’s obligation to explain the essential elements of every offence left open to the jury, to relate the main items of evidence to each of those elements ― and to answer the jury’s questions, if any, clearly and responsively. That was not done here.</w:t>
      </w:r>
    </w:p>
    <w:p w:rsidR="00E6679C" w:rsidRPr="0083406E" w:rsidRDefault="00E6679C" w:rsidP="00691E3C">
      <w:pPr>
        <w:pStyle w:val="ReasonsNumbering-AltN"/>
      </w:pPr>
      <w:r w:rsidRPr="0083406E">
        <w:t xml:space="preserve">As O’Brien J.A. concluded (at </w:t>
      </w:r>
      <w:proofErr w:type="spellStart"/>
      <w:r w:rsidRPr="0083406E">
        <w:t>paras</w:t>
      </w:r>
      <w:proofErr w:type="spellEnd"/>
      <w:r w:rsidRPr="0083406E">
        <w:t xml:space="preserve">. 89-90): </w:t>
      </w:r>
    </w:p>
    <w:p w:rsidR="00E6679C" w:rsidRPr="0083406E" w:rsidRDefault="00E6679C" w:rsidP="003261E9">
      <w:pPr>
        <w:pStyle w:val="Citation-AltC"/>
        <w:spacing w:after="240"/>
        <w:ind w:firstLine="274"/>
        <w:contextualSpacing w:val="0"/>
      </w:pPr>
      <w:r w:rsidRPr="0083406E">
        <w:t>The jury had to determine if the facts in evidence established murder or manslaughter ― one or the other. The responsibility lay with the trial judge to instruct on relevant matters of law. It cannot be said in circumstances such as these that knowledge of what constitutes manslaughter is not material. .</w:t>
      </w:r>
      <w:r w:rsidR="000C63DC">
        <w:t> </w:t>
      </w:r>
      <w:r w:rsidRPr="0083406E">
        <w:t>.</w:t>
      </w:r>
      <w:r w:rsidR="000C63DC">
        <w:t> </w:t>
      </w:r>
      <w:r w:rsidRPr="0083406E">
        <w:t>.</w:t>
      </w:r>
    </w:p>
    <w:p w:rsidR="00E6679C" w:rsidRPr="0083406E" w:rsidRDefault="00E6679C" w:rsidP="003261E9">
      <w:pPr>
        <w:pStyle w:val="Citation-AltC"/>
      </w:pPr>
      <w:r w:rsidRPr="0083406E">
        <w:tab/>
        <w:t>.</w:t>
      </w:r>
      <w:r w:rsidR="000C63DC">
        <w:t> </w:t>
      </w:r>
      <w:r w:rsidRPr="0083406E">
        <w:t>.</w:t>
      </w:r>
      <w:r w:rsidR="000C63DC">
        <w:t> </w:t>
      </w:r>
      <w:r w:rsidRPr="0083406E">
        <w:t>. The jury was entitled to make an informed decision through knowing beforehand what constituted each of the offences, so as to better distinguish between them.</w:t>
      </w:r>
    </w:p>
    <w:p w:rsidR="00E6679C" w:rsidRPr="0083406E" w:rsidRDefault="00E6679C" w:rsidP="003261E9">
      <w:pPr>
        <w:pStyle w:val="Heading1"/>
        <w:jc w:val="center"/>
        <w:rPr>
          <w:b/>
        </w:rPr>
      </w:pPr>
      <w:r w:rsidRPr="0083406E">
        <w:t>III</w:t>
      </w:r>
    </w:p>
    <w:p w:rsidR="00E6679C" w:rsidRPr="0083406E" w:rsidRDefault="00E6679C" w:rsidP="00691E3C">
      <w:pPr>
        <w:pStyle w:val="ReasonsNumbering-AltN"/>
      </w:pPr>
      <w:r w:rsidRPr="0083406E">
        <w:rPr>
          <w:szCs w:val="24"/>
        </w:rPr>
        <w:t xml:space="preserve">This appeal is before us as of right on the strength of O’Brien J.A.’s dissent in the Court of Appeal. </w:t>
      </w:r>
      <w:r w:rsidRPr="00691E3C">
        <w:t>For</w:t>
      </w:r>
      <w:r w:rsidRPr="0083406E">
        <w:rPr>
          <w:szCs w:val="24"/>
        </w:rPr>
        <w:t xml:space="preserve"> the reasons </w:t>
      </w:r>
      <w:r>
        <w:rPr>
          <w:szCs w:val="24"/>
        </w:rPr>
        <w:t xml:space="preserve">already mentioned, I agree with </w:t>
      </w:r>
      <w:r w:rsidRPr="0083406E">
        <w:rPr>
          <w:szCs w:val="24"/>
        </w:rPr>
        <w:t xml:space="preserve">O’Brien </w:t>
      </w:r>
      <w:r>
        <w:rPr>
          <w:szCs w:val="24"/>
        </w:rPr>
        <w:t xml:space="preserve">J.A. </w:t>
      </w:r>
      <w:r w:rsidRPr="0083406E">
        <w:rPr>
          <w:szCs w:val="24"/>
        </w:rPr>
        <w:t xml:space="preserve">that the trial judge’s failure to define the elements of manslaughter amounted in itself to reversible error. I agree as well that the jury “should have been informed that the mental element of the offence, in this instance, required both the intentional application of force (which was admitted) and the objective </w:t>
      </w:r>
      <w:proofErr w:type="spellStart"/>
      <w:r w:rsidRPr="0083406E">
        <w:rPr>
          <w:szCs w:val="24"/>
        </w:rPr>
        <w:t>foreseeability</w:t>
      </w:r>
      <w:proofErr w:type="spellEnd"/>
      <w:r>
        <w:rPr>
          <w:szCs w:val="24"/>
        </w:rPr>
        <w:t xml:space="preserve"> </w:t>
      </w:r>
      <w:r w:rsidRPr="0083406E">
        <w:rPr>
          <w:szCs w:val="24"/>
        </w:rPr>
        <w:lastRenderedPageBreak/>
        <w:t>of the risk of bodily harm, which is neither trivial nor transitory, in the context of the dange</w:t>
      </w:r>
      <w:r w:rsidR="000C63DC">
        <w:rPr>
          <w:szCs w:val="24"/>
        </w:rPr>
        <w:t>rous act” (</w:t>
      </w:r>
      <w:proofErr w:type="spellStart"/>
      <w:r w:rsidR="000C63DC">
        <w:rPr>
          <w:szCs w:val="24"/>
        </w:rPr>
        <w:t>para</w:t>
      </w:r>
      <w:proofErr w:type="spellEnd"/>
      <w:r w:rsidR="00100F67">
        <w:rPr>
          <w:szCs w:val="24"/>
        </w:rPr>
        <w:t>.</w:t>
      </w:r>
      <w:r w:rsidR="000C63DC">
        <w:rPr>
          <w:szCs w:val="24"/>
        </w:rPr>
        <w:t xml:space="preserve"> 92</w:t>
      </w:r>
      <w:r w:rsidRPr="0083406E">
        <w:rPr>
          <w:szCs w:val="24"/>
        </w:rPr>
        <w:t>).</w:t>
      </w:r>
    </w:p>
    <w:p w:rsidR="00E6679C" w:rsidRPr="0083406E" w:rsidRDefault="00E6679C" w:rsidP="00691E3C">
      <w:pPr>
        <w:pStyle w:val="ReasonsNumbering-AltN"/>
      </w:pPr>
      <w:r w:rsidRPr="0083406E">
        <w:t>In this light, two aspects of the judge’s charge are of particular concern.</w:t>
      </w:r>
    </w:p>
    <w:p w:rsidR="00E6679C" w:rsidRPr="0083406E" w:rsidRDefault="00E6679C" w:rsidP="00691E3C">
      <w:pPr>
        <w:pStyle w:val="ReasonsNumbering-AltN"/>
      </w:pPr>
      <w:r w:rsidRPr="0083406E">
        <w:t>First, the judge blurred the lines between murder and manslaughter by defining the bodily harm required for murder under s. 229(</w:t>
      </w:r>
      <w:r w:rsidRPr="0083406E">
        <w:rPr>
          <w:i/>
        </w:rPr>
        <w:t>a</w:t>
      </w:r>
      <w:r w:rsidRPr="0083406E">
        <w:t xml:space="preserve">)(ii) of the </w:t>
      </w:r>
      <w:r w:rsidRPr="0083406E">
        <w:rPr>
          <w:i/>
        </w:rPr>
        <w:t>Criminal Code</w:t>
      </w:r>
      <w:r w:rsidRPr="0083406E">
        <w:t xml:space="preserve">, R.S.C. 1985, c. C-46, as “any hurt or injury that interferes with health or comfort, and it has to be more than something that is just brief or fleeting or minor in nature”. As O’Brien J.A. explains (at </w:t>
      </w:r>
      <w:proofErr w:type="spellStart"/>
      <w:r w:rsidRPr="0083406E">
        <w:t>para</w:t>
      </w:r>
      <w:proofErr w:type="spellEnd"/>
      <w:r w:rsidRPr="0083406E">
        <w:t xml:space="preserve">. 86): </w:t>
      </w:r>
    </w:p>
    <w:p w:rsidR="00E6679C" w:rsidRPr="0083406E" w:rsidRDefault="00E6679C" w:rsidP="003261E9">
      <w:pPr>
        <w:pStyle w:val="Citation-AltC"/>
      </w:pPr>
      <w:r w:rsidRPr="0083406E">
        <w:tab/>
        <w:t xml:space="preserve">This quality of bodily harm relates to the offence of manslaughter, not murder, and may have caused some confusion for the jury and caused the jury members to diminish the intent required </w:t>
      </w:r>
      <w:proofErr w:type="gramStart"/>
      <w:r w:rsidRPr="0083406E">
        <w:t>to establish</w:t>
      </w:r>
      <w:proofErr w:type="gramEnd"/>
      <w:r w:rsidRPr="0083406E">
        <w:t xml:space="preserve"> murder. This is especially so as this erroneous part was repeated to the jury in response to its question.</w:t>
      </w:r>
    </w:p>
    <w:p w:rsidR="00E6679C" w:rsidRPr="0083406E" w:rsidRDefault="00E6679C" w:rsidP="00691E3C">
      <w:pPr>
        <w:pStyle w:val="ReasonsNumbering-AltN"/>
      </w:pPr>
      <w:r w:rsidRPr="0083406E">
        <w:t>Second, in summarizing the position of the defence, the trial judge failed to draw the jury’s attention to its most important component: that the appellant, because of his extensive consumption of alcohol and drugs during the hours preceding the incident, lacked the subjective foresight that distinguishes murder from manslaughter, as a matter of law. And yet, as the Crown quite properly acknowledges in its factum, one of the main issues in the case was “whether intoxication raised a doubt about the intent for murder” (R.F.</w:t>
      </w:r>
      <w:r w:rsidR="000C63DC">
        <w:t>,</w:t>
      </w:r>
      <w:r w:rsidRPr="0083406E">
        <w:t xml:space="preserve"> </w:t>
      </w:r>
      <w:r>
        <w:t xml:space="preserve">at </w:t>
      </w:r>
      <w:proofErr w:type="spellStart"/>
      <w:r w:rsidRPr="0083406E">
        <w:t>para</w:t>
      </w:r>
      <w:proofErr w:type="spellEnd"/>
      <w:r w:rsidRPr="0083406E">
        <w:t xml:space="preserve">. 1); and accordingly, in pre-charge discussions with the trial judge, “defence counsel agreed with the trial judge’s </w:t>
      </w:r>
      <w:proofErr w:type="spellStart"/>
      <w:r>
        <w:lastRenderedPageBreak/>
        <w:t>suggestio</w:t>
      </w:r>
      <w:proofErr w:type="spellEnd"/>
      <w:r>
        <w:t>[</w:t>
      </w:r>
      <w:r w:rsidRPr="0083406E">
        <w:t>n</w:t>
      </w:r>
      <w:r>
        <w:t>]</w:t>
      </w:r>
      <w:r w:rsidRPr="0083406E">
        <w:t xml:space="preserve"> that</w:t>
      </w:r>
      <w:r>
        <w:t xml:space="preserve"> . . . </w:t>
      </w:r>
      <w:r w:rsidRPr="0083406E">
        <w:t>the jury instruction should focus the jury on the real issues, intent and intoxication” (R.F.</w:t>
      </w:r>
      <w:r w:rsidR="000C63DC">
        <w:t xml:space="preserve">, </w:t>
      </w:r>
      <w:r>
        <w:t xml:space="preserve">at </w:t>
      </w:r>
      <w:proofErr w:type="spellStart"/>
      <w:r w:rsidRPr="0083406E">
        <w:t>para</w:t>
      </w:r>
      <w:proofErr w:type="spellEnd"/>
      <w:r w:rsidRPr="0083406E">
        <w:t xml:space="preserve">. 9). It is undisputed that a proper evidentiary basis for this submission had been adduced at trial.  </w:t>
      </w:r>
    </w:p>
    <w:p w:rsidR="00E6679C" w:rsidRPr="0083406E" w:rsidRDefault="00E6679C" w:rsidP="003261E9">
      <w:pPr>
        <w:pStyle w:val="Heading1"/>
        <w:jc w:val="center"/>
      </w:pPr>
      <w:r w:rsidRPr="0083406E">
        <w:t>IV</w:t>
      </w:r>
    </w:p>
    <w:p w:rsidR="00E6679C" w:rsidRPr="0083406E" w:rsidRDefault="00E6679C" w:rsidP="00691E3C">
      <w:pPr>
        <w:pStyle w:val="ReasonsNumbering-AltN"/>
      </w:pPr>
      <w:r w:rsidRPr="0083406E">
        <w:t>Finally, I derive no comfort from the trial judge’s invitation to the jury to formulate a further question if his response to the questions they had already asked did not assist them (</w:t>
      </w:r>
      <w:proofErr w:type="spellStart"/>
      <w:r w:rsidRPr="0083406E">
        <w:t>paras</w:t>
      </w:r>
      <w:proofErr w:type="spellEnd"/>
      <w:r w:rsidRPr="0083406E">
        <w:t xml:space="preserve">. 94-95).  </w:t>
      </w:r>
    </w:p>
    <w:p w:rsidR="00E6679C" w:rsidRPr="0083406E" w:rsidRDefault="00E6679C" w:rsidP="00691E3C">
      <w:pPr>
        <w:pStyle w:val="ReasonsNumbering-AltN"/>
      </w:pPr>
      <w:r w:rsidRPr="0083406E">
        <w:t xml:space="preserve">The jury had already formulated their sole concern ― the distinction between the two offences left open to them by the judge ― in three different ways.  The judge indicated to the jury that he had responded to their questions to the best of his ability “as constrained by the law”. However well intentioned, the judge’s invitation could not reasonably have encouraged the jury to formulate further questions on the same subject. </w:t>
      </w:r>
    </w:p>
    <w:p w:rsidR="00E6679C" w:rsidRPr="0083406E" w:rsidRDefault="00E6679C" w:rsidP="00691E3C">
      <w:pPr>
        <w:pStyle w:val="ReasonsNumbering-AltN"/>
      </w:pPr>
      <w:r w:rsidRPr="0083406E">
        <w:t xml:space="preserve">The jurors can hardly be expected to have later asked, once again, for a definition of manslaughter, or for its essential elements. And even if they had, they would presumably have received the response already given which, in my respectful view, was plainly inadequate.  </w:t>
      </w:r>
    </w:p>
    <w:p w:rsidR="00E6679C" w:rsidRPr="0083406E" w:rsidRDefault="00E6679C" w:rsidP="003261E9">
      <w:pPr>
        <w:pStyle w:val="Heading1"/>
        <w:jc w:val="center"/>
      </w:pPr>
      <w:r w:rsidRPr="0083406E">
        <w:t>V</w:t>
      </w:r>
    </w:p>
    <w:p w:rsidR="00E6679C" w:rsidRPr="0083406E" w:rsidRDefault="00E6679C" w:rsidP="00691E3C">
      <w:pPr>
        <w:pStyle w:val="ReasonsNumbering-AltN"/>
      </w:pPr>
      <w:r w:rsidRPr="0083406E">
        <w:lastRenderedPageBreak/>
        <w:t xml:space="preserve">For all these reasons, and with great respect, I would allow the appeal, quash the conviction, and order a new trial. </w:t>
      </w:r>
    </w:p>
    <w:p w:rsidR="009B57B3" w:rsidRPr="00F54B33" w:rsidRDefault="00D203F7" w:rsidP="009D6A50">
      <w:pPr>
        <w:pStyle w:val="SCCNormalDoubleSpacing"/>
        <w:spacing w:after="480"/>
      </w:pPr>
      <w:r w:rsidRPr="00F54B33">
        <w:tab/>
      </w:r>
      <w:r w:rsidRPr="00F54B33">
        <w:rPr>
          <w:i/>
        </w:rPr>
        <w:t>Ap</w:t>
      </w:r>
      <w:r w:rsidR="00656313" w:rsidRPr="00F54B33">
        <w:rPr>
          <w:i/>
        </w:rPr>
        <w:t>peal</w:t>
      </w:r>
      <w:r w:rsidRPr="00F54B33">
        <w:rPr>
          <w:i/>
        </w:rPr>
        <w:t xml:space="preserve"> dismissed</w:t>
      </w:r>
      <w:r w:rsidR="009A2D4C" w:rsidRPr="00F54B33">
        <w:rPr>
          <w:i/>
          <w:szCs w:val="24"/>
          <w:lang w:val="en-US"/>
        </w:rPr>
        <w:t xml:space="preserve">, </w:t>
      </w:r>
      <w:proofErr w:type="spellStart"/>
      <w:r w:rsidR="009D6A50" w:rsidRPr="00F54B33">
        <w:rPr>
          <w:smallCaps/>
          <w:szCs w:val="24"/>
          <w:lang w:val="en-US"/>
        </w:rPr>
        <w:t>Mc</w:t>
      </w:r>
      <w:r w:rsidR="000C63DC">
        <w:rPr>
          <w:smallCaps/>
          <w:szCs w:val="24"/>
          <w:lang w:val="en-US"/>
        </w:rPr>
        <w:t>L</w:t>
      </w:r>
      <w:r w:rsidR="009D6A50" w:rsidRPr="00F54B33">
        <w:rPr>
          <w:smallCaps/>
          <w:szCs w:val="24"/>
          <w:lang w:val="en-US"/>
        </w:rPr>
        <w:t>achlin</w:t>
      </w:r>
      <w:proofErr w:type="spellEnd"/>
      <w:r w:rsidR="009D6A50" w:rsidRPr="00F54B33">
        <w:rPr>
          <w:smallCaps/>
          <w:szCs w:val="24"/>
          <w:lang w:val="en-US"/>
        </w:rPr>
        <w:t> </w:t>
      </w:r>
      <w:r w:rsidR="00AE14B7" w:rsidRPr="00F54B33">
        <w:rPr>
          <w:smallCaps/>
          <w:szCs w:val="24"/>
          <w:lang w:val="en-US"/>
        </w:rPr>
        <w:t>C.J</w:t>
      </w:r>
      <w:r w:rsidR="007B35B6" w:rsidRPr="00F54B33">
        <w:rPr>
          <w:smallCaps/>
          <w:szCs w:val="24"/>
          <w:lang w:val="en-US"/>
        </w:rPr>
        <w:t>.</w:t>
      </w:r>
      <w:r w:rsidR="008C6E74" w:rsidRPr="00F54B33">
        <w:rPr>
          <w:i/>
          <w:szCs w:val="24"/>
          <w:lang w:val="en-US"/>
        </w:rPr>
        <w:t xml:space="preserve"> and </w:t>
      </w:r>
      <w:proofErr w:type="spellStart"/>
      <w:r w:rsidR="008C6E74" w:rsidRPr="00F54B33">
        <w:rPr>
          <w:smallCaps/>
          <w:szCs w:val="24"/>
          <w:lang w:val="en-US"/>
        </w:rPr>
        <w:t>Deschamps</w:t>
      </w:r>
      <w:proofErr w:type="spellEnd"/>
      <w:r w:rsidR="009A2D4C" w:rsidRPr="00F54B33">
        <w:rPr>
          <w:i/>
          <w:szCs w:val="24"/>
          <w:lang w:val="en-US"/>
        </w:rPr>
        <w:t xml:space="preserve"> and </w:t>
      </w:r>
      <w:r w:rsidR="009D6A50" w:rsidRPr="00F54B33">
        <w:rPr>
          <w:smallCaps/>
          <w:szCs w:val="24"/>
          <w:lang w:val="en-US"/>
        </w:rPr>
        <w:t>Fish </w:t>
      </w:r>
      <w:r w:rsidR="008C6E74" w:rsidRPr="00F54B33">
        <w:rPr>
          <w:smallCaps/>
          <w:szCs w:val="24"/>
          <w:lang w:val="en-US"/>
        </w:rPr>
        <w:t>J</w:t>
      </w:r>
      <w:r w:rsidR="009A2D4C" w:rsidRPr="00F54B33">
        <w:rPr>
          <w:smallCaps/>
          <w:szCs w:val="24"/>
          <w:lang w:val="en-US"/>
        </w:rPr>
        <w:t>J.</w:t>
      </w:r>
      <w:r w:rsidR="009A2D4C" w:rsidRPr="00F54B33">
        <w:rPr>
          <w:i/>
          <w:szCs w:val="24"/>
          <w:lang w:val="en-US"/>
        </w:rPr>
        <w:t xml:space="preserve"> </w:t>
      </w:r>
      <w:proofErr w:type="gramStart"/>
      <w:r w:rsidR="009A2D4C" w:rsidRPr="00F54B33">
        <w:rPr>
          <w:i/>
          <w:szCs w:val="24"/>
          <w:lang w:val="en-US"/>
        </w:rPr>
        <w:t>dissenting</w:t>
      </w:r>
      <w:proofErr w:type="gramEnd"/>
      <w:r w:rsidRPr="00F54B33">
        <w:rPr>
          <w:i/>
        </w:rPr>
        <w:t>.</w:t>
      </w:r>
    </w:p>
    <w:p w:rsidR="00D203F7" w:rsidRPr="00F54B33" w:rsidRDefault="009D6A50" w:rsidP="009D6A50">
      <w:pPr>
        <w:pStyle w:val="SCCLawFirm"/>
        <w:spacing w:after="480"/>
      </w:pPr>
      <w:r w:rsidRPr="00F54B33">
        <w:tab/>
        <w:t>Solicitors for the appellant:  </w:t>
      </w:r>
      <w:r w:rsidR="00D203F7" w:rsidRPr="00F54B33">
        <w:t>O’Brien Devlin Mac</w:t>
      </w:r>
      <w:r w:rsidR="00AB7318">
        <w:t>L</w:t>
      </w:r>
      <w:r w:rsidR="00D203F7" w:rsidRPr="00F54B33">
        <w:t>eod, Calgary.</w:t>
      </w:r>
    </w:p>
    <w:p w:rsidR="00D203F7" w:rsidRDefault="009D6A50" w:rsidP="00D203F7">
      <w:pPr>
        <w:pStyle w:val="SCCLawFirm"/>
      </w:pPr>
      <w:r w:rsidRPr="00F54B33">
        <w:tab/>
        <w:t>Solicitor for the respondent:  </w:t>
      </w:r>
      <w:r w:rsidR="00D203F7" w:rsidRPr="00F54B33">
        <w:t>Attorney General of Alberta, Calgary.</w:t>
      </w:r>
    </w:p>
    <w:p w:rsidR="00E6679C" w:rsidRPr="00E6679C" w:rsidRDefault="00E6679C" w:rsidP="00E6679C">
      <w:pPr>
        <w:pStyle w:val="SCCNormalDoubleSpacing"/>
      </w:pPr>
    </w:p>
    <w:sectPr w:rsidR="00E6679C" w:rsidRPr="00E6679C" w:rsidSect="00BD7EDA">
      <w:headerReference w:type="even" r:id="rId9"/>
      <w:headerReference w:type="default" r:id="rId10"/>
      <w:footerReference w:type="even" r:id="rId11"/>
      <w:footerReference w:type="default" r:id="rId12"/>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1F6D" w:rsidRDefault="00431F6D">
      <w:r>
        <w:separator/>
      </w:r>
    </w:p>
  </w:endnote>
  <w:endnote w:type="continuationSeparator" w:id="0">
    <w:p w:rsidR="00431F6D" w:rsidRDefault="00431F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F6D" w:rsidRDefault="00431F6D">
    <w:pPr>
      <w:tabs>
        <w:tab w:val="left" w:pos="-1440"/>
        <w:tab w:val="left" w:pos="-720"/>
        <w:tab w:val="left" w:pos="0"/>
        <w:tab w:val="left" w:pos="1152"/>
        <w:tab w:val="left" w:pos="1570"/>
        <w:tab w:val="left" w:pos="1843"/>
        <w:tab w:val="left" w:pos="2261"/>
        <w:tab w:val="left" w:pos="648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F6D" w:rsidRDefault="00431F6D">
    <w:pPr>
      <w:tabs>
        <w:tab w:val="left" w:pos="-1440"/>
        <w:tab w:val="left" w:pos="-720"/>
        <w:tab w:val="left" w:pos="0"/>
        <w:tab w:val="left" w:pos="1152"/>
        <w:tab w:val="left" w:pos="1570"/>
        <w:tab w:val="left" w:pos="1843"/>
        <w:tab w:val="left" w:pos="2261"/>
        <w:tab w:val="left" w:pos="6480"/>
      </w:tabs>
      <w:spacing w:line="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1F6D" w:rsidRDefault="00431F6D">
      <w:r>
        <w:separator/>
      </w:r>
    </w:p>
  </w:footnote>
  <w:footnote w:type="continuationSeparator" w:id="0">
    <w:p w:rsidR="00431F6D" w:rsidRDefault="00431F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F6D" w:rsidRDefault="00431F6D">
    <w:pPr>
      <w:tabs>
        <w:tab w:val="left" w:pos="-1440"/>
        <w:tab w:val="left" w:pos="-720"/>
        <w:tab w:val="left" w:pos="0"/>
        <w:tab w:val="left" w:pos="1152"/>
        <w:tab w:val="left" w:pos="1570"/>
        <w:tab w:val="left" w:pos="1843"/>
        <w:tab w:val="left" w:pos="2261"/>
        <w:tab w:val="left" w:pos="648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F6D" w:rsidRDefault="00431F6D">
    <w:pPr>
      <w:pStyle w:val="Header"/>
      <w:jc w:val="center"/>
    </w:pPr>
    <w:r>
      <w:t xml:space="preserve">- </w:t>
    </w:r>
    <w:sdt>
      <w:sdtPr>
        <w:id w:val="4489865"/>
        <w:docPartObj>
          <w:docPartGallery w:val="Page Numbers (Top of Page)"/>
          <w:docPartUnique/>
        </w:docPartObj>
      </w:sdtPr>
      <w:sdtContent>
        <w:fldSimple w:instr=" PAGE   \* MERGEFORMAT ">
          <w:r w:rsidR="00E26B0A">
            <w:rPr>
              <w:noProof/>
            </w:rPr>
            <w:t>2</w:t>
          </w:r>
        </w:fldSimple>
        <w:r>
          <w:t xml:space="preserve"> -</w:t>
        </w:r>
      </w:sdtContent>
    </w:sdt>
  </w:p>
  <w:p w:rsidR="00431F6D" w:rsidRDefault="00431F6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2A6B610"/>
    <w:lvl w:ilvl="0">
      <w:start w:val="1"/>
      <w:numFmt w:val="decimal"/>
      <w:lvlText w:val="%1."/>
      <w:lvlJc w:val="left"/>
      <w:pPr>
        <w:tabs>
          <w:tab w:val="num" w:pos="1800"/>
        </w:tabs>
        <w:ind w:left="1800" w:hanging="360"/>
      </w:pPr>
    </w:lvl>
  </w:abstractNum>
  <w:abstractNum w:abstractNumId="1">
    <w:nsid w:val="FFFFFF7D"/>
    <w:multiLevelType w:val="singleLevel"/>
    <w:tmpl w:val="11BA7D4A"/>
    <w:lvl w:ilvl="0">
      <w:start w:val="1"/>
      <w:numFmt w:val="decimal"/>
      <w:lvlText w:val="%1."/>
      <w:lvlJc w:val="left"/>
      <w:pPr>
        <w:tabs>
          <w:tab w:val="num" w:pos="1440"/>
        </w:tabs>
        <w:ind w:left="1440" w:hanging="360"/>
      </w:pPr>
    </w:lvl>
  </w:abstractNum>
  <w:abstractNum w:abstractNumId="2">
    <w:nsid w:val="FFFFFF7E"/>
    <w:multiLevelType w:val="singleLevel"/>
    <w:tmpl w:val="CBC4DB68"/>
    <w:lvl w:ilvl="0">
      <w:start w:val="1"/>
      <w:numFmt w:val="decimal"/>
      <w:lvlText w:val="%1."/>
      <w:lvlJc w:val="left"/>
      <w:pPr>
        <w:tabs>
          <w:tab w:val="num" w:pos="1080"/>
        </w:tabs>
        <w:ind w:left="1080" w:hanging="360"/>
      </w:pPr>
    </w:lvl>
  </w:abstractNum>
  <w:abstractNum w:abstractNumId="3">
    <w:nsid w:val="FFFFFF7F"/>
    <w:multiLevelType w:val="singleLevel"/>
    <w:tmpl w:val="82A69C1C"/>
    <w:lvl w:ilvl="0">
      <w:start w:val="1"/>
      <w:numFmt w:val="decimal"/>
      <w:lvlText w:val="%1."/>
      <w:lvlJc w:val="left"/>
      <w:pPr>
        <w:tabs>
          <w:tab w:val="num" w:pos="720"/>
        </w:tabs>
        <w:ind w:left="720" w:hanging="360"/>
      </w:pPr>
    </w:lvl>
  </w:abstractNum>
  <w:abstractNum w:abstractNumId="4">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A326A72"/>
    <w:lvl w:ilvl="0">
      <w:start w:val="1"/>
      <w:numFmt w:val="decimal"/>
      <w:lvlText w:val="%1."/>
      <w:lvlJc w:val="left"/>
      <w:pPr>
        <w:tabs>
          <w:tab w:val="num" w:pos="360"/>
        </w:tabs>
        <w:ind w:left="360" w:hanging="360"/>
      </w:pPr>
    </w:lvl>
  </w:abstractNum>
  <w:abstractNum w:abstractNumId="9">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4AC64FE2"/>
    <w:multiLevelType w:val="hybridMultilevel"/>
    <w:tmpl w:val="0B76EEBC"/>
    <w:lvl w:ilvl="0" w:tplc="434646E8">
      <w:start w:val="1"/>
      <w:numFmt w:val="decimal"/>
      <w:pStyle w:val="ReasonsNumbering-AltN"/>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4">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4"/>
  </w:num>
  <w:num w:numId="2">
    <w:abstractNumId w:val="15"/>
  </w:num>
  <w:num w:numId="3">
    <w:abstractNumId w:val="11"/>
  </w:num>
  <w:num w:numId="4">
    <w:abstractNumId w:val="10"/>
  </w:num>
  <w:num w:numId="5">
    <w:abstractNumId w:val="13"/>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2"/>
  </w:num>
  <w:num w:numId="36">
    <w:abstractNumId w:val="12"/>
  </w:num>
  <w:num w:numId="37">
    <w:abstractNumId w:val="12"/>
  </w:num>
  <w:num w:numId="38">
    <w:abstractNumId w:val="12"/>
  </w:num>
  <w:num w:numId="39">
    <w:abstractNumId w:val="12"/>
  </w:num>
  <w:num w:numId="40">
    <w:abstractNumId w:val="12"/>
  </w:num>
  <w:num w:numId="41">
    <w:abstractNumId w:val="12"/>
  </w:num>
  <w:num w:numId="4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bordersDoNotSurroundHeader/>
  <w:bordersDoNotSurroundFooter/>
  <w:proofState w:spelling="clean" w:grammar="clean"/>
  <w:attachedTemplate r:id="rId1"/>
  <w:linkStyles/>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86017"/>
  </w:hdrShapeDefaults>
  <w:footnotePr>
    <w:footnote w:id="-1"/>
    <w:footnote w:id="0"/>
  </w:footnotePr>
  <w:endnotePr>
    <w:endnote w:id="-1"/>
    <w:endnote w:id="0"/>
  </w:endnotePr>
  <w:compat/>
  <w:rsids>
    <w:rsidRoot w:val="0031414C"/>
    <w:rsid w:val="00000ED4"/>
    <w:rsid w:val="00025198"/>
    <w:rsid w:val="00035767"/>
    <w:rsid w:val="000578A3"/>
    <w:rsid w:val="000648CC"/>
    <w:rsid w:val="000C59B8"/>
    <w:rsid w:val="000C63DC"/>
    <w:rsid w:val="000C6965"/>
    <w:rsid w:val="00100F67"/>
    <w:rsid w:val="00104F33"/>
    <w:rsid w:val="00111DE2"/>
    <w:rsid w:val="00116B38"/>
    <w:rsid w:val="001201A3"/>
    <w:rsid w:val="00135406"/>
    <w:rsid w:val="00135972"/>
    <w:rsid w:val="001426A9"/>
    <w:rsid w:val="00154D7C"/>
    <w:rsid w:val="0015676A"/>
    <w:rsid w:val="001570B0"/>
    <w:rsid w:val="0015752C"/>
    <w:rsid w:val="00157737"/>
    <w:rsid w:val="00165277"/>
    <w:rsid w:val="00170592"/>
    <w:rsid w:val="001838E4"/>
    <w:rsid w:val="0019472C"/>
    <w:rsid w:val="001B33E0"/>
    <w:rsid w:val="001B4573"/>
    <w:rsid w:val="001C1433"/>
    <w:rsid w:val="001C779F"/>
    <w:rsid w:val="001D2AC1"/>
    <w:rsid w:val="001D4E88"/>
    <w:rsid w:val="00210F5D"/>
    <w:rsid w:val="00220FC2"/>
    <w:rsid w:val="00224FC0"/>
    <w:rsid w:val="00225EA4"/>
    <w:rsid w:val="00226EAF"/>
    <w:rsid w:val="00231F3A"/>
    <w:rsid w:val="002406EE"/>
    <w:rsid w:val="00243EC8"/>
    <w:rsid w:val="00244421"/>
    <w:rsid w:val="002745CC"/>
    <w:rsid w:val="002B7924"/>
    <w:rsid w:val="002D39A4"/>
    <w:rsid w:val="002E6705"/>
    <w:rsid w:val="0030329A"/>
    <w:rsid w:val="0031086F"/>
    <w:rsid w:val="0031414C"/>
    <w:rsid w:val="00314E01"/>
    <w:rsid w:val="0032089D"/>
    <w:rsid w:val="003261E9"/>
    <w:rsid w:val="003310DE"/>
    <w:rsid w:val="0035169A"/>
    <w:rsid w:val="0035259D"/>
    <w:rsid w:val="00362726"/>
    <w:rsid w:val="00364B18"/>
    <w:rsid w:val="003A4C70"/>
    <w:rsid w:val="003B215F"/>
    <w:rsid w:val="003C799C"/>
    <w:rsid w:val="003D02E4"/>
    <w:rsid w:val="003D0399"/>
    <w:rsid w:val="003E1C71"/>
    <w:rsid w:val="003F327B"/>
    <w:rsid w:val="00406166"/>
    <w:rsid w:val="0040704B"/>
    <w:rsid w:val="00410A55"/>
    <w:rsid w:val="00411300"/>
    <w:rsid w:val="00411760"/>
    <w:rsid w:val="00411E74"/>
    <w:rsid w:val="00415417"/>
    <w:rsid w:val="00426659"/>
    <w:rsid w:val="00431F6D"/>
    <w:rsid w:val="00450352"/>
    <w:rsid w:val="00454BDB"/>
    <w:rsid w:val="00465132"/>
    <w:rsid w:val="00480C90"/>
    <w:rsid w:val="0048396F"/>
    <w:rsid w:val="00493C18"/>
    <w:rsid w:val="004A600C"/>
    <w:rsid w:val="004A6118"/>
    <w:rsid w:val="004B3117"/>
    <w:rsid w:val="004C30A1"/>
    <w:rsid w:val="004C478D"/>
    <w:rsid w:val="004E2C26"/>
    <w:rsid w:val="005125A8"/>
    <w:rsid w:val="00520BE4"/>
    <w:rsid w:val="00521916"/>
    <w:rsid w:val="00521AE8"/>
    <w:rsid w:val="00527180"/>
    <w:rsid w:val="005419BD"/>
    <w:rsid w:val="00555291"/>
    <w:rsid w:val="00566AD1"/>
    <w:rsid w:val="00581691"/>
    <w:rsid w:val="00583613"/>
    <w:rsid w:val="00583EDE"/>
    <w:rsid w:val="005E42DB"/>
    <w:rsid w:val="005E4698"/>
    <w:rsid w:val="00610539"/>
    <w:rsid w:val="00613969"/>
    <w:rsid w:val="0062147D"/>
    <w:rsid w:val="00625C35"/>
    <w:rsid w:val="00656313"/>
    <w:rsid w:val="006565F4"/>
    <w:rsid w:val="00684EEA"/>
    <w:rsid w:val="00691E3C"/>
    <w:rsid w:val="0069689B"/>
    <w:rsid w:val="006B5FF5"/>
    <w:rsid w:val="00701759"/>
    <w:rsid w:val="00705C15"/>
    <w:rsid w:val="00716460"/>
    <w:rsid w:val="00743FA3"/>
    <w:rsid w:val="00747288"/>
    <w:rsid w:val="00747DD3"/>
    <w:rsid w:val="00750FAF"/>
    <w:rsid w:val="007549C8"/>
    <w:rsid w:val="00766D14"/>
    <w:rsid w:val="00767A0F"/>
    <w:rsid w:val="007A05F6"/>
    <w:rsid w:val="007B35B6"/>
    <w:rsid w:val="007B6F4A"/>
    <w:rsid w:val="007E1C47"/>
    <w:rsid w:val="007E337A"/>
    <w:rsid w:val="007E5C70"/>
    <w:rsid w:val="007F2FF5"/>
    <w:rsid w:val="007F3F08"/>
    <w:rsid w:val="007F5AA9"/>
    <w:rsid w:val="00804CC6"/>
    <w:rsid w:val="00817190"/>
    <w:rsid w:val="008260E2"/>
    <w:rsid w:val="008322BD"/>
    <w:rsid w:val="00834F73"/>
    <w:rsid w:val="00860019"/>
    <w:rsid w:val="00864CF8"/>
    <w:rsid w:val="00874914"/>
    <w:rsid w:val="00891422"/>
    <w:rsid w:val="00892E1A"/>
    <w:rsid w:val="00897411"/>
    <w:rsid w:val="008B6993"/>
    <w:rsid w:val="008C01DA"/>
    <w:rsid w:val="008C6E74"/>
    <w:rsid w:val="008F78E9"/>
    <w:rsid w:val="009179F9"/>
    <w:rsid w:val="00933E5E"/>
    <w:rsid w:val="00935218"/>
    <w:rsid w:val="00937891"/>
    <w:rsid w:val="009403F3"/>
    <w:rsid w:val="00940FED"/>
    <w:rsid w:val="009555B7"/>
    <w:rsid w:val="009567AA"/>
    <w:rsid w:val="00967374"/>
    <w:rsid w:val="009A2D4C"/>
    <w:rsid w:val="009B2F23"/>
    <w:rsid w:val="009B57B3"/>
    <w:rsid w:val="009D2920"/>
    <w:rsid w:val="009D5AEB"/>
    <w:rsid w:val="009D6A50"/>
    <w:rsid w:val="009F0E33"/>
    <w:rsid w:val="009F3242"/>
    <w:rsid w:val="00A149DF"/>
    <w:rsid w:val="00A1551D"/>
    <w:rsid w:val="00A21B90"/>
    <w:rsid w:val="00A41805"/>
    <w:rsid w:val="00A5416C"/>
    <w:rsid w:val="00A548CB"/>
    <w:rsid w:val="00A5521C"/>
    <w:rsid w:val="00A6202B"/>
    <w:rsid w:val="00A643E7"/>
    <w:rsid w:val="00A72432"/>
    <w:rsid w:val="00A73C38"/>
    <w:rsid w:val="00A935A0"/>
    <w:rsid w:val="00AA7F12"/>
    <w:rsid w:val="00AB670D"/>
    <w:rsid w:val="00AB7318"/>
    <w:rsid w:val="00AE14B7"/>
    <w:rsid w:val="00AF03C5"/>
    <w:rsid w:val="00AF2A59"/>
    <w:rsid w:val="00B000D8"/>
    <w:rsid w:val="00B00F75"/>
    <w:rsid w:val="00B145B6"/>
    <w:rsid w:val="00B50C81"/>
    <w:rsid w:val="00B557F8"/>
    <w:rsid w:val="00B6671D"/>
    <w:rsid w:val="00B8015E"/>
    <w:rsid w:val="00B815FC"/>
    <w:rsid w:val="00B92378"/>
    <w:rsid w:val="00B93FBC"/>
    <w:rsid w:val="00BB2EE4"/>
    <w:rsid w:val="00BC2108"/>
    <w:rsid w:val="00BC2163"/>
    <w:rsid w:val="00BD0E9E"/>
    <w:rsid w:val="00BD1A3B"/>
    <w:rsid w:val="00BD1BEC"/>
    <w:rsid w:val="00BD32FF"/>
    <w:rsid w:val="00BD7EDA"/>
    <w:rsid w:val="00BF12E8"/>
    <w:rsid w:val="00C02092"/>
    <w:rsid w:val="00C24D91"/>
    <w:rsid w:val="00C318CC"/>
    <w:rsid w:val="00C43EA1"/>
    <w:rsid w:val="00C53F14"/>
    <w:rsid w:val="00C600CF"/>
    <w:rsid w:val="00C6084F"/>
    <w:rsid w:val="00C62A66"/>
    <w:rsid w:val="00C71458"/>
    <w:rsid w:val="00C76A81"/>
    <w:rsid w:val="00C77613"/>
    <w:rsid w:val="00C828E7"/>
    <w:rsid w:val="00C831D9"/>
    <w:rsid w:val="00C86719"/>
    <w:rsid w:val="00C921DD"/>
    <w:rsid w:val="00CA6391"/>
    <w:rsid w:val="00CA6614"/>
    <w:rsid w:val="00CC1AFD"/>
    <w:rsid w:val="00CE3171"/>
    <w:rsid w:val="00CF1601"/>
    <w:rsid w:val="00D0172F"/>
    <w:rsid w:val="00D068A7"/>
    <w:rsid w:val="00D203F7"/>
    <w:rsid w:val="00D32086"/>
    <w:rsid w:val="00D37A3F"/>
    <w:rsid w:val="00D4431D"/>
    <w:rsid w:val="00D4667A"/>
    <w:rsid w:val="00D662E4"/>
    <w:rsid w:val="00D7516F"/>
    <w:rsid w:val="00D91B2A"/>
    <w:rsid w:val="00D95F8E"/>
    <w:rsid w:val="00DA0590"/>
    <w:rsid w:val="00DC1788"/>
    <w:rsid w:val="00DE319C"/>
    <w:rsid w:val="00DF0CA8"/>
    <w:rsid w:val="00DF2B48"/>
    <w:rsid w:val="00DF49A7"/>
    <w:rsid w:val="00DF51B1"/>
    <w:rsid w:val="00E00E57"/>
    <w:rsid w:val="00E07EE2"/>
    <w:rsid w:val="00E07FD1"/>
    <w:rsid w:val="00E17CC0"/>
    <w:rsid w:val="00E24573"/>
    <w:rsid w:val="00E25E1E"/>
    <w:rsid w:val="00E26B0A"/>
    <w:rsid w:val="00E27EE7"/>
    <w:rsid w:val="00E35404"/>
    <w:rsid w:val="00E45109"/>
    <w:rsid w:val="00E47B7A"/>
    <w:rsid w:val="00E60269"/>
    <w:rsid w:val="00E6679C"/>
    <w:rsid w:val="00E82289"/>
    <w:rsid w:val="00E97830"/>
    <w:rsid w:val="00ED0D85"/>
    <w:rsid w:val="00EF0683"/>
    <w:rsid w:val="00F002EB"/>
    <w:rsid w:val="00F0070C"/>
    <w:rsid w:val="00F00EB7"/>
    <w:rsid w:val="00F36AB6"/>
    <w:rsid w:val="00F37A09"/>
    <w:rsid w:val="00F409CE"/>
    <w:rsid w:val="00F4347E"/>
    <w:rsid w:val="00F4379D"/>
    <w:rsid w:val="00F5238F"/>
    <w:rsid w:val="00F54B33"/>
    <w:rsid w:val="00F827AA"/>
    <w:rsid w:val="00F84DF4"/>
    <w:rsid w:val="00F85C97"/>
    <w:rsid w:val="00FB37D2"/>
    <w:rsid w:val="00FC3B9D"/>
    <w:rsid w:val="00FC4EFB"/>
    <w:rsid w:val="00FD068D"/>
    <w:rsid w:val="00FD4F28"/>
    <w:rsid w:val="00FE67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433"/>
    <w:rPr>
      <w:sz w:val="24"/>
    </w:rPr>
  </w:style>
  <w:style w:type="paragraph" w:styleId="Heading1">
    <w:name w:val="heading 1"/>
    <w:next w:val="ReasonsNumbering-AltN"/>
    <w:link w:val="Heading1Char"/>
    <w:uiPriority w:val="2"/>
    <w:qFormat/>
    <w:rsid w:val="001C1433"/>
    <w:pPr>
      <w:tabs>
        <w:tab w:val="left" w:pos="360"/>
      </w:tabs>
      <w:spacing w:before="480" w:after="480"/>
      <w:ind w:left="360" w:hanging="360"/>
      <w:jc w:val="both"/>
      <w:outlineLvl w:val="0"/>
    </w:pPr>
    <w:rPr>
      <w:rFonts w:eastAsiaTheme="majorEastAsia" w:cstheme="majorBidi"/>
      <w:bCs/>
      <w:sz w:val="24"/>
      <w:szCs w:val="28"/>
      <w:lang w:eastAsia="en-US"/>
    </w:rPr>
  </w:style>
  <w:style w:type="paragraph" w:styleId="Heading2">
    <w:name w:val="heading 2"/>
    <w:basedOn w:val="Normal"/>
    <w:next w:val="Normal"/>
    <w:link w:val="Heading2Char"/>
    <w:uiPriority w:val="9"/>
    <w:semiHidden/>
    <w:unhideWhenUsed/>
    <w:rsid w:val="001C143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C1433"/>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1C1433"/>
    <w:rPr>
      <w:color w:val="808080"/>
    </w:rPr>
  </w:style>
  <w:style w:type="paragraph" w:styleId="BalloonText">
    <w:name w:val="Balloon Text"/>
    <w:basedOn w:val="Normal"/>
    <w:link w:val="BalloonTextChar"/>
    <w:uiPriority w:val="99"/>
    <w:semiHidden/>
    <w:unhideWhenUsed/>
    <w:rsid w:val="001C1433"/>
    <w:rPr>
      <w:rFonts w:cs="Tahoma"/>
      <w:sz w:val="28"/>
      <w:szCs w:val="16"/>
    </w:rPr>
  </w:style>
  <w:style w:type="character" w:customStyle="1" w:styleId="BalloonTextChar">
    <w:name w:val="Balloon Text Char"/>
    <w:basedOn w:val="DefaultParagraphFont"/>
    <w:link w:val="BalloonText"/>
    <w:uiPriority w:val="99"/>
    <w:semiHidden/>
    <w:rsid w:val="001C1433"/>
    <w:rPr>
      <w:rFonts w:cs="Tahoma"/>
      <w:sz w:val="28"/>
      <w:szCs w:val="16"/>
    </w:rPr>
  </w:style>
  <w:style w:type="paragraph" w:styleId="Header">
    <w:name w:val="header"/>
    <w:basedOn w:val="Normal"/>
    <w:link w:val="HeaderChar"/>
    <w:uiPriority w:val="99"/>
    <w:unhideWhenUsed/>
    <w:rsid w:val="001C1433"/>
    <w:pPr>
      <w:tabs>
        <w:tab w:val="center" w:pos="4680"/>
        <w:tab w:val="right" w:pos="9360"/>
      </w:tabs>
    </w:pPr>
  </w:style>
  <w:style w:type="character" w:customStyle="1" w:styleId="HeaderChar">
    <w:name w:val="Header Char"/>
    <w:basedOn w:val="DefaultParagraphFont"/>
    <w:link w:val="Header"/>
    <w:uiPriority w:val="99"/>
    <w:rsid w:val="001C1433"/>
    <w:rPr>
      <w:sz w:val="24"/>
    </w:rPr>
  </w:style>
  <w:style w:type="paragraph" w:styleId="Footer">
    <w:name w:val="footer"/>
    <w:basedOn w:val="Normal"/>
    <w:link w:val="FooterChar"/>
    <w:uiPriority w:val="99"/>
    <w:semiHidden/>
    <w:unhideWhenUsed/>
    <w:rsid w:val="001C1433"/>
    <w:pPr>
      <w:tabs>
        <w:tab w:val="center" w:pos="4680"/>
        <w:tab w:val="right" w:pos="9360"/>
      </w:tabs>
    </w:pPr>
  </w:style>
  <w:style w:type="character" w:customStyle="1" w:styleId="FooterChar">
    <w:name w:val="Footer Char"/>
    <w:basedOn w:val="DefaultParagraphFont"/>
    <w:link w:val="Footer"/>
    <w:uiPriority w:val="99"/>
    <w:semiHidden/>
    <w:rsid w:val="001C1433"/>
    <w:rPr>
      <w:sz w:val="24"/>
    </w:rPr>
  </w:style>
  <w:style w:type="paragraph" w:customStyle="1" w:styleId="SCCLsocParty">
    <w:name w:val="SCC.Lsoc.Party"/>
    <w:basedOn w:val="Normal"/>
    <w:next w:val="Normal"/>
    <w:link w:val="SCCLsocPartyChar"/>
    <w:rsid w:val="001C1433"/>
    <w:pPr>
      <w:spacing w:after="480"/>
      <w:jc w:val="both"/>
    </w:pPr>
    <w:rPr>
      <w:rFonts w:eastAsiaTheme="minorHAnsi" w:cstheme="minorBidi"/>
      <w:szCs w:val="22"/>
      <w:lang w:eastAsia="en-US"/>
    </w:rPr>
  </w:style>
  <w:style w:type="character" w:customStyle="1" w:styleId="SCCLsocPartyChar">
    <w:name w:val="SCC.Lsoc.Party Char"/>
    <w:basedOn w:val="DefaultParagraphFont"/>
    <w:link w:val="SCCLsocParty"/>
    <w:rsid w:val="001C1433"/>
    <w:rPr>
      <w:rFonts w:eastAsiaTheme="minorHAnsi" w:cstheme="minorBidi"/>
      <w:sz w:val="24"/>
      <w:szCs w:val="22"/>
      <w:lang w:eastAsia="en-US"/>
    </w:rPr>
  </w:style>
  <w:style w:type="paragraph" w:customStyle="1" w:styleId="SCCLsocVersus">
    <w:name w:val="SCC.Lsoc.Versus"/>
    <w:basedOn w:val="Normal"/>
    <w:next w:val="Normal"/>
    <w:link w:val="SCCLsocVersusChar"/>
    <w:rsid w:val="001C1433"/>
    <w:pPr>
      <w:spacing w:after="480"/>
    </w:pPr>
    <w:rPr>
      <w:rFonts w:eastAsiaTheme="minorHAnsi" w:cstheme="minorBidi"/>
      <w:szCs w:val="22"/>
      <w:lang w:eastAsia="en-US"/>
    </w:rPr>
  </w:style>
  <w:style w:type="character" w:customStyle="1" w:styleId="SCCLsocVersusChar">
    <w:name w:val="SCC.Lsoc.Versus Char"/>
    <w:basedOn w:val="DefaultParagraphFont"/>
    <w:link w:val="SCCLsocVersus"/>
    <w:rsid w:val="001C1433"/>
    <w:rPr>
      <w:rFonts w:eastAsiaTheme="minorHAnsi" w:cstheme="minorBidi"/>
      <w:sz w:val="24"/>
      <w:szCs w:val="22"/>
      <w:lang w:eastAsia="en-US"/>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rsid w:val="001C1433"/>
    <w:pPr>
      <w:spacing w:after="480"/>
    </w:pPr>
    <w:rPr>
      <w:rFonts w:eastAsiaTheme="minorHAnsi" w:cstheme="minorBidi"/>
      <w:szCs w:val="22"/>
      <w:lang w:eastAsia="en-US"/>
    </w:rPr>
  </w:style>
  <w:style w:type="character" w:customStyle="1" w:styleId="SCCLsocSubfileSeparatorChar">
    <w:name w:val="SCC.Lsoc.SubfileSeparator Char"/>
    <w:basedOn w:val="DefaultParagraphFont"/>
    <w:link w:val="SCCLsocSubfileSeparator"/>
    <w:rsid w:val="001C1433"/>
    <w:rPr>
      <w:rFonts w:eastAsiaTheme="minorHAnsi" w:cstheme="minorBidi"/>
      <w:sz w:val="24"/>
      <w:szCs w:val="22"/>
      <w:lang w:eastAsia="en-US"/>
    </w:rPr>
  </w:style>
  <w:style w:type="paragraph" w:customStyle="1" w:styleId="SCCLsocOtherPartySeparator">
    <w:name w:val="SCC.Lsoc.OtherPartySeparator"/>
    <w:basedOn w:val="Normal"/>
    <w:next w:val="Normal"/>
    <w:link w:val="SCCLsocOtherPartySeparatorChar"/>
    <w:rsid w:val="001C1433"/>
    <w:pPr>
      <w:spacing w:after="480"/>
    </w:pPr>
    <w:rPr>
      <w:rFonts w:eastAsiaTheme="minorHAnsi" w:cstheme="minorBidi"/>
      <w:szCs w:val="22"/>
      <w:lang w:eastAsia="en-US"/>
    </w:rPr>
  </w:style>
  <w:style w:type="character" w:customStyle="1" w:styleId="SCCLsocOtherPartySeparatorChar">
    <w:name w:val="SCC.Lsoc.OtherPartySeparator Char"/>
    <w:basedOn w:val="DefaultParagraphFont"/>
    <w:link w:val="SCCLsocOtherPartySeparator"/>
    <w:rsid w:val="001C1433"/>
    <w:rPr>
      <w:rFonts w:eastAsiaTheme="minorHAnsi" w:cstheme="minorBidi"/>
      <w:sz w:val="24"/>
      <w:szCs w:val="22"/>
      <w:lang w:eastAsia="en-US"/>
    </w:rPr>
  </w:style>
  <w:style w:type="character" w:customStyle="1" w:styleId="Heading1Char">
    <w:name w:val="Heading 1 Char"/>
    <w:basedOn w:val="DefaultParagraphFont"/>
    <w:link w:val="Heading1"/>
    <w:uiPriority w:val="2"/>
    <w:rsid w:val="001C1433"/>
    <w:rPr>
      <w:rFonts w:eastAsiaTheme="majorEastAsia" w:cstheme="majorBidi"/>
      <w:bCs/>
      <w:sz w:val="24"/>
      <w:szCs w:val="28"/>
      <w:lang w:eastAsia="en-US"/>
    </w:rPr>
  </w:style>
  <w:style w:type="paragraph" w:customStyle="1" w:styleId="SCCBanSummary">
    <w:name w:val="SCC.BanSummary"/>
    <w:basedOn w:val="Normal"/>
    <w:next w:val="Normal"/>
    <w:link w:val="SCCBanSummaryChar"/>
    <w:rsid w:val="001C1433"/>
    <w:pPr>
      <w:jc w:val="right"/>
    </w:pPr>
    <w:rPr>
      <w:rFonts w:eastAsiaTheme="minorEastAsia"/>
      <w:b/>
      <w:szCs w:val="24"/>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style>
  <w:style w:type="paragraph" w:styleId="ListParagraph">
    <w:name w:val="List Paragraph"/>
    <w:basedOn w:val="Normal"/>
    <w:uiPriority w:val="34"/>
    <w:qFormat/>
    <w:rsid w:val="00E6679C"/>
    <w:pPr>
      <w:ind w:left="720"/>
    </w:pPr>
  </w:style>
  <w:style w:type="paragraph" w:customStyle="1" w:styleId="SCCCoram">
    <w:name w:val="SCC.Coram"/>
    <w:basedOn w:val="Normal"/>
    <w:next w:val="Normal"/>
    <w:link w:val="SCCCoramChar"/>
    <w:rsid w:val="001C1433"/>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1C1433"/>
    <w:rPr>
      <w:rFonts w:eastAsiaTheme="minorHAnsi" w:cstheme="minorBidi"/>
      <w:sz w:val="24"/>
      <w:szCs w:val="22"/>
      <w:lang w:eastAsia="en-US"/>
    </w:rPr>
  </w:style>
  <w:style w:type="table" w:styleId="TableGrid">
    <w:name w:val="Table Grid"/>
    <w:basedOn w:val="TableNormal"/>
    <w:uiPriority w:val="59"/>
    <w:rsid w:val="001C143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CCLsocOtherPartyRoleSeparator">
    <w:name w:val="SCC.Lsoc.OtherPartyRoleSeparator"/>
    <w:basedOn w:val="Normal"/>
    <w:next w:val="Normal"/>
    <w:link w:val="SCCLsocOtherPartyRoleSeparatorChar"/>
    <w:rsid w:val="001C1433"/>
    <w:pPr>
      <w:spacing w:after="480"/>
    </w:pPr>
    <w:rPr>
      <w:rFonts w:eastAsiaTheme="minorHAnsi" w:cstheme="minorBidi"/>
      <w:szCs w:val="22"/>
      <w:lang w:eastAsia="en-US"/>
    </w:rPr>
  </w:style>
  <w:style w:type="character" w:customStyle="1" w:styleId="SCCLsocOtherPartyRoleSeparatorChar">
    <w:name w:val="SCC.Lsoc.OtherPartyRoleSeparator Char"/>
    <w:basedOn w:val="DefaultParagraphFont"/>
    <w:link w:val="SCCLsocOtherPartyRoleSeparator"/>
    <w:rsid w:val="001C1433"/>
    <w:rPr>
      <w:rFonts w:eastAsiaTheme="minorHAnsi" w:cstheme="minorBidi"/>
      <w:sz w:val="24"/>
      <w:szCs w:val="22"/>
      <w:lang w:eastAsia="en-US"/>
    </w:rPr>
  </w:style>
  <w:style w:type="character" w:customStyle="1" w:styleId="SCCBanSummaryChar">
    <w:name w:val="SCC.BanSummary Char"/>
    <w:basedOn w:val="DefaultParagraphFont"/>
    <w:link w:val="SCCBanSummary"/>
    <w:rsid w:val="001C1433"/>
    <w:rPr>
      <w:rFonts w:eastAsiaTheme="minorEastAsia"/>
      <w:b/>
      <w:sz w:val="24"/>
      <w:szCs w:val="24"/>
    </w:rPr>
  </w:style>
  <w:style w:type="paragraph" w:customStyle="1" w:styleId="ReasonsNumbering-AltN">
    <w:name w:val="Reasons Numbering - Alt N"/>
    <w:qFormat/>
    <w:rsid w:val="001C1433"/>
    <w:pPr>
      <w:numPr>
        <w:numId w:val="6"/>
      </w:numPr>
      <w:tabs>
        <w:tab w:val="left" w:pos="1152"/>
      </w:tabs>
      <w:spacing w:after="480" w:line="480" w:lineRule="auto"/>
      <w:ind w:left="0" w:firstLine="0"/>
      <w:jc w:val="both"/>
    </w:pPr>
    <w:rPr>
      <w:rFonts w:eastAsiaTheme="minorHAnsi" w:cstheme="minorBidi"/>
      <w:sz w:val="24"/>
      <w:szCs w:val="22"/>
      <w:lang w:eastAsia="en-US"/>
    </w:rPr>
  </w:style>
  <w:style w:type="paragraph" w:customStyle="1" w:styleId="Citation-AltC">
    <w:name w:val="Citation - Alt C"/>
    <w:uiPriority w:val="2"/>
    <w:qFormat/>
    <w:rsid w:val="001C1433"/>
    <w:pPr>
      <w:spacing w:after="720"/>
      <w:ind w:left="1166"/>
      <w:contextualSpacing/>
      <w:jc w:val="both"/>
    </w:pPr>
    <w:rPr>
      <w:sz w:val="24"/>
    </w:rPr>
  </w:style>
  <w:style w:type="character" w:styleId="CommentReference">
    <w:name w:val="annotation reference"/>
    <w:basedOn w:val="DefaultParagraphFont"/>
    <w:uiPriority w:val="99"/>
    <w:semiHidden/>
    <w:unhideWhenUsed/>
    <w:rsid w:val="001C1433"/>
    <w:rPr>
      <w:sz w:val="16"/>
      <w:szCs w:val="16"/>
    </w:rPr>
  </w:style>
  <w:style w:type="paragraph" w:styleId="CommentText">
    <w:name w:val="annotation text"/>
    <w:basedOn w:val="Normal"/>
    <w:link w:val="CommentTextChar"/>
    <w:uiPriority w:val="99"/>
    <w:semiHidden/>
    <w:unhideWhenUsed/>
    <w:rsid w:val="001C1433"/>
    <w:rPr>
      <w:sz w:val="20"/>
    </w:rPr>
  </w:style>
  <w:style w:type="character" w:customStyle="1" w:styleId="CommentTextChar">
    <w:name w:val="Comment Text Char"/>
    <w:basedOn w:val="DefaultParagraphFont"/>
    <w:link w:val="CommentText"/>
    <w:uiPriority w:val="99"/>
    <w:semiHidden/>
    <w:rsid w:val="001C1433"/>
  </w:style>
  <w:style w:type="paragraph" w:styleId="CommentSubject">
    <w:name w:val="annotation subject"/>
    <w:basedOn w:val="CommentText"/>
    <w:next w:val="CommentText"/>
    <w:link w:val="CommentSubjectChar"/>
    <w:uiPriority w:val="99"/>
    <w:semiHidden/>
    <w:unhideWhenUsed/>
    <w:rsid w:val="001C1433"/>
    <w:rPr>
      <w:b/>
      <w:bCs/>
    </w:rPr>
  </w:style>
  <w:style w:type="character" w:customStyle="1" w:styleId="CommentSubjectChar">
    <w:name w:val="Comment Subject Char"/>
    <w:basedOn w:val="CommentTextChar"/>
    <w:link w:val="CommentSubject"/>
    <w:uiPriority w:val="99"/>
    <w:semiHidden/>
    <w:rsid w:val="001C1433"/>
    <w:rPr>
      <w:b/>
      <w:bCs/>
    </w:rPr>
  </w:style>
  <w:style w:type="paragraph" w:customStyle="1" w:styleId="ContinueReasonsNo-AltP">
    <w:name w:val="Continue Reasons No # - Alt P"/>
    <w:next w:val="ReasonsNumbering-AltN"/>
    <w:uiPriority w:val="1"/>
    <w:qFormat/>
    <w:rsid w:val="001C1433"/>
    <w:pPr>
      <w:spacing w:before="480" w:after="480" w:line="480" w:lineRule="auto"/>
      <w:jc w:val="both"/>
    </w:pPr>
    <w:rPr>
      <w:rFonts w:eastAsiaTheme="minorHAnsi" w:cstheme="minorBidi"/>
      <w:sz w:val="24"/>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oyolai\Desktop\Ltr_J18_e%20revised%20Feb%2021%20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Ltr_J18_e revised Feb 21 2011.dotx</Template>
  <TotalTime>0</TotalTime>
  <Pages>15</Pages>
  <Words>3005</Words>
  <Characters>14938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2011-02-16T14:32:00Z</dcterms:created>
  <dcterms:modified xsi:type="dcterms:W3CDTF">2011-06-27T17:27:00Z</dcterms:modified>
</cp:coreProperties>
</file>