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A9" w:rsidRDefault="004373A9" w:rsidP="004373A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pt" o:ole="">
            <v:imagedata r:id="rId7" o:title=""/>
          </v:shape>
          <o:OLEObject Type="Embed" ProgID="Presentations.Drawing.13" ShapeID="_x0000_i1025" DrawAspect="Content" ObjectID="_1362828476" r:id="rId8"/>
        </w:object>
      </w:r>
      <w:r>
        <w:t xml:space="preserve"> </w:t>
      </w:r>
      <w:r>
        <w:ptab w:relativeTo="margin" w:alignment="right" w:leader="none"/>
      </w:r>
    </w:p>
    <w:p w:rsidR="004373A9" w:rsidRDefault="004373A9" w:rsidP="004373A9">
      <w:pPr>
        <w:pStyle w:val="Header"/>
      </w:pPr>
    </w:p>
    <w:p w:rsidR="004373A9" w:rsidRPr="006B210C" w:rsidRDefault="004373A9" w:rsidP="004373A9">
      <w:pPr>
        <w:jc w:val="center"/>
        <w:rPr>
          <w:b/>
        </w:rPr>
      </w:pPr>
      <w:r w:rsidRPr="006B210C">
        <w:rPr>
          <w:b/>
        </w:rPr>
        <w:t>SUPREME COURT OF CANADA</w:t>
      </w:r>
    </w:p>
    <w:p w:rsidR="004373A9" w:rsidRDefault="004373A9">
      <w:r>
        <w:t xml:space="preserve"> </w:t>
      </w:r>
    </w:p>
    <w:p w:rsidR="004373A9" w:rsidRDefault="004373A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373A9" w:rsidRPr="006B210C" w:rsidTr="00E30ABC">
        <w:trPr>
          <w:cantSplit/>
        </w:trPr>
        <w:tc>
          <w:tcPr>
            <w:tcW w:w="6768" w:type="dxa"/>
          </w:tcPr>
          <w:p w:rsidR="004373A9" w:rsidRPr="009F4491" w:rsidRDefault="004373A9" w:rsidP="00E30ABC">
            <w:r w:rsidRPr="009F4491">
              <w:rPr>
                <w:b/>
                <w:smallCaps/>
              </w:rPr>
              <w:t xml:space="preserve">Citation </w:t>
            </w:r>
            <w:r w:rsidRPr="009F4491">
              <w:t xml:space="preserve">: R. </w:t>
            </w:r>
            <w:r w:rsidRPr="009F4491">
              <w:rPr>
                <w:i/>
              </w:rPr>
              <w:t>v.</w:t>
            </w:r>
            <w:r w:rsidRPr="009F4491">
              <w:t xml:space="preserve"> White</w:t>
            </w:r>
            <w:r w:rsidRPr="009F4491">
              <w:rPr>
                <w:rStyle w:val="SCCRespondentForIndexChar"/>
                <w:b w:val="0"/>
              </w:rPr>
              <w:t>, 2010 SCC 59, [2010] 3 S.C.R. 374</w:t>
            </w:r>
          </w:p>
        </w:tc>
        <w:tc>
          <w:tcPr>
            <w:tcW w:w="2808" w:type="dxa"/>
          </w:tcPr>
          <w:p w:rsidR="004373A9" w:rsidRPr="006B210C" w:rsidRDefault="004373A9" w:rsidP="00E30ABC">
            <w:r w:rsidRPr="006B210C">
              <w:rPr>
                <w:b/>
                <w:smallCaps/>
              </w:rPr>
              <w:t xml:space="preserve">Date </w:t>
            </w:r>
            <w:r w:rsidRPr="006B210C">
              <w:t xml:space="preserve">: </w:t>
            </w:r>
            <w:r>
              <w:t>20101117</w:t>
            </w:r>
          </w:p>
          <w:p w:rsidR="004373A9" w:rsidRPr="006B210C" w:rsidRDefault="004373A9" w:rsidP="00E30ABC">
            <w:r w:rsidRPr="006B210C">
              <w:rPr>
                <w:b/>
                <w:smallCaps/>
              </w:rPr>
              <w:t xml:space="preserve">Docket </w:t>
            </w:r>
            <w:r w:rsidRPr="006B210C">
              <w:t xml:space="preserve">: </w:t>
            </w:r>
            <w:r>
              <w:t>33330</w:t>
            </w:r>
          </w:p>
        </w:tc>
      </w:tr>
    </w:tbl>
    <w:p w:rsidR="004373A9" w:rsidRPr="006B210C" w:rsidRDefault="004373A9" w:rsidP="004373A9"/>
    <w:p w:rsidR="004373A9" w:rsidRDefault="004373A9" w:rsidP="004373A9">
      <w:pPr>
        <w:pStyle w:val="SCCLsocPrefix"/>
      </w:pPr>
      <w:r>
        <w:t>Between:</w:t>
      </w:r>
    </w:p>
    <w:p w:rsidR="004373A9" w:rsidRDefault="004373A9" w:rsidP="004373A9">
      <w:pPr>
        <w:pStyle w:val="SCCLsocParty"/>
        <w:jc w:val="center"/>
      </w:pPr>
      <w:r>
        <w:t>John (Jack) Robert White</w:t>
      </w:r>
    </w:p>
    <w:p w:rsidR="004373A9" w:rsidRPr="004373A9" w:rsidRDefault="004373A9" w:rsidP="004373A9">
      <w:pPr>
        <w:pStyle w:val="SCCLsocPartyRole"/>
        <w:jc w:val="center"/>
        <w:rPr>
          <w:i w:val="0"/>
        </w:rPr>
      </w:pPr>
      <w:r w:rsidRPr="004373A9">
        <w:rPr>
          <w:i w:val="0"/>
        </w:rPr>
        <w:t>Applicant</w:t>
      </w:r>
    </w:p>
    <w:p w:rsidR="004373A9" w:rsidRPr="004373A9" w:rsidRDefault="004373A9" w:rsidP="004373A9">
      <w:pPr>
        <w:pStyle w:val="SCCLsocVersus"/>
        <w:jc w:val="center"/>
        <w:rPr>
          <w:i w:val="0"/>
        </w:rPr>
      </w:pPr>
      <w:proofErr w:type="gramStart"/>
      <w:r w:rsidRPr="004373A9">
        <w:rPr>
          <w:i w:val="0"/>
        </w:rPr>
        <w:t>and</w:t>
      </w:r>
      <w:proofErr w:type="gramEnd"/>
    </w:p>
    <w:p w:rsidR="004373A9" w:rsidRDefault="004373A9" w:rsidP="004373A9">
      <w:pPr>
        <w:pStyle w:val="SCCLsocParty"/>
        <w:jc w:val="center"/>
      </w:pPr>
      <w:r>
        <w:t xml:space="preserve">Her Majesty </w:t>
      </w:r>
      <w:proofErr w:type="gramStart"/>
      <w:r>
        <w:t>The</w:t>
      </w:r>
      <w:proofErr w:type="gramEnd"/>
      <w:r>
        <w:t xml:space="preserve"> Queen</w:t>
      </w:r>
    </w:p>
    <w:p w:rsidR="004373A9" w:rsidRPr="004373A9" w:rsidRDefault="004373A9" w:rsidP="004373A9">
      <w:pPr>
        <w:pStyle w:val="SCCLsocPartyRole"/>
        <w:jc w:val="center"/>
        <w:rPr>
          <w:i w:val="0"/>
        </w:rPr>
      </w:pPr>
      <w:r w:rsidRPr="004373A9">
        <w:rPr>
          <w:i w:val="0"/>
        </w:rPr>
        <w:t>Respondent</w:t>
      </w:r>
    </w:p>
    <w:p w:rsidR="004373A9" w:rsidRDefault="004373A9" w:rsidP="004373A9"/>
    <w:p w:rsidR="004373A9" w:rsidRPr="006B210C" w:rsidRDefault="004373A9" w:rsidP="004373A9"/>
    <w:p w:rsidR="004373A9" w:rsidRPr="006B210C" w:rsidRDefault="004373A9" w:rsidP="004373A9">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Fish and </w:t>
      </w:r>
      <w:proofErr w:type="spellStart"/>
      <w:r>
        <w:t>Charron</w:t>
      </w:r>
      <w:proofErr w:type="spellEnd"/>
      <w:r>
        <w:t> JJ.</w:t>
      </w:r>
    </w:p>
    <w:p w:rsidR="004373A9" w:rsidRPr="006B210C" w:rsidRDefault="004373A9" w:rsidP="004373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373A9" w:rsidRPr="006B210C" w:rsidTr="00E30ABC">
        <w:trPr>
          <w:cantSplit/>
        </w:trPr>
        <w:tc>
          <w:tcPr>
            <w:tcW w:w="3618" w:type="dxa"/>
          </w:tcPr>
          <w:p w:rsidR="004373A9" w:rsidRDefault="004373A9" w:rsidP="00E30ABC">
            <w:r w:rsidRPr="006B210C">
              <w:rPr>
                <w:b/>
                <w:smallCaps/>
              </w:rPr>
              <w:t>Reasons for Judgment</w:t>
            </w:r>
            <w:r w:rsidRPr="006B210C">
              <w:t xml:space="preserve"> :</w:t>
            </w:r>
          </w:p>
          <w:p w:rsidR="004373A9" w:rsidRDefault="004373A9" w:rsidP="00E30ABC">
            <w:r>
              <w:t>(application to fix tariff of fees)</w:t>
            </w:r>
          </w:p>
          <w:p w:rsidR="004373A9" w:rsidRPr="006B210C" w:rsidRDefault="004373A9" w:rsidP="00E30ABC">
            <w:r>
              <w:t>(</w:t>
            </w:r>
            <w:proofErr w:type="spellStart"/>
            <w:r>
              <w:t>paras</w:t>
            </w:r>
            <w:proofErr w:type="spellEnd"/>
            <w:r>
              <w:t>. 1 to 7)</w:t>
            </w:r>
          </w:p>
        </w:tc>
        <w:tc>
          <w:tcPr>
            <w:tcW w:w="5958" w:type="dxa"/>
          </w:tcPr>
          <w:p w:rsidR="004373A9" w:rsidRPr="006B210C" w:rsidRDefault="004373A9" w:rsidP="00E30ABC">
            <w:proofErr w:type="spellStart"/>
            <w:r>
              <w:t>Binnie</w:t>
            </w:r>
            <w:proofErr w:type="spellEnd"/>
            <w:r>
              <w:t xml:space="preserve"> J. (Fish and </w:t>
            </w:r>
            <w:proofErr w:type="spellStart"/>
            <w:r>
              <w:t>Charron</w:t>
            </w:r>
            <w:proofErr w:type="spellEnd"/>
            <w:r>
              <w:t xml:space="preserve"> JJ. concurring) </w:t>
            </w:r>
          </w:p>
        </w:tc>
      </w:tr>
    </w:tbl>
    <w:p w:rsidR="004373A9" w:rsidRPr="006B210C" w:rsidRDefault="00FC290D" w:rsidP="004373A9">
      <w:r w:rsidRPr="00FC290D">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4373A9" w:rsidRDefault="004373A9">
      <w:r>
        <w:br w:type="page"/>
      </w:r>
    </w:p>
    <w:p w:rsidR="008322BD" w:rsidRPr="00150FB0" w:rsidRDefault="00150FB0" w:rsidP="0035169A">
      <w:pPr>
        <w:spacing w:line="480" w:lineRule="auto"/>
        <w:jc w:val="both"/>
        <w:rPr>
          <w:rStyle w:val="SCCRespondentForRunningHeadChar"/>
          <w:lang w:val="en-US"/>
        </w:rPr>
      </w:pPr>
      <w:r w:rsidRPr="00150FB0">
        <w:lastRenderedPageBreak/>
        <w:t xml:space="preserve">R. </w:t>
      </w:r>
      <w:r w:rsidRPr="00150FB0">
        <w:rPr>
          <w:i/>
        </w:rPr>
        <w:t>v.</w:t>
      </w:r>
      <w:r w:rsidRPr="00150FB0">
        <w:t xml:space="preserve"> White</w:t>
      </w:r>
      <w:r>
        <w:rPr>
          <w:rStyle w:val="SCCRespondentForRunningHeadChar"/>
          <w:lang w:val="en-US"/>
        </w:rPr>
        <w:t xml:space="preserve">, </w:t>
      </w:r>
      <w:r w:rsidRPr="00150FB0">
        <w:rPr>
          <w:rStyle w:val="SCCAppellantForRunningHeadChar"/>
          <w:lang w:val="en-US"/>
        </w:rPr>
        <w:t>2010</w:t>
      </w:r>
      <w:r w:rsidRPr="00150FB0">
        <w:rPr>
          <w:rStyle w:val="SCCRespondentForRunningHeadChar"/>
          <w:smallCaps w:val="0"/>
          <w:lang w:val="en-US"/>
        </w:rPr>
        <w:t xml:space="preserve"> SCC 5</w:t>
      </w:r>
      <w:r>
        <w:rPr>
          <w:rStyle w:val="SCCRespondentForRunningHeadChar"/>
          <w:smallCaps w:val="0"/>
          <w:lang w:val="en-US"/>
        </w:rPr>
        <w:t>9</w:t>
      </w:r>
      <w:r w:rsidRPr="00150FB0">
        <w:rPr>
          <w:rStyle w:val="SCCRespondentForRunningHeadChar"/>
          <w:smallCaps w:val="0"/>
          <w:lang w:val="en-US"/>
        </w:rPr>
        <w:t xml:space="preserve">, [2010] 3 S.C.R. </w:t>
      </w:r>
      <w:r>
        <w:rPr>
          <w:rStyle w:val="SCCRespondentForRunningHeadChar"/>
          <w:smallCaps w:val="0"/>
          <w:lang w:val="en-US"/>
        </w:rPr>
        <w:t>374</w:t>
      </w:r>
    </w:p>
    <w:p w:rsidR="00BB529E" w:rsidRPr="00575C8A" w:rsidRDefault="00BB529E" w:rsidP="00BB529E">
      <w:pPr>
        <w:spacing w:line="480" w:lineRule="auto"/>
        <w:jc w:val="both"/>
        <w:rPr>
          <w:rStyle w:val="SCCRespondentForRunningHeadChar"/>
          <w:lang w:val="en-US"/>
        </w:rPr>
      </w:pPr>
    </w:p>
    <w:p w:rsidR="00FC74DD" w:rsidRDefault="002C3C3B" w:rsidP="00BB529E">
      <w:pPr>
        <w:pStyle w:val="SCCLsocParty"/>
        <w:tabs>
          <w:tab w:val="right" w:pos="8280"/>
        </w:tabs>
        <w:spacing w:line="480" w:lineRule="auto"/>
        <w:rPr>
          <w:b w:val="0"/>
          <w:i/>
        </w:rPr>
      </w:pPr>
      <w:r>
        <w:rPr>
          <w:lang w:val="en-US"/>
        </w:rPr>
        <w:t>John (Jack) Robert White</w:t>
      </w:r>
      <w:r w:rsidR="00BB529E" w:rsidRPr="00575C8A">
        <w:rPr>
          <w:lang w:val="en-US"/>
        </w:rPr>
        <w:tab/>
      </w:r>
      <w:r w:rsidR="00FC74DD" w:rsidRPr="00E56727">
        <w:rPr>
          <w:b w:val="0"/>
          <w:i/>
        </w:rPr>
        <w:t>Applicant</w:t>
      </w:r>
    </w:p>
    <w:p w:rsidR="005B5512" w:rsidRPr="00575C8A" w:rsidRDefault="005B5512" w:rsidP="00BB529E">
      <w:pPr>
        <w:pStyle w:val="SCCLsocParty"/>
        <w:tabs>
          <w:tab w:val="right" w:pos="8280"/>
        </w:tabs>
        <w:spacing w:line="480" w:lineRule="auto"/>
        <w:rPr>
          <w:lang w:val="en-US"/>
        </w:rPr>
      </w:pPr>
    </w:p>
    <w:p w:rsidR="00FC74DD" w:rsidRDefault="00B55BD8" w:rsidP="00BB529E">
      <w:pPr>
        <w:pStyle w:val="SCCLsocVersus"/>
        <w:spacing w:line="480" w:lineRule="auto"/>
      </w:pPr>
      <w:proofErr w:type="gramStart"/>
      <w:r>
        <w:t>v</w:t>
      </w:r>
      <w:proofErr w:type="gramEnd"/>
      <w:r>
        <w:t>.</w:t>
      </w:r>
    </w:p>
    <w:p w:rsidR="005B5512" w:rsidRDefault="005B5512" w:rsidP="00BB529E">
      <w:pPr>
        <w:pStyle w:val="SCCLsocVersus"/>
        <w:spacing w:line="480" w:lineRule="auto"/>
      </w:pPr>
    </w:p>
    <w:p w:rsidR="005B5512" w:rsidRDefault="00BB529E" w:rsidP="00BB529E">
      <w:pPr>
        <w:pStyle w:val="SCCLsocParty"/>
        <w:tabs>
          <w:tab w:val="right" w:pos="8280"/>
        </w:tabs>
        <w:spacing w:line="480" w:lineRule="auto"/>
      </w:pPr>
      <w:r>
        <w:t xml:space="preserve">Her Majesty </w:t>
      </w:r>
      <w:proofErr w:type="gramStart"/>
      <w:r>
        <w:t>T</w:t>
      </w:r>
      <w:r w:rsidR="00B55BD8">
        <w:t>he</w:t>
      </w:r>
      <w:proofErr w:type="gramEnd"/>
      <w:r w:rsidR="00B55BD8">
        <w:t xml:space="preserve"> Queen</w:t>
      </w:r>
      <w:r>
        <w:rPr>
          <w:i/>
        </w:rPr>
        <w:tab/>
      </w:r>
      <w:r w:rsidR="00B55BD8" w:rsidRPr="00E56727">
        <w:rPr>
          <w:b w:val="0"/>
          <w:i/>
        </w:rPr>
        <w:t>Respondent</w:t>
      </w:r>
    </w:p>
    <w:p w:rsidR="00766D14" w:rsidRDefault="00766D14" w:rsidP="00BB529E">
      <w:pPr>
        <w:spacing w:line="480" w:lineRule="auto"/>
        <w:jc w:val="both"/>
      </w:pPr>
    </w:p>
    <w:p w:rsidR="00426659" w:rsidRPr="00426659" w:rsidRDefault="00426659" w:rsidP="00BB529E">
      <w:pPr>
        <w:spacing w:line="480" w:lineRule="auto"/>
        <w:jc w:val="both"/>
        <w:rPr>
          <w:b/>
        </w:rPr>
      </w:pPr>
      <w:r w:rsidRPr="00426659">
        <w:rPr>
          <w:b/>
        </w:rPr>
        <w:t>Indexed as:</w:t>
      </w:r>
      <w:r w:rsidR="00207586">
        <w:rPr>
          <w:b/>
        </w:rPr>
        <w:t>  </w:t>
      </w:r>
      <w:r w:rsidR="00BB529E">
        <w:rPr>
          <w:b/>
        </w:rPr>
        <w:t>R.</w:t>
      </w:r>
      <w:r w:rsidRPr="00426659">
        <w:rPr>
          <w:b/>
        </w:rPr>
        <w:t xml:space="preserve"> </w:t>
      </w:r>
      <w:r w:rsidRPr="00426659">
        <w:rPr>
          <w:b/>
          <w:i/>
        </w:rPr>
        <w:t>v.</w:t>
      </w:r>
      <w:r w:rsidRPr="00426659">
        <w:rPr>
          <w:b/>
        </w:rPr>
        <w:t xml:space="preserve"> </w:t>
      </w:r>
      <w:r w:rsidR="002C3C3B">
        <w:rPr>
          <w:b/>
        </w:rPr>
        <w:t>White</w:t>
      </w:r>
    </w:p>
    <w:p w:rsidR="00426659" w:rsidRDefault="00426659" w:rsidP="00BB529E">
      <w:pPr>
        <w:spacing w:line="480" w:lineRule="auto"/>
        <w:jc w:val="both"/>
      </w:pPr>
    </w:p>
    <w:p w:rsidR="00426659" w:rsidRPr="00C02092" w:rsidRDefault="007F3F08" w:rsidP="00BB529E">
      <w:pPr>
        <w:pStyle w:val="SCCSystemYear"/>
        <w:spacing w:line="480" w:lineRule="auto"/>
        <w:jc w:val="both"/>
      </w:pPr>
      <w:r>
        <w:t>2010</w:t>
      </w:r>
      <w:r w:rsidR="003D0399">
        <w:t xml:space="preserve"> </w:t>
      </w:r>
      <w:r w:rsidR="00426659" w:rsidRPr="00C02092">
        <w:t>SCC </w:t>
      </w:r>
      <w:r w:rsidR="005873D8">
        <w:t>5</w:t>
      </w:r>
      <w:r w:rsidR="002C3C3B">
        <w:t>9</w:t>
      </w:r>
    </w:p>
    <w:p w:rsidR="00426659" w:rsidRDefault="00426659" w:rsidP="00BB529E">
      <w:pPr>
        <w:spacing w:line="480" w:lineRule="auto"/>
        <w:jc w:val="both"/>
      </w:pPr>
    </w:p>
    <w:p w:rsidR="008322BD" w:rsidRDefault="00245F53" w:rsidP="00BB529E">
      <w:pPr>
        <w:spacing w:line="480" w:lineRule="auto"/>
        <w:jc w:val="both"/>
      </w:pPr>
      <w:r>
        <w:t>File No.:  </w:t>
      </w:r>
      <w:r w:rsidR="005873D8">
        <w:t>333</w:t>
      </w:r>
      <w:r w:rsidR="002C3C3B">
        <w:t>30</w:t>
      </w:r>
      <w:r w:rsidR="009B57B3" w:rsidRPr="001426A9">
        <w:t>.</w:t>
      </w:r>
    </w:p>
    <w:p w:rsidR="00E97830" w:rsidRDefault="00E97830" w:rsidP="00BB529E">
      <w:pPr>
        <w:spacing w:line="480" w:lineRule="auto"/>
        <w:jc w:val="both"/>
      </w:pPr>
    </w:p>
    <w:p w:rsidR="008322BD" w:rsidRDefault="00245F53" w:rsidP="00BB529E">
      <w:pPr>
        <w:spacing w:line="480" w:lineRule="auto"/>
        <w:jc w:val="both"/>
      </w:pPr>
      <w:r>
        <w:t>2010:  </w:t>
      </w:r>
      <w:r w:rsidR="00167270">
        <w:t>November 1</w:t>
      </w:r>
      <w:r w:rsidR="002C3C3B">
        <w:t>7</w:t>
      </w:r>
      <w:r w:rsidR="009B57B3" w:rsidRPr="001426A9">
        <w:t>.</w:t>
      </w:r>
    </w:p>
    <w:p w:rsidR="00E97830" w:rsidRDefault="00E97830" w:rsidP="00BB529E">
      <w:pPr>
        <w:spacing w:line="480" w:lineRule="auto"/>
        <w:jc w:val="both"/>
      </w:pPr>
    </w:p>
    <w:p w:rsidR="008322BD" w:rsidRDefault="00207586" w:rsidP="00BB529E">
      <w:pPr>
        <w:spacing w:line="480" w:lineRule="auto"/>
        <w:jc w:val="both"/>
      </w:pPr>
      <w:r>
        <w:t>Present:  </w:t>
      </w:r>
      <w:proofErr w:type="spellStart"/>
      <w:r w:rsidR="009B57B3">
        <w:t>Binnie</w:t>
      </w:r>
      <w:proofErr w:type="spellEnd"/>
      <w:r w:rsidR="009B57B3">
        <w:t xml:space="preserve">, </w:t>
      </w:r>
      <w:r w:rsidR="002C3C3B">
        <w:t xml:space="preserve">Fish </w:t>
      </w:r>
      <w:r w:rsidR="009B57B3">
        <w:t xml:space="preserve">and </w:t>
      </w:r>
      <w:proofErr w:type="spellStart"/>
      <w:r w:rsidR="00C00942">
        <w:t>C</w:t>
      </w:r>
      <w:r w:rsidR="002C3C3B">
        <w:t>harron</w:t>
      </w:r>
      <w:proofErr w:type="spellEnd"/>
      <w:r w:rsidR="00C00942">
        <w:t xml:space="preserve"> </w:t>
      </w:r>
      <w:r w:rsidR="009B57B3" w:rsidRPr="001426A9">
        <w:t>JJ.</w:t>
      </w:r>
    </w:p>
    <w:p w:rsidR="00F97A41" w:rsidRPr="002C3C3B" w:rsidRDefault="00F97A41" w:rsidP="00BB529E">
      <w:pPr>
        <w:spacing w:line="480" w:lineRule="auto"/>
        <w:jc w:val="both"/>
        <w:rPr>
          <w:szCs w:val="24"/>
        </w:rPr>
      </w:pPr>
    </w:p>
    <w:p w:rsidR="00E97830" w:rsidRPr="002C3C3B" w:rsidRDefault="002C3C3B" w:rsidP="00BB529E">
      <w:pPr>
        <w:spacing w:line="480" w:lineRule="auto"/>
        <w:jc w:val="both"/>
        <w:rPr>
          <w:smallCaps/>
          <w:szCs w:val="24"/>
        </w:rPr>
      </w:pPr>
      <w:r w:rsidRPr="002C3C3B">
        <w:rPr>
          <w:smallCaps/>
          <w:szCs w:val="24"/>
        </w:rPr>
        <w:t>application to fix tariff of fees</w:t>
      </w:r>
    </w:p>
    <w:p w:rsidR="00FC74DD" w:rsidRPr="002C3C3B" w:rsidRDefault="00FC74DD" w:rsidP="00051790">
      <w:pPr>
        <w:pStyle w:val="SCCNormalDoubleSpacing"/>
        <w:rPr>
          <w:szCs w:val="24"/>
        </w:rPr>
      </w:pPr>
    </w:p>
    <w:p w:rsidR="00BF336E" w:rsidRPr="001C0766" w:rsidRDefault="00BF336E" w:rsidP="00051790">
      <w:pPr>
        <w:pStyle w:val="SCCNormalDoubleSpacing"/>
        <w:rPr>
          <w:i/>
        </w:rPr>
      </w:pPr>
      <w:r>
        <w:tab/>
      </w:r>
      <w:r w:rsidR="00293251">
        <w:rPr>
          <w:i/>
        </w:rPr>
        <w:t>Criminal law</w:t>
      </w:r>
      <w:r>
        <w:rPr>
          <w:i/>
        </w:rPr>
        <w:t xml:space="preserve"> </w:t>
      </w:r>
      <w:r w:rsidRPr="00FC74DD">
        <w:rPr>
          <w:i/>
        </w:rPr>
        <w:t>—</w:t>
      </w:r>
      <w:r>
        <w:rPr>
          <w:i/>
        </w:rPr>
        <w:t xml:space="preserve"> </w:t>
      </w:r>
      <w:r w:rsidR="00CD68B5">
        <w:rPr>
          <w:i/>
        </w:rPr>
        <w:t xml:space="preserve">Barristers and Solicitors </w:t>
      </w:r>
      <w:r w:rsidR="00CD68B5" w:rsidRPr="00FC74DD">
        <w:rPr>
          <w:i/>
        </w:rPr>
        <w:t>—</w:t>
      </w:r>
      <w:r w:rsidR="00CD68B5">
        <w:rPr>
          <w:i/>
        </w:rPr>
        <w:t xml:space="preserve"> </w:t>
      </w:r>
      <w:r>
        <w:rPr>
          <w:i/>
        </w:rPr>
        <w:t xml:space="preserve">Court-appointed counsel </w:t>
      </w:r>
      <w:r w:rsidRPr="00FC74DD">
        <w:rPr>
          <w:i/>
        </w:rPr>
        <w:t>—</w:t>
      </w:r>
      <w:r>
        <w:rPr>
          <w:i/>
        </w:rPr>
        <w:t xml:space="preserve"> Fixing counsel fees </w:t>
      </w:r>
      <w:r w:rsidRPr="00FC74DD">
        <w:rPr>
          <w:i/>
        </w:rPr>
        <w:t>—</w:t>
      </w:r>
      <w:r w:rsidR="00585D3E">
        <w:rPr>
          <w:i/>
        </w:rPr>
        <w:t xml:space="preserve"> </w:t>
      </w:r>
      <w:r w:rsidR="00D538E3">
        <w:rPr>
          <w:i/>
        </w:rPr>
        <w:t xml:space="preserve">Counsel appointed by Supreme Court of Canada under Criminal Code </w:t>
      </w:r>
      <w:r w:rsidR="00D538E3" w:rsidRPr="00FC74DD">
        <w:rPr>
          <w:i/>
        </w:rPr>
        <w:t>—</w:t>
      </w:r>
      <w:r w:rsidR="00D538E3">
        <w:rPr>
          <w:i/>
        </w:rPr>
        <w:t xml:space="preserve"> </w:t>
      </w:r>
      <w:r w:rsidR="00293251">
        <w:rPr>
          <w:i/>
        </w:rPr>
        <w:t>P</w:t>
      </w:r>
      <w:r w:rsidR="00585D3E">
        <w:rPr>
          <w:i/>
        </w:rPr>
        <w:t>arties</w:t>
      </w:r>
      <w:r w:rsidR="00293251">
        <w:rPr>
          <w:i/>
        </w:rPr>
        <w:t xml:space="preserve"> disagreeing</w:t>
      </w:r>
      <w:r w:rsidR="00585D3E">
        <w:rPr>
          <w:i/>
        </w:rPr>
        <w:t xml:space="preserve"> about</w:t>
      </w:r>
      <w:r w:rsidR="00D538E3">
        <w:rPr>
          <w:i/>
        </w:rPr>
        <w:t xml:space="preserve"> counsel</w:t>
      </w:r>
      <w:r w:rsidR="00585D3E">
        <w:rPr>
          <w:i/>
        </w:rPr>
        <w:t xml:space="preserve"> rates to be paid by Attorney </w:t>
      </w:r>
      <w:r w:rsidR="00585D3E">
        <w:rPr>
          <w:i/>
        </w:rPr>
        <w:lastRenderedPageBreak/>
        <w:t>General</w:t>
      </w:r>
      <w:r w:rsidR="000A1EF1">
        <w:rPr>
          <w:i/>
        </w:rPr>
        <w:t xml:space="preserve"> </w:t>
      </w:r>
      <w:r w:rsidR="00585D3E" w:rsidRPr="00FC74DD">
        <w:rPr>
          <w:i/>
        </w:rPr>
        <w:t>—</w:t>
      </w:r>
      <w:r w:rsidR="00585D3E">
        <w:rPr>
          <w:i/>
        </w:rPr>
        <w:t xml:space="preserve"> Whether</w:t>
      </w:r>
      <w:r w:rsidR="00293251">
        <w:rPr>
          <w:i/>
        </w:rPr>
        <w:t xml:space="preserve"> provincial</w:t>
      </w:r>
      <w:r w:rsidR="00585D3E">
        <w:rPr>
          <w:i/>
        </w:rPr>
        <w:t xml:space="preserve"> legal aid tariff should apply or whether</w:t>
      </w:r>
      <w:r w:rsidR="00D538E3">
        <w:rPr>
          <w:i/>
        </w:rPr>
        <w:t xml:space="preserve"> </w:t>
      </w:r>
      <w:r w:rsidR="00585D3E">
        <w:rPr>
          <w:i/>
        </w:rPr>
        <w:t xml:space="preserve">assessment of what is fair and reasonable in the circumstances is correct method of </w:t>
      </w:r>
      <w:r w:rsidR="001C0766">
        <w:rPr>
          <w:i/>
        </w:rPr>
        <w:t>determining</w:t>
      </w:r>
      <w:r w:rsidR="00585D3E">
        <w:rPr>
          <w:i/>
        </w:rPr>
        <w:t xml:space="preserve"> </w:t>
      </w:r>
      <w:r w:rsidR="00A42639">
        <w:rPr>
          <w:i/>
        </w:rPr>
        <w:t>fees</w:t>
      </w:r>
      <w:r w:rsidR="001C0766">
        <w:rPr>
          <w:i/>
        </w:rPr>
        <w:t xml:space="preserve"> </w:t>
      </w:r>
      <w:r w:rsidR="001C0766" w:rsidRPr="00FC74DD">
        <w:rPr>
          <w:i/>
        </w:rPr>
        <w:t>—</w:t>
      </w:r>
      <w:r w:rsidR="001C0766">
        <w:rPr>
          <w:i/>
        </w:rPr>
        <w:t xml:space="preserve"> </w:t>
      </w:r>
      <w:r w:rsidRPr="001C0766">
        <w:rPr>
          <w:i/>
          <w:lang w:val="en-US"/>
        </w:rPr>
        <w:t>Criminal Code, R.S.C. 1985, c. C-46, s. 694.1</w:t>
      </w:r>
      <w:r w:rsidR="00A42639">
        <w:rPr>
          <w:i/>
          <w:lang w:val="en-US"/>
        </w:rPr>
        <w:t>.</w:t>
      </w:r>
    </w:p>
    <w:p w:rsidR="00475AF2" w:rsidRPr="001C0766" w:rsidRDefault="00475AF2" w:rsidP="00051790">
      <w:pPr>
        <w:pStyle w:val="SCCNormalDoubleSpacing"/>
        <w:rPr>
          <w:i/>
          <w:lang w:val="en-US"/>
        </w:rPr>
      </w:pPr>
    </w:p>
    <w:p w:rsidR="00795216" w:rsidRPr="00522609" w:rsidRDefault="00795216" w:rsidP="00795216">
      <w:pPr>
        <w:pStyle w:val="SCCNormalDoubleSpacing"/>
        <w:keepNext/>
        <w:keepLines/>
        <w:rPr>
          <w:b/>
        </w:rPr>
      </w:pPr>
      <w:r w:rsidRPr="00314E01">
        <w:rPr>
          <w:b/>
        </w:rPr>
        <w:t>Cases Cited</w:t>
      </w:r>
    </w:p>
    <w:p w:rsidR="00795216" w:rsidRDefault="00795216" w:rsidP="00795216">
      <w:pPr>
        <w:spacing w:line="480" w:lineRule="auto"/>
        <w:jc w:val="both"/>
        <w:rPr>
          <w:szCs w:val="24"/>
        </w:rPr>
      </w:pPr>
    </w:p>
    <w:p w:rsidR="00FC74DD" w:rsidRDefault="00FC290D" w:rsidP="00795216">
      <w:pPr>
        <w:pStyle w:val="SCCNormalDoubleSpacing"/>
        <w:rPr>
          <w:szCs w:val="24"/>
        </w:rPr>
      </w:pPr>
      <w:r>
        <w:rPr>
          <w:szCs w:val="24"/>
        </w:rPr>
        <w:fldChar w:fldCharType="begin"/>
      </w:r>
      <w:r w:rsidR="00795216">
        <w:rPr>
          <w:szCs w:val="24"/>
        </w:rPr>
        <w:instrText xml:space="preserve"> SEQ CHAPTER \h \r 1</w:instrText>
      </w:r>
      <w:r>
        <w:rPr>
          <w:szCs w:val="24"/>
        </w:rPr>
        <w:fldChar w:fldCharType="end"/>
      </w:r>
      <w:r w:rsidR="00795216">
        <w:rPr>
          <w:szCs w:val="24"/>
        </w:rPr>
        <w:tab/>
      </w:r>
      <w:r w:rsidR="00795216">
        <w:rPr>
          <w:b/>
          <w:bCs/>
          <w:szCs w:val="24"/>
        </w:rPr>
        <w:t>Referred to:</w:t>
      </w:r>
      <w:r w:rsidR="00795216">
        <w:rPr>
          <w:szCs w:val="24"/>
        </w:rPr>
        <w:t xml:space="preserve">  </w:t>
      </w:r>
      <w:r w:rsidR="00795216">
        <w:rPr>
          <w:i/>
          <w:szCs w:val="24"/>
        </w:rPr>
        <w:t xml:space="preserve">R. v. </w:t>
      </w:r>
      <w:proofErr w:type="spellStart"/>
      <w:r w:rsidR="00795216">
        <w:rPr>
          <w:i/>
          <w:szCs w:val="24"/>
        </w:rPr>
        <w:t>Cairenius</w:t>
      </w:r>
      <w:proofErr w:type="spellEnd"/>
      <w:r w:rsidR="00795216">
        <w:rPr>
          <w:szCs w:val="24"/>
        </w:rPr>
        <w:t xml:space="preserve"> (2008), 232 C.C.C. (3d) 13;</w:t>
      </w:r>
      <w:r w:rsidR="00795216" w:rsidRPr="001C7635">
        <w:rPr>
          <w:szCs w:val="24"/>
        </w:rPr>
        <w:t xml:space="preserve"> </w:t>
      </w:r>
      <w:r w:rsidR="00795216" w:rsidRPr="001C7635">
        <w:rPr>
          <w:i/>
          <w:szCs w:val="24"/>
        </w:rPr>
        <w:t xml:space="preserve">R. v. </w:t>
      </w:r>
      <w:proofErr w:type="spellStart"/>
      <w:r w:rsidR="00795216" w:rsidRPr="001C7635">
        <w:rPr>
          <w:i/>
          <w:szCs w:val="24"/>
        </w:rPr>
        <w:t>Magda</w:t>
      </w:r>
      <w:proofErr w:type="spellEnd"/>
      <w:r w:rsidR="00795216">
        <w:rPr>
          <w:szCs w:val="24"/>
        </w:rPr>
        <w:t xml:space="preserve">, [2001] O.J. No. 1861 (QL); </w:t>
      </w:r>
      <w:r w:rsidR="00795216" w:rsidRPr="001C7635">
        <w:rPr>
          <w:i/>
          <w:szCs w:val="24"/>
        </w:rPr>
        <w:t>Egan v. Canada</w:t>
      </w:r>
      <w:r w:rsidR="00795216" w:rsidRPr="001C7635">
        <w:rPr>
          <w:szCs w:val="24"/>
        </w:rPr>
        <w:t>, [1995] 2 S.C.R. 513</w:t>
      </w:r>
      <w:r w:rsidR="00795216">
        <w:rPr>
          <w:szCs w:val="24"/>
        </w:rPr>
        <w:t xml:space="preserve">; </w:t>
      </w:r>
      <w:r w:rsidR="00795216">
        <w:rPr>
          <w:i/>
          <w:szCs w:val="24"/>
        </w:rPr>
        <w:t>Alberta (</w:t>
      </w:r>
      <w:r w:rsidR="00795216" w:rsidRPr="001C7635">
        <w:rPr>
          <w:i/>
          <w:szCs w:val="24"/>
        </w:rPr>
        <w:t>Chief Commissioner of the Human Rights and Citizenship Commission</w:t>
      </w:r>
      <w:r w:rsidR="00795216" w:rsidRPr="00A92AC9">
        <w:rPr>
          <w:i/>
          <w:szCs w:val="24"/>
        </w:rPr>
        <w:t>)</w:t>
      </w:r>
      <w:r w:rsidR="00795216" w:rsidRPr="001C7635">
        <w:rPr>
          <w:i/>
          <w:szCs w:val="24"/>
        </w:rPr>
        <w:t xml:space="preserve"> </w:t>
      </w:r>
      <w:r w:rsidR="00795216" w:rsidRPr="00A92AC9">
        <w:rPr>
          <w:i/>
          <w:szCs w:val="24"/>
        </w:rPr>
        <w:t>v. Brewer</w:t>
      </w:r>
      <w:r w:rsidR="00031EDA">
        <w:rPr>
          <w:szCs w:val="24"/>
        </w:rPr>
        <w:t xml:space="preserve">, S.C.C., No. 32695, </w:t>
      </w:r>
      <w:r w:rsidR="00031EDA" w:rsidRPr="00E86E18">
        <w:rPr>
          <w:szCs w:val="24"/>
        </w:rPr>
        <w:t>August 25, 2009</w:t>
      </w:r>
      <w:r w:rsidR="00795216" w:rsidRPr="00031EDA">
        <w:rPr>
          <w:szCs w:val="24"/>
        </w:rPr>
        <w:t xml:space="preserve"> </w:t>
      </w:r>
      <w:r w:rsidR="00795216" w:rsidRPr="001C7635">
        <w:rPr>
          <w:szCs w:val="24"/>
        </w:rPr>
        <w:t>(</w:t>
      </w:r>
      <w:r w:rsidR="00031EDA">
        <w:rPr>
          <w:szCs w:val="24"/>
        </w:rPr>
        <w:t xml:space="preserve">reproduced in </w:t>
      </w:r>
      <w:r w:rsidR="00031EDA" w:rsidRPr="00031EDA">
        <w:rPr>
          <w:i/>
        </w:rPr>
        <w:t>Bulletin of Proceedings of the Supreme Court of Canada</w:t>
      </w:r>
      <w:r w:rsidR="00031EDA">
        <w:t>,</w:t>
      </w:r>
      <w:r w:rsidR="00795216">
        <w:rPr>
          <w:szCs w:val="24"/>
        </w:rPr>
        <w:t xml:space="preserve"> </w:t>
      </w:r>
      <w:r w:rsidR="002739DD">
        <w:rPr>
          <w:szCs w:val="24"/>
        </w:rPr>
        <w:t>February 19, 2010</w:t>
      </w:r>
      <w:r w:rsidR="005003F6">
        <w:rPr>
          <w:szCs w:val="24"/>
        </w:rPr>
        <w:t>, p. 224</w:t>
      </w:r>
      <w:r w:rsidR="00795216">
        <w:rPr>
          <w:szCs w:val="24"/>
        </w:rPr>
        <w:t>);</w:t>
      </w:r>
      <w:r w:rsidR="00795216" w:rsidRPr="001C7635">
        <w:rPr>
          <w:szCs w:val="24"/>
        </w:rPr>
        <w:t xml:space="preserve"> </w:t>
      </w:r>
      <w:r w:rsidR="00795216" w:rsidRPr="001C7635">
        <w:rPr>
          <w:i/>
          <w:szCs w:val="24"/>
        </w:rPr>
        <w:t xml:space="preserve">R. v. </w:t>
      </w:r>
      <w:proofErr w:type="spellStart"/>
      <w:r w:rsidR="00795216" w:rsidRPr="001C7635">
        <w:rPr>
          <w:i/>
          <w:szCs w:val="24"/>
        </w:rPr>
        <w:t>Pietrangelo</w:t>
      </w:r>
      <w:proofErr w:type="spellEnd"/>
      <w:r w:rsidR="00795216" w:rsidRPr="001C7635">
        <w:rPr>
          <w:szCs w:val="24"/>
        </w:rPr>
        <w:t>, 2008 ONCA 547</w:t>
      </w:r>
      <w:r w:rsidR="00795216">
        <w:rPr>
          <w:szCs w:val="24"/>
        </w:rPr>
        <w:t xml:space="preserve">, [2008] O.J. No. 5137 (QL); </w:t>
      </w:r>
      <w:r w:rsidR="00795216" w:rsidRPr="001C7635">
        <w:rPr>
          <w:i/>
          <w:szCs w:val="24"/>
        </w:rPr>
        <w:t>R. v. Kumar</w:t>
      </w:r>
      <w:r w:rsidR="00795216" w:rsidRPr="001C7635">
        <w:rPr>
          <w:szCs w:val="24"/>
        </w:rPr>
        <w:t xml:space="preserve"> </w:t>
      </w:r>
      <w:r w:rsidR="00795216">
        <w:rPr>
          <w:szCs w:val="24"/>
        </w:rPr>
        <w:t>(</w:t>
      </w:r>
      <w:r w:rsidR="00795216" w:rsidRPr="00E56727">
        <w:rPr>
          <w:szCs w:val="24"/>
        </w:rPr>
        <w:t xml:space="preserve">endorsement </w:t>
      </w:r>
      <w:r w:rsidR="00E56727" w:rsidRPr="00E56727">
        <w:rPr>
          <w:szCs w:val="24"/>
        </w:rPr>
        <w:t>of the Court of Appeal</w:t>
      </w:r>
      <w:r w:rsidR="00AD1AA7" w:rsidRPr="00AD1AA7">
        <w:rPr>
          <w:szCs w:val="24"/>
        </w:rPr>
        <w:t xml:space="preserve"> </w:t>
      </w:r>
      <w:r w:rsidR="00AD1AA7">
        <w:rPr>
          <w:szCs w:val="24"/>
        </w:rPr>
        <w:t xml:space="preserve">for </w:t>
      </w:r>
      <w:r w:rsidR="00AD1AA7" w:rsidRPr="00E56727">
        <w:rPr>
          <w:szCs w:val="24"/>
        </w:rPr>
        <w:t>Ontario</w:t>
      </w:r>
      <w:r w:rsidR="00E56727" w:rsidRPr="00E56727">
        <w:rPr>
          <w:szCs w:val="24"/>
        </w:rPr>
        <w:t>,</w:t>
      </w:r>
      <w:r w:rsidR="00795216" w:rsidRPr="00E56727">
        <w:rPr>
          <w:szCs w:val="24"/>
        </w:rPr>
        <w:t xml:space="preserve"> </w:t>
      </w:r>
      <w:r w:rsidR="00CA3E63">
        <w:rPr>
          <w:szCs w:val="24"/>
        </w:rPr>
        <w:t xml:space="preserve">C48821, </w:t>
      </w:r>
      <w:r w:rsidR="00795216" w:rsidRPr="00E56727">
        <w:rPr>
          <w:szCs w:val="24"/>
        </w:rPr>
        <w:t xml:space="preserve">October 2, 2008); </w:t>
      </w:r>
      <w:r w:rsidR="00795216" w:rsidRPr="00E56727">
        <w:rPr>
          <w:i/>
          <w:szCs w:val="24"/>
        </w:rPr>
        <w:t>R. v. C.M</w:t>
      </w:r>
      <w:r w:rsidR="00795216" w:rsidRPr="00E56727">
        <w:rPr>
          <w:szCs w:val="24"/>
        </w:rPr>
        <w:t xml:space="preserve">. (endorsement </w:t>
      </w:r>
      <w:r w:rsidR="00E56727" w:rsidRPr="00E56727">
        <w:rPr>
          <w:szCs w:val="24"/>
        </w:rPr>
        <w:t xml:space="preserve">of the </w:t>
      </w:r>
      <w:r w:rsidR="00AD1AA7" w:rsidRPr="00E56727">
        <w:rPr>
          <w:szCs w:val="24"/>
        </w:rPr>
        <w:t>Court of Appeal</w:t>
      </w:r>
      <w:r w:rsidR="00AD1AA7" w:rsidRPr="00AD1AA7">
        <w:rPr>
          <w:szCs w:val="24"/>
        </w:rPr>
        <w:t xml:space="preserve"> </w:t>
      </w:r>
      <w:r w:rsidR="00AD1AA7">
        <w:rPr>
          <w:szCs w:val="24"/>
        </w:rPr>
        <w:t xml:space="preserve">for </w:t>
      </w:r>
      <w:r w:rsidR="00AD1AA7" w:rsidRPr="00E56727">
        <w:rPr>
          <w:szCs w:val="24"/>
        </w:rPr>
        <w:t>Ontario</w:t>
      </w:r>
      <w:r w:rsidR="00E56727" w:rsidRPr="00E56727">
        <w:rPr>
          <w:szCs w:val="24"/>
        </w:rPr>
        <w:t xml:space="preserve">, </w:t>
      </w:r>
      <w:r w:rsidR="00CA3E63">
        <w:rPr>
          <w:szCs w:val="24"/>
        </w:rPr>
        <w:t xml:space="preserve">C36764/M36765, </w:t>
      </w:r>
      <w:r w:rsidR="00795216" w:rsidRPr="00E56727">
        <w:rPr>
          <w:szCs w:val="24"/>
        </w:rPr>
        <w:t>October 24, 2008);</w:t>
      </w:r>
      <w:r w:rsidR="00795216" w:rsidRPr="00E56727">
        <w:rPr>
          <w:i/>
          <w:szCs w:val="24"/>
        </w:rPr>
        <w:t xml:space="preserve"> R. v. </w:t>
      </w:r>
      <w:proofErr w:type="spellStart"/>
      <w:r w:rsidR="00795216" w:rsidRPr="00E56727">
        <w:rPr>
          <w:i/>
          <w:szCs w:val="24"/>
        </w:rPr>
        <w:t>Hanemaayer</w:t>
      </w:r>
      <w:proofErr w:type="spellEnd"/>
      <w:r w:rsidR="00795216" w:rsidRPr="00E56727">
        <w:rPr>
          <w:szCs w:val="24"/>
        </w:rPr>
        <w:t xml:space="preserve"> (endorsement </w:t>
      </w:r>
      <w:r w:rsidR="00E56727" w:rsidRPr="00E56727">
        <w:rPr>
          <w:szCs w:val="24"/>
        </w:rPr>
        <w:t xml:space="preserve">of the </w:t>
      </w:r>
      <w:r w:rsidR="00AD1AA7" w:rsidRPr="00E56727">
        <w:rPr>
          <w:szCs w:val="24"/>
        </w:rPr>
        <w:t>Court of Appeal</w:t>
      </w:r>
      <w:r w:rsidR="00AD1AA7" w:rsidRPr="00AD1AA7">
        <w:rPr>
          <w:szCs w:val="24"/>
        </w:rPr>
        <w:t xml:space="preserve"> </w:t>
      </w:r>
      <w:r w:rsidR="00AD1AA7">
        <w:rPr>
          <w:szCs w:val="24"/>
        </w:rPr>
        <w:t xml:space="preserve">for </w:t>
      </w:r>
      <w:r w:rsidR="00AD1AA7" w:rsidRPr="00E56727">
        <w:rPr>
          <w:szCs w:val="24"/>
        </w:rPr>
        <w:t>Ontario</w:t>
      </w:r>
      <w:r w:rsidR="00E56727" w:rsidRPr="00E56727">
        <w:rPr>
          <w:szCs w:val="24"/>
        </w:rPr>
        <w:t xml:space="preserve">, </w:t>
      </w:r>
      <w:r w:rsidR="00CA3E63">
        <w:rPr>
          <w:szCs w:val="24"/>
        </w:rPr>
        <w:t xml:space="preserve">C48928, </w:t>
      </w:r>
      <w:r w:rsidR="00795216" w:rsidRPr="00E56727">
        <w:rPr>
          <w:szCs w:val="24"/>
        </w:rPr>
        <w:t>January 13, 2009).</w:t>
      </w:r>
    </w:p>
    <w:p w:rsidR="00795216" w:rsidRDefault="00795216" w:rsidP="00795216">
      <w:pPr>
        <w:pStyle w:val="SCCNormalDoubleSpacing"/>
      </w:pPr>
    </w:p>
    <w:p w:rsidR="008A40CD" w:rsidRPr="008A40CD" w:rsidRDefault="008A40CD" w:rsidP="008A40CD">
      <w:pPr>
        <w:pStyle w:val="SCCNormalDoubleSpacing"/>
        <w:spacing w:line="240" w:lineRule="auto"/>
        <w:rPr>
          <w:b/>
        </w:rPr>
      </w:pPr>
      <w:r w:rsidRPr="008A40CD">
        <w:rPr>
          <w:b/>
        </w:rPr>
        <w:t>Statutes and Regulations Cited</w:t>
      </w:r>
    </w:p>
    <w:p w:rsidR="008A40CD" w:rsidRDefault="008A40CD" w:rsidP="008A40CD">
      <w:pPr>
        <w:pStyle w:val="SCCNormalDoubleSpacing"/>
        <w:spacing w:line="240" w:lineRule="auto"/>
      </w:pPr>
    </w:p>
    <w:p w:rsidR="008A40CD" w:rsidRPr="004373A9" w:rsidRDefault="00293251" w:rsidP="00475AF2">
      <w:pPr>
        <w:pStyle w:val="SCCNormalDoubleSpacing"/>
        <w:spacing w:line="240" w:lineRule="auto"/>
        <w:ind w:left="720" w:hanging="720"/>
        <w:rPr>
          <w:lang w:val="fr-CA"/>
        </w:rPr>
      </w:pPr>
      <w:proofErr w:type="spellStart"/>
      <w:r w:rsidRPr="004373A9">
        <w:rPr>
          <w:i/>
          <w:iCs/>
          <w:lang w:val="fr-CA"/>
        </w:rPr>
        <w:t>Criminal</w:t>
      </w:r>
      <w:proofErr w:type="spellEnd"/>
      <w:r w:rsidR="008A40CD" w:rsidRPr="004373A9">
        <w:rPr>
          <w:i/>
          <w:iCs/>
          <w:lang w:val="fr-CA"/>
        </w:rPr>
        <w:t xml:space="preserve"> Code</w:t>
      </w:r>
      <w:r w:rsidR="008A40CD" w:rsidRPr="004373A9">
        <w:rPr>
          <w:lang w:val="fr-CA"/>
        </w:rPr>
        <w:t>, R.S.C. 1985, c. C</w:t>
      </w:r>
      <w:r w:rsidR="008A40CD" w:rsidRPr="004373A9">
        <w:rPr>
          <w:lang w:val="fr-CA"/>
        </w:rPr>
        <w:noBreakHyphen/>
        <w:t xml:space="preserve">46, </w:t>
      </w:r>
      <w:proofErr w:type="spellStart"/>
      <w:r w:rsidR="008A40CD" w:rsidRPr="004373A9">
        <w:rPr>
          <w:lang w:val="fr-CA"/>
        </w:rPr>
        <w:t>ss</w:t>
      </w:r>
      <w:proofErr w:type="spellEnd"/>
      <w:r w:rsidR="008A40CD" w:rsidRPr="004373A9">
        <w:rPr>
          <w:lang w:val="fr-CA"/>
        </w:rPr>
        <w:t xml:space="preserve">. </w:t>
      </w:r>
      <w:r w:rsidR="007379B4" w:rsidRPr="004373A9">
        <w:rPr>
          <w:lang w:val="fr-CA"/>
        </w:rPr>
        <w:t>684(3)</w:t>
      </w:r>
      <w:r w:rsidR="00143D31" w:rsidRPr="004373A9">
        <w:rPr>
          <w:lang w:val="fr-CA"/>
        </w:rPr>
        <w:t xml:space="preserve">, </w:t>
      </w:r>
      <w:r w:rsidR="005003F6" w:rsidRPr="004373A9">
        <w:rPr>
          <w:lang w:val="fr-CA"/>
        </w:rPr>
        <w:t xml:space="preserve">694, </w:t>
      </w:r>
      <w:r w:rsidR="008A40CD" w:rsidRPr="004373A9">
        <w:rPr>
          <w:lang w:val="fr-CA"/>
        </w:rPr>
        <w:t>694.</w:t>
      </w:r>
      <w:r w:rsidR="00795216" w:rsidRPr="004373A9">
        <w:rPr>
          <w:lang w:val="fr-CA"/>
        </w:rPr>
        <w:t>1</w:t>
      </w:r>
      <w:r w:rsidR="008A40CD" w:rsidRPr="004373A9">
        <w:rPr>
          <w:lang w:val="fr-CA"/>
        </w:rPr>
        <w:t>.</w:t>
      </w:r>
    </w:p>
    <w:p w:rsidR="00795216" w:rsidRPr="004373A9" w:rsidRDefault="00795216" w:rsidP="008A40CD">
      <w:pPr>
        <w:pStyle w:val="SCCNormalDoubleSpacing"/>
        <w:spacing w:line="240" w:lineRule="auto"/>
        <w:rPr>
          <w:lang w:val="fr-CA"/>
        </w:rPr>
      </w:pPr>
    </w:p>
    <w:p w:rsidR="008A40CD" w:rsidRPr="004373A9" w:rsidRDefault="008A40CD" w:rsidP="00051790">
      <w:pPr>
        <w:pStyle w:val="SCCNormalDoubleSpacing"/>
        <w:rPr>
          <w:lang w:val="fr-CA"/>
        </w:rPr>
      </w:pPr>
    </w:p>
    <w:p w:rsidR="00AE5E57" w:rsidRDefault="00F97A41" w:rsidP="00051790">
      <w:pPr>
        <w:pStyle w:val="SCCNormalDoubleSpacing"/>
      </w:pPr>
      <w:r w:rsidRPr="004373A9">
        <w:rPr>
          <w:lang w:val="fr-CA"/>
        </w:rPr>
        <w:tab/>
      </w:r>
      <w:proofErr w:type="gramStart"/>
      <w:r w:rsidR="002C3C3B">
        <w:t>APPLICATION</w:t>
      </w:r>
      <w:r w:rsidRPr="008A40CD">
        <w:t xml:space="preserve"> to </w:t>
      </w:r>
      <w:r w:rsidR="002C3C3B">
        <w:t>fix tariff of fees</w:t>
      </w:r>
      <w:r w:rsidRPr="008A40CD">
        <w:t>.</w:t>
      </w:r>
      <w:proofErr w:type="gramEnd"/>
      <w:r w:rsidRPr="008A40CD">
        <w:t xml:space="preserve">  </w:t>
      </w:r>
      <w:r w:rsidR="00E56727">
        <w:t>Application granted</w:t>
      </w:r>
      <w:r w:rsidRPr="008A40CD">
        <w:t>.</w:t>
      </w:r>
    </w:p>
    <w:p w:rsidR="008A40CD" w:rsidRDefault="008A40CD" w:rsidP="00051790">
      <w:pPr>
        <w:pStyle w:val="SCCNormalDoubleSpacing"/>
      </w:pPr>
    </w:p>
    <w:p w:rsidR="005B5512" w:rsidRPr="00857828" w:rsidRDefault="00B55BD8" w:rsidP="00051790">
      <w:pPr>
        <w:pStyle w:val="SCCNormalDoubleSpacing"/>
        <w:rPr>
          <w:rStyle w:val="SCCCounselPartyRoleChar"/>
        </w:rPr>
      </w:pPr>
      <w:r>
        <w:rPr>
          <w:rStyle w:val="SCCCounselNameChar"/>
        </w:rPr>
        <w:tab/>
      </w:r>
      <w:proofErr w:type="gramStart"/>
      <w:r w:rsidR="00037CD2" w:rsidRPr="00857828">
        <w:rPr>
          <w:rStyle w:val="SCCCounselNameChar"/>
        </w:rPr>
        <w:t xml:space="preserve">James </w:t>
      </w:r>
      <w:proofErr w:type="spellStart"/>
      <w:r w:rsidR="00037CD2" w:rsidRPr="00857828">
        <w:rPr>
          <w:rStyle w:val="SCCCounselNameChar"/>
        </w:rPr>
        <w:t>Lockyer</w:t>
      </w:r>
      <w:proofErr w:type="spellEnd"/>
      <w:r w:rsidR="00167270" w:rsidRPr="00857828">
        <w:rPr>
          <w:rStyle w:val="SCCCounselNameChar"/>
          <w:i w:val="0"/>
        </w:rPr>
        <w:t xml:space="preserve"> </w:t>
      </w:r>
      <w:r w:rsidR="00037CD2" w:rsidRPr="00857828">
        <w:rPr>
          <w:rStyle w:val="SCCCounselPartyRoleChar"/>
        </w:rPr>
        <w:t xml:space="preserve">and </w:t>
      </w:r>
      <w:r w:rsidR="002C3C3B" w:rsidRPr="00857828">
        <w:rPr>
          <w:rStyle w:val="SCCCounselPartyRoleChar"/>
          <w:i/>
        </w:rPr>
        <w:t>Joanne McLean</w:t>
      </w:r>
      <w:r w:rsidR="00037CD2" w:rsidRPr="00857828">
        <w:rPr>
          <w:rStyle w:val="SCCCounselPartyRoleChar"/>
        </w:rPr>
        <w:t>,</w:t>
      </w:r>
      <w:r w:rsidRPr="00857828">
        <w:rPr>
          <w:rStyle w:val="SCCCounselPartyRoleChar"/>
        </w:rPr>
        <w:t xml:space="preserve"> for the </w:t>
      </w:r>
      <w:r w:rsidR="008A40CD" w:rsidRPr="00857828">
        <w:rPr>
          <w:rStyle w:val="SCCCounselPartyRoleChar"/>
        </w:rPr>
        <w:t>applicant</w:t>
      </w:r>
      <w:r w:rsidRPr="00857828">
        <w:rPr>
          <w:rStyle w:val="SCCCounselPartyRoleChar"/>
        </w:rPr>
        <w:t>.</w:t>
      </w:r>
      <w:proofErr w:type="gramEnd"/>
    </w:p>
    <w:p w:rsidR="00F97A41" w:rsidRPr="00857828" w:rsidRDefault="00F97A41" w:rsidP="00051790">
      <w:pPr>
        <w:pStyle w:val="SCCNormalDoubleSpacing"/>
      </w:pPr>
    </w:p>
    <w:p w:rsidR="003E00AD" w:rsidRDefault="00245F53" w:rsidP="005003F6">
      <w:pPr>
        <w:pStyle w:val="SCCNormalDoubleSpacing"/>
        <w:spacing w:after="480"/>
        <w:rPr>
          <w:rStyle w:val="SCCCounselPartyRoleChar"/>
        </w:rPr>
      </w:pPr>
      <w:r w:rsidRPr="00857828">
        <w:rPr>
          <w:rStyle w:val="SCCCounselNameChar"/>
        </w:rPr>
        <w:lastRenderedPageBreak/>
        <w:tab/>
      </w:r>
      <w:proofErr w:type="gramStart"/>
      <w:r w:rsidR="00857828" w:rsidRPr="00857828">
        <w:rPr>
          <w:rStyle w:val="SCCCounselNameChar"/>
        </w:rPr>
        <w:t xml:space="preserve">Jennifer M. </w:t>
      </w:r>
      <w:proofErr w:type="spellStart"/>
      <w:r w:rsidR="00857828" w:rsidRPr="00857828">
        <w:rPr>
          <w:rStyle w:val="SCCCounselNameChar"/>
        </w:rPr>
        <w:t>Woollcombe</w:t>
      </w:r>
      <w:proofErr w:type="spellEnd"/>
      <w:r w:rsidR="00B55BD8" w:rsidRPr="00857828">
        <w:rPr>
          <w:rStyle w:val="SCCCounselPartyRoleChar"/>
        </w:rPr>
        <w:t>, for the respondent.</w:t>
      </w:r>
      <w:proofErr w:type="gramEnd"/>
    </w:p>
    <w:p w:rsidR="004479FC" w:rsidRDefault="005003F6" w:rsidP="005003F6">
      <w:pPr>
        <w:spacing w:after="480" w:line="480" w:lineRule="auto"/>
        <w:rPr>
          <w:szCs w:val="24"/>
        </w:rPr>
      </w:pPr>
      <w:r>
        <w:rPr>
          <w:szCs w:val="24"/>
        </w:rPr>
        <w:tab/>
        <w:t>The judgment of the Court was delivered by</w:t>
      </w:r>
    </w:p>
    <w:p w:rsidR="004479FC" w:rsidRDefault="004479FC" w:rsidP="004479FC">
      <w:pPr>
        <w:spacing w:line="480" w:lineRule="auto"/>
        <w:jc w:val="both"/>
        <w:rPr>
          <w:szCs w:val="24"/>
        </w:rPr>
      </w:pPr>
      <w:r>
        <w:rPr>
          <w:szCs w:val="24"/>
        </w:rPr>
        <w:t>[1]</w:t>
      </w:r>
      <w:r>
        <w:rPr>
          <w:szCs w:val="24"/>
        </w:rPr>
        <w:tab/>
      </w:r>
      <w:proofErr w:type="spellStart"/>
      <w:r w:rsidR="005003F6" w:rsidRPr="005003F6">
        <w:rPr>
          <w:smallCaps/>
          <w:szCs w:val="24"/>
        </w:rPr>
        <w:t>Binnie</w:t>
      </w:r>
      <w:proofErr w:type="spellEnd"/>
      <w:r w:rsidR="005003F6" w:rsidRPr="005003F6">
        <w:rPr>
          <w:smallCaps/>
          <w:szCs w:val="24"/>
        </w:rPr>
        <w:t xml:space="preserve"> J.</w:t>
      </w:r>
      <w:r w:rsidR="005003F6">
        <w:rPr>
          <w:szCs w:val="24"/>
        </w:rPr>
        <w:t xml:space="preserve"> — </w:t>
      </w:r>
      <w:r w:rsidRPr="001C7635">
        <w:rPr>
          <w:szCs w:val="24"/>
        </w:rPr>
        <w:t xml:space="preserve">This is an application under s. 694 of the </w:t>
      </w:r>
      <w:r w:rsidRPr="00826338">
        <w:rPr>
          <w:i/>
          <w:szCs w:val="24"/>
        </w:rPr>
        <w:t>Criminal Code</w:t>
      </w:r>
      <w:r>
        <w:rPr>
          <w:szCs w:val="24"/>
        </w:rPr>
        <w:t xml:space="preserve">, R.S.C. 1985, c. C-46, </w:t>
      </w:r>
      <w:r w:rsidRPr="001C7635">
        <w:rPr>
          <w:szCs w:val="24"/>
        </w:rPr>
        <w:t xml:space="preserve">to fix a tariff of fees to be permitted counsel appointed by this Court under s. 694.1(1) to represent the applicant who was convicted of sexual assault in a trial </w:t>
      </w:r>
      <w:r>
        <w:rPr>
          <w:szCs w:val="24"/>
        </w:rPr>
        <w:t>i</w:t>
      </w:r>
      <w:r w:rsidRPr="001C7635">
        <w:rPr>
          <w:szCs w:val="24"/>
        </w:rPr>
        <w:t xml:space="preserve">n which he </w:t>
      </w:r>
      <w:r>
        <w:rPr>
          <w:szCs w:val="24"/>
        </w:rPr>
        <w:t xml:space="preserve">says he </w:t>
      </w:r>
      <w:r w:rsidRPr="001C7635">
        <w:rPr>
          <w:szCs w:val="24"/>
        </w:rPr>
        <w:t>was denied the effective assistance of counsel.  This Court’s order dated December 3, 2009 granted the applicant’s request for the appointment of counsel for the proceedings in this Court and “any incidental proceedings in the Ontario Court of Appeal”.  This Court remanded the case back to the Ontario Court of Appeal for consideration of fresh evidence and to determine whethe</w:t>
      </w:r>
      <w:r>
        <w:rPr>
          <w:szCs w:val="24"/>
        </w:rPr>
        <w:t>r, in all the circumstances, the applicant’s</w:t>
      </w:r>
      <w:r w:rsidRPr="001C7635">
        <w:rPr>
          <w:szCs w:val="24"/>
        </w:rPr>
        <w:t xml:space="preserve"> continued conviction constitutes a miscarriage of justice.  Section 694</w:t>
      </w:r>
      <w:r>
        <w:rPr>
          <w:szCs w:val="24"/>
        </w:rPr>
        <w:t>.1</w:t>
      </w:r>
      <w:r w:rsidRPr="001C7635">
        <w:rPr>
          <w:szCs w:val="24"/>
        </w:rPr>
        <w:t xml:space="preserve"> reads as follows:</w:t>
      </w:r>
    </w:p>
    <w:p w:rsidR="004479FC" w:rsidRPr="001C7635" w:rsidRDefault="004479FC" w:rsidP="004479FC">
      <w:pPr>
        <w:spacing w:line="480" w:lineRule="auto"/>
        <w:jc w:val="both"/>
        <w:rPr>
          <w:szCs w:val="24"/>
        </w:rPr>
      </w:pPr>
    </w:p>
    <w:p w:rsidR="004479FC" w:rsidRDefault="004479FC" w:rsidP="005003F6">
      <w:pPr>
        <w:ind w:left="810" w:firstLine="630"/>
        <w:jc w:val="both"/>
        <w:rPr>
          <w:szCs w:val="24"/>
        </w:rPr>
      </w:pPr>
      <w:r w:rsidRPr="005003F6">
        <w:rPr>
          <w:b/>
          <w:szCs w:val="24"/>
        </w:rPr>
        <w:t>694.1</w:t>
      </w:r>
      <w:r w:rsidR="005003F6">
        <w:rPr>
          <w:b/>
          <w:szCs w:val="24"/>
        </w:rPr>
        <w:t xml:space="preserve"> </w:t>
      </w:r>
      <w:r w:rsidRPr="001C7635">
        <w:rPr>
          <w:szCs w:val="24"/>
        </w:rPr>
        <w:t xml:space="preserve">(1) </w:t>
      </w:r>
      <w:r w:rsidR="005003F6">
        <w:rPr>
          <w:szCs w:val="24"/>
        </w:rPr>
        <w:t>[</w:t>
      </w:r>
      <w:r w:rsidR="005003F6" w:rsidRPr="001C7635">
        <w:rPr>
          <w:szCs w:val="24"/>
        </w:rPr>
        <w:t>Legal assistance for accused</w:t>
      </w:r>
      <w:r w:rsidR="005003F6">
        <w:rPr>
          <w:szCs w:val="24"/>
        </w:rPr>
        <w:t xml:space="preserve">] </w:t>
      </w:r>
      <w:r w:rsidRPr="001C7635">
        <w:rPr>
          <w:szCs w:val="24"/>
        </w:rPr>
        <w:t>The Supreme Court of Canada or a judge thereof may, at any time, assign counsel to act on behalf of an accused who is a party to an appeal to the Court or to proceedings preliminary or incidental to an appeal to the Court where, in the opinion of the Court or judge, it appears desirable in the interest</w:t>
      </w:r>
      <w:r>
        <w:rPr>
          <w:szCs w:val="24"/>
        </w:rPr>
        <w:t>s</w:t>
      </w:r>
      <w:r w:rsidRPr="001C7635">
        <w:rPr>
          <w:szCs w:val="24"/>
        </w:rPr>
        <w:t xml:space="preserve"> of justice that the accused should have legal assistance and where it appears that the accused has not sufficient means to obtain that assistance.</w:t>
      </w:r>
    </w:p>
    <w:p w:rsidR="005003F6" w:rsidRDefault="005003F6" w:rsidP="004479FC">
      <w:pPr>
        <w:ind w:left="806"/>
        <w:jc w:val="both"/>
        <w:rPr>
          <w:szCs w:val="24"/>
        </w:rPr>
      </w:pPr>
    </w:p>
    <w:p w:rsidR="004479FC" w:rsidRPr="001C7635" w:rsidRDefault="004479FC" w:rsidP="005003F6">
      <w:pPr>
        <w:ind w:left="806" w:firstLine="634"/>
        <w:jc w:val="both"/>
        <w:rPr>
          <w:szCs w:val="24"/>
        </w:rPr>
      </w:pPr>
      <w:r w:rsidRPr="001C7635">
        <w:rPr>
          <w:szCs w:val="24"/>
        </w:rPr>
        <w:t xml:space="preserve">(2) </w:t>
      </w:r>
      <w:r w:rsidR="005003F6">
        <w:rPr>
          <w:szCs w:val="24"/>
        </w:rPr>
        <w:t>[</w:t>
      </w:r>
      <w:r w:rsidR="005003F6" w:rsidRPr="001C7635">
        <w:rPr>
          <w:szCs w:val="24"/>
        </w:rPr>
        <w:t>Counsel fees and disbursements</w:t>
      </w:r>
      <w:r w:rsidR="005003F6">
        <w:rPr>
          <w:szCs w:val="24"/>
        </w:rPr>
        <w:t xml:space="preserve">] </w:t>
      </w:r>
      <w:r w:rsidRPr="001C7635">
        <w:rPr>
          <w:szCs w:val="24"/>
        </w:rPr>
        <w:t>Where counsel is assigned pursuant to subsection (1) and legal aid is not granted to the accused pursuant to a provincial legal aid program, the fees and disbursements of counsel shall be paid by the Attorney General who is the appellant or respondent, as the case may be, in the appeal.</w:t>
      </w:r>
    </w:p>
    <w:p w:rsidR="004479FC" w:rsidRPr="001C7635" w:rsidRDefault="004479FC" w:rsidP="004479FC">
      <w:pPr>
        <w:spacing w:line="480" w:lineRule="auto"/>
        <w:ind w:left="810"/>
        <w:jc w:val="both"/>
        <w:rPr>
          <w:szCs w:val="24"/>
        </w:rPr>
      </w:pPr>
    </w:p>
    <w:p w:rsidR="004479FC" w:rsidRDefault="004479FC" w:rsidP="005003F6">
      <w:pPr>
        <w:spacing w:after="480"/>
        <w:ind w:left="806" w:firstLine="634"/>
        <w:jc w:val="both"/>
        <w:rPr>
          <w:szCs w:val="24"/>
        </w:rPr>
      </w:pPr>
      <w:r w:rsidRPr="001C7635">
        <w:rPr>
          <w:szCs w:val="24"/>
        </w:rPr>
        <w:lastRenderedPageBreak/>
        <w:t xml:space="preserve">(3) </w:t>
      </w:r>
      <w:r w:rsidR="005003F6">
        <w:rPr>
          <w:szCs w:val="24"/>
        </w:rPr>
        <w:t>[</w:t>
      </w:r>
      <w:r w:rsidR="005003F6" w:rsidRPr="001C7635">
        <w:rPr>
          <w:szCs w:val="24"/>
        </w:rPr>
        <w:t>Taxation of fees and disbursements</w:t>
      </w:r>
      <w:r w:rsidR="005003F6">
        <w:rPr>
          <w:szCs w:val="24"/>
        </w:rPr>
        <w:t>]</w:t>
      </w:r>
      <w:r w:rsidR="005003F6" w:rsidRPr="001C7635">
        <w:rPr>
          <w:szCs w:val="24"/>
        </w:rPr>
        <w:t xml:space="preserve"> </w:t>
      </w:r>
      <w:r w:rsidRPr="001C7635">
        <w:rPr>
          <w:szCs w:val="24"/>
        </w:rPr>
        <w:t>Where subsection (2) applies and counsel and the Attorney General cannot agree on fees or disbursements of counsel, the Attorney General or the counsel may apply to the Registrar of the Supreme Court of Canada, and the Registrar may tax the disputed fees and disbursements.</w:t>
      </w:r>
    </w:p>
    <w:p w:rsidR="004479FC" w:rsidRDefault="004479FC" w:rsidP="004479FC">
      <w:pPr>
        <w:spacing w:line="480" w:lineRule="auto"/>
        <w:jc w:val="both"/>
        <w:rPr>
          <w:szCs w:val="24"/>
        </w:rPr>
      </w:pPr>
      <w:r>
        <w:rPr>
          <w:szCs w:val="24"/>
        </w:rPr>
        <w:t>[2]</w:t>
      </w:r>
      <w:r>
        <w:rPr>
          <w:szCs w:val="24"/>
        </w:rPr>
        <w:tab/>
      </w:r>
      <w:r w:rsidRPr="001C7635">
        <w:rPr>
          <w:szCs w:val="24"/>
        </w:rPr>
        <w:t xml:space="preserve">The Attorney General consented to the appointment of James </w:t>
      </w:r>
      <w:proofErr w:type="spellStart"/>
      <w:r w:rsidRPr="001C7635">
        <w:rPr>
          <w:szCs w:val="24"/>
        </w:rPr>
        <w:t>Lockyer</w:t>
      </w:r>
      <w:proofErr w:type="spellEnd"/>
      <w:r w:rsidRPr="001C7635">
        <w:rPr>
          <w:szCs w:val="24"/>
        </w:rPr>
        <w:t xml:space="preserve"> as senior counsel and Joanne McLean as junior counsel.  Although Legal Aid Ontario (LAO) declined to issue a legal aid certificate in this case, the parties have agreed that the administration and management of the account will be conducted by LAO as if a legal aid certificate were in place.  As such, LAO’s policies and procedures, including billing practices and billing rules, are applicable.  The parties have not, however, been able to agree on the rate that counsel should be paid.  Mr. </w:t>
      </w:r>
      <w:proofErr w:type="spellStart"/>
      <w:r w:rsidRPr="001C7635">
        <w:rPr>
          <w:szCs w:val="24"/>
        </w:rPr>
        <w:t>Lockyer</w:t>
      </w:r>
      <w:proofErr w:type="spellEnd"/>
      <w:r w:rsidRPr="001C7635">
        <w:rPr>
          <w:szCs w:val="24"/>
        </w:rPr>
        <w:t xml:space="preserve"> requests that counsel fees be paid at a rate of $225 per hour, as well as $175 per hour for Ms. McLean.  The Attorney General proposes that counsel fees should be set at the legal aid rate for complex cases (currently $120.02 per hour). The application to the Registrar to fix the rate of counsel fees in advance of taxation was referred by the Registrar to our panel as we dealt with the applicant’s original leave application.</w:t>
      </w:r>
    </w:p>
    <w:p w:rsidR="004479FC" w:rsidRPr="001C7635" w:rsidRDefault="004479FC" w:rsidP="004479FC">
      <w:pPr>
        <w:spacing w:line="480" w:lineRule="auto"/>
        <w:jc w:val="both"/>
        <w:rPr>
          <w:szCs w:val="24"/>
        </w:rPr>
      </w:pPr>
    </w:p>
    <w:p w:rsidR="004479FC" w:rsidRPr="001C7635" w:rsidRDefault="004479FC" w:rsidP="004479FC">
      <w:pPr>
        <w:spacing w:line="480" w:lineRule="auto"/>
        <w:jc w:val="both"/>
        <w:rPr>
          <w:szCs w:val="24"/>
        </w:rPr>
      </w:pPr>
      <w:r>
        <w:rPr>
          <w:szCs w:val="24"/>
        </w:rPr>
        <w:t>[3]</w:t>
      </w:r>
      <w:r>
        <w:rPr>
          <w:szCs w:val="24"/>
        </w:rPr>
        <w:tab/>
      </w:r>
      <w:r w:rsidRPr="001C7635">
        <w:rPr>
          <w:szCs w:val="24"/>
        </w:rPr>
        <w:t>The Attorney General contends that the legal aid tariff should be presumed to be the normal measurement for a la</w:t>
      </w:r>
      <w:r>
        <w:rPr>
          <w:szCs w:val="24"/>
        </w:rPr>
        <w:t>wyer paid from the public purse</w:t>
      </w:r>
      <w:r w:rsidRPr="001C7635">
        <w:rPr>
          <w:szCs w:val="24"/>
        </w:rPr>
        <w:t xml:space="preserve"> (relying on </w:t>
      </w:r>
      <w:r>
        <w:rPr>
          <w:i/>
          <w:szCs w:val="24"/>
        </w:rPr>
        <w:t xml:space="preserve">R. v. </w:t>
      </w:r>
      <w:proofErr w:type="spellStart"/>
      <w:r>
        <w:rPr>
          <w:i/>
          <w:szCs w:val="24"/>
        </w:rPr>
        <w:t>Cairenius</w:t>
      </w:r>
      <w:proofErr w:type="spellEnd"/>
      <w:r>
        <w:rPr>
          <w:szCs w:val="24"/>
        </w:rPr>
        <w:t xml:space="preserve"> (2008), 232 C.C.C. (3d) 13 (Ont. S.C.J.)</w:t>
      </w:r>
      <w:r w:rsidR="005003F6">
        <w:rPr>
          <w:szCs w:val="24"/>
        </w:rPr>
        <w:t>,</w:t>
      </w:r>
      <w:r>
        <w:rPr>
          <w:szCs w:val="24"/>
        </w:rPr>
        <w:t xml:space="preserve"> </w:t>
      </w:r>
      <w:r w:rsidRPr="001C7635">
        <w:rPr>
          <w:szCs w:val="24"/>
        </w:rPr>
        <w:t xml:space="preserve">and </w:t>
      </w:r>
      <w:r w:rsidRPr="001C7635">
        <w:rPr>
          <w:i/>
          <w:szCs w:val="24"/>
        </w:rPr>
        <w:t xml:space="preserve">R. v. </w:t>
      </w:r>
      <w:proofErr w:type="spellStart"/>
      <w:r w:rsidRPr="001C7635">
        <w:rPr>
          <w:i/>
          <w:szCs w:val="24"/>
        </w:rPr>
        <w:t>Magda</w:t>
      </w:r>
      <w:proofErr w:type="spellEnd"/>
      <w:r>
        <w:rPr>
          <w:szCs w:val="24"/>
        </w:rPr>
        <w:t>, [2001] O.J. No. 1861 (QL) (</w:t>
      </w:r>
      <w:r w:rsidRPr="001C7635">
        <w:rPr>
          <w:szCs w:val="24"/>
        </w:rPr>
        <w:t>S</w:t>
      </w:r>
      <w:r>
        <w:rPr>
          <w:szCs w:val="24"/>
        </w:rPr>
        <w:t>.</w:t>
      </w:r>
      <w:r w:rsidRPr="001C7635">
        <w:rPr>
          <w:szCs w:val="24"/>
        </w:rPr>
        <w:t>C</w:t>
      </w:r>
      <w:r>
        <w:rPr>
          <w:szCs w:val="24"/>
        </w:rPr>
        <w:t>.</w:t>
      </w:r>
      <w:r w:rsidRPr="001C7635">
        <w:rPr>
          <w:szCs w:val="24"/>
        </w:rPr>
        <w:t>J</w:t>
      </w:r>
      <w:r>
        <w:rPr>
          <w:szCs w:val="24"/>
        </w:rPr>
        <w:t>.</w:t>
      </w:r>
      <w:r w:rsidRPr="001C7635">
        <w:rPr>
          <w:szCs w:val="24"/>
        </w:rPr>
        <w:t xml:space="preserve">), at </w:t>
      </w:r>
      <w:proofErr w:type="spellStart"/>
      <w:r w:rsidRPr="001C7635">
        <w:rPr>
          <w:szCs w:val="24"/>
        </w:rPr>
        <w:t>para</w:t>
      </w:r>
      <w:proofErr w:type="spellEnd"/>
      <w:r w:rsidRPr="001C7635">
        <w:rPr>
          <w:szCs w:val="24"/>
        </w:rPr>
        <w:t xml:space="preserve">. 56), but no such limitation is set out in s. 694.1(3).  The legal aid tariff is unilaterally set by the Crown based on its own policies and priorities and cannot, in our view, be taken as conclusive, although it is a significant factor to </w:t>
      </w:r>
      <w:r w:rsidRPr="001C7635">
        <w:rPr>
          <w:szCs w:val="24"/>
        </w:rPr>
        <w:lastRenderedPageBreak/>
        <w:t xml:space="preserve">be taken into account.  As </w:t>
      </w:r>
      <w:proofErr w:type="spellStart"/>
      <w:r w:rsidRPr="001C7635">
        <w:rPr>
          <w:szCs w:val="24"/>
        </w:rPr>
        <w:t>Sopinka</w:t>
      </w:r>
      <w:proofErr w:type="spellEnd"/>
      <w:r w:rsidRPr="001C7635">
        <w:rPr>
          <w:szCs w:val="24"/>
        </w:rPr>
        <w:t xml:space="preserve"> J. commented in </w:t>
      </w:r>
      <w:r w:rsidRPr="001C7635">
        <w:rPr>
          <w:i/>
          <w:szCs w:val="24"/>
        </w:rPr>
        <w:t>Egan v. Canada</w:t>
      </w:r>
      <w:r w:rsidRPr="001C7635">
        <w:rPr>
          <w:szCs w:val="24"/>
        </w:rPr>
        <w:t>, [1995] 2 S.C.R. 513</w:t>
      </w:r>
      <w:r>
        <w:rPr>
          <w:szCs w:val="24"/>
        </w:rPr>
        <w:t>,</w:t>
      </w:r>
      <w:r w:rsidRPr="001C7635">
        <w:rPr>
          <w:szCs w:val="24"/>
        </w:rPr>
        <w:t xml:space="preserve"> “</w:t>
      </w:r>
      <w:r w:rsidR="005003F6">
        <w:rPr>
          <w:szCs w:val="24"/>
        </w:rPr>
        <w:t>[</w:t>
      </w:r>
      <w:proofErr w:type="spellStart"/>
      <w:r w:rsidR="005003F6">
        <w:rPr>
          <w:szCs w:val="24"/>
        </w:rPr>
        <w:t>i</w:t>
      </w:r>
      <w:proofErr w:type="spellEnd"/>
      <w:r w:rsidR="005003F6">
        <w:rPr>
          <w:szCs w:val="24"/>
        </w:rPr>
        <w:t>]</w:t>
      </w:r>
      <w:r w:rsidRPr="001C7635">
        <w:rPr>
          <w:szCs w:val="24"/>
        </w:rPr>
        <w:t>t is not realistic for the Court to assume that there are unlimited funds to address the needs of all” (</w:t>
      </w:r>
      <w:proofErr w:type="spellStart"/>
      <w:r w:rsidRPr="001C7635">
        <w:rPr>
          <w:szCs w:val="24"/>
        </w:rPr>
        <w:t>para</w:t>
      </w:r>
      <w:proofErr w:type="spellEnd"/>
      <w:r w:rsidRPr="001C7635">
        <w:rPr>
          <w:szCs w:val="24"/>
        </w:rPr>
        <w:t>. 104).</w:t>
      </w:r>
    </w:p>
    <w:p w:rsidR="004479FC" w:rsidRPr="001C7635" w:rsidRDefault="004479FC" w:rsidP="004479FC">
      <w:pPr>
        <w:spacing w:line="480" w:lineRule="auto"/>
        <w:jc w:val="both"/>
        <w:rPr>
          <w:szCs w:val="24"/>
        </w:rPr>
      </w:pPr>
    </w:p>
    <w:p w:rsidR="004479FC" w:rsidRPr="001C7635" w:rsidRDefault="004479FC" w:rsidP="004479FC">
      <w:pPr>
        <w:spacing w:line="480" w:lineRule="auto"/>
        <w:jc w:val="both"/>
        <w:rPr>
          <w:szCs w:val="24"/>
        </w:rPr>
      </w:pPr>
      <w:r>
        <w:rPr>
          <w:szCs w:val="24"/>
        </w:rPr>
        <w:t>[4]</w:t>
      </w:r>
      <w:r>
        <w:rPr>
          <w:szCs w:val="24"/>
        </w:rPr>
        <w:tab/>
      </w:r>
      <w:r w:rsidRPr="001C7635">
        <w:rPr>
          <w:szCs w:val="24"/>
        </w:rPr>
        <w:t xml:space="preserve">The determination under s. 694.1(3) should be based on a </w:t>
      </w:r>
      <w:r>
        <w:rPr>
          <w:szCs w:val="24"/>
        </w:rPr>
        <w:t>broader</w:t>
      </w:r>
      <w:r w:rsidRPr="001C7635">
        <w:rPr>
          <w:szCs w:val="24"/>
        </w:rPr>
        <w:t xml:space="preserve"> assessment of what is fair and reasonable in the circumstances, including the recognition of the limits of state funding </w:t>
      </w:r>
      <w:r>
        <w:rPr>
          <w:szCs w:val="24"/>
        </w:rPr>
        <w:t>but</w:t>
      </w:r>
      <w:r w:rsidRPr="001C7635">
        <w:rPr>
          <w:szCs w:val="24"/>
        </w:rPr>
        <w:t xml:space="preserve"> having regard to such factors as counsel’s experience, </w:t>
      </w:r>
      <w:r>
        <w:rPr>
          <w:szCs w:val="24"/>
        </w:rPr>
        <w:t xml:space="preserve">the </w:t>
      </w:r>
      <w:r w:rsidRPr="001C7635">
        <w:rPr>
          <w:szCs w:val="24"/>
        </w:rPr>
        <w:t xml:space="preserve">importance of the issues raised and </w:t>
      </w:r>
      <w:r>
        <w:rPr>
          <w:szCs w:val="24"/>
        </w:rPr>
        <w:t xml:space="preserve">the complexity of the case;  </w:t>
      </w:r>
      <w:r w:rsidRPr="001C7635">
        <w:rPr>
          <w:szCs w:val="24"/>
        </w:rPr>
        <w:t xml:space="preserve">see </w:t>
      </w:r>
      <w:r>
        <w:rPr>
          <w:i/>
          <w:szCs w:val="24"/>
        </w:rPr>
        <w:t>Alberta (</w:t>
      </w:r>
      <w:r w:rsidRPr="001C7635">
        <w:rPr>
          <w:i/>
          <w:szCs w:val="24"/>
        </w:rPr>
        <w:t>Chief Commissioner of the Human Rights and Citizenship Commission</w:t>
      </w:r>
      <w:r w:rsidRPr="00A92AC9">
        <w:rPr>
          <w:i/>
          <w:szCs w:val="24"/>
        </w:rPr>
        <w:t>)</w:t>
      </w:r>
      <w:r w:rsidRPr="001C7635">
        <w:rPr>
          <w:i/>
          <w:szCs w:val="24"/>
        </w:rPr>
        <w:t xml:space="preserve"> </w:t>
      </w:r>
      <w:r w:rsidRPr="00A92AC9">
        <w:rPr>
          <w:i/>
          <w:szCs w:val="24"/>
        </w:rPr>
        <w:t>v. Brewer</w:t>
      </w:r>
      <w:r w:rsidRPr="001C7635">
        <w:rPr>
          <w:i/>
          <w:szCs w:val="24"/>
        </w:rPr>
        <w:t xml:space="preserve"> </w:t>
      </w:r>
      <w:r w:rsidRPr="001C7635">
        <w:rPr>
          <w:szCs w:val="24"/>
        </w:rPr>
        <w:t>(</w:t>
      </w:r>
      <w:r w:rsidR="005003F6">
        <w:rPr>
          <w:szCs w:val="24"/>
        </w:rPr>
        <w:t xml:space="preserve">S.C.C., No. 32695, </w:t>
      </w:r>
      <w:r w:rsidRPr="001C7635">
        <w:rPr>
          <w:szCs w:val="24"/>
        </w:rPr>
        <w:t xml:space="preserve">a </w:t>
      </w:r>
      <w:r>
        <w:rPr>
          <w:szCs w:val="24"/>
        </w:rPr>
        <w:t xml:space="preserve">taxation </w:t>
      </w:r>
      <w:r w:rsidRPr="001C7635">
        <w:rPr>
          <w:szCs w:val="24"/>
        </w:rPr>
        <w:t>decision of the Registrar of the Supreme Court of Ca</w:t>
      </w:r>
      <w:r>
        <w:rPr>
          <w:szCs w:val="24"/>
        </w:rPr>
        <w:t xml:space="preserve">nada, dated </w:t>
      </w:r>
      <w:r w:rsidR="005003F6">
        <w:rPr>
          <w:szCs w:val="24"/>
        </w:rPr>
        <w:t>August 25</w:t>
      </w:r>
      <w:r>
        <w:rPr>
          <w:szCs w:val="24"/>
        </w:rPr>
        <w:t>, 2009)</w:t>
      </w:r>
      <w:r w:rsidRPr="001C7635">
        <w:rPr>
          <w:szCs w:val="24"/>
        </w:rPr>
        <w:t xml:space="preserve"> and </w:t>
      </w:r>
      <w:r w:rsidRPr="001C7635">
        <w:rPr>
          <w:i/>
          <w:szCs w:val="24"/>
        </w:rPr>
        <w:t xml:space="preserve">R. v. </w:t>
      </w:r>
      <w:proofErr w:type="spellStart"/>
      <w:r w:rsidRPr="001C7635">
        <w:rPr>
          <w:i/>
          <w:szCs w:val="24"/>
        </w:rPr>
        <w:t>Pietrangelo</w:t>
      </w:r>
      <w:proofErr w:type="spellEnd"/>
      <w:r w:rsidRPr="001C7635">
        <w:rPr>
          <w:szCs w:val="24"/>
        </w:rPr>
        <w:t>, 2008 ONCA 547</w:t>
      </w:r>
      <w:r>
        <w:rPr>
          <w:szCs w:val="24"/>
        </w:rPr>
        <w:t>, [2008] O.J. No. 5137 (QL)</w:t>
      </w:r>
      <w:r w:rsidRPr="001C7635">
        <w:rPr>
          <w:szCs w:val="24"/>
        </w:rPr>
        <w:t>.</w:t>
      </w:r>
    </w:p>
    <w:p w:rsidR="004479FC" w:rsidRPr="001C7635" w:rsidRDefault="004479FC" w:rsidP="004479FC">
      <w:pPr>
        <w:spacing w:line="480" w:lineRule="auto"/>
        <w:jc w:val="both"/>
        <w:rPr>
          <w:szCs w:val="24"/>
        </w:rPr>
      </w:pPr>
    </w:p>
    <w:p w:rsidR="004479FC" w:rsidRPr="001C7635" w:rsidRDefault="004479FC" w:rsidP="004479FC">
      <w:pPr>
        <w:spacing w:line="480" w:lineRule="auto"/>
        <w:jc w:val="both"/>
        <w:rPr>
          <w:szCs w:val="24"/>
        </w:rPr>
      </w:pPr>
      <w:r>
        <w:rPr>
          <w:szCs w:val="24"/>
        </w:rPr>
        <w:t>[5]</w:t>
      </w:r>
      <w:r>
        <w:rPr>
          <w:szCs w:val="24"/>
        </w:rPr>
        <w:tab/>
      </w:r>
      <w:r w:rsidRPr="001C7635">
        <w:rPr>
          <w:szCs w:val="24"/>
        </w:rPr>
        <w:t>The Attorney General has conceded a number of the issues in</w:t>
      </w:r>
      <w:r>
        <w:rPr>
          <w:szCs w:val="24"/>
        </w:rPr>
        <w:t xml:space="preserve"> the proceedings including his </w:t>
      </w:r>
      <w:r w:rsidRPr="001C7635">
        <w:rPr>
          <w:szCs w:val="24"/>
        </w:rPr>
        <w:t>anticipation that the Court o</w:t>
      </w:r>
      <w:r>
        <w:rPr>
          <w:szCs w:val="24"/>
        </w:rPr>
        <w:t>f Appeal will order a new trial</w:t>
      </w:r>
      <w:r w:rsidRPr="001C7635">
        <w:rPr>
          <w:szCs w:val="24"/>
        </w:rPr>
        <w:t xml:space="preserve"> (</w:t>
      </w:r>
      <w:r w:rsidR="005003F6">
        <w:rPr>
          <w:szCs w:val="24"/>
        </w:rPr>
        <w:t>Factum</w:t>
      </w:r>
      <w:r>
        <w:rPr>
          <w:szCs w:val="24"/>
        </w:rPr>
        <w:t xml:space="preserve">, at </w:t>
      </w:r>
      <w:proofErr w:type="spellStart"/>
      <w:r w:rsidRPr="001C7635">
        <w:rPr>
          <w:szCs w:val="24"/>
        </w:rPr>
        <w:t>para</w:t>
      </w:r>
      <w:proofErr w:type="spellEnd"/>
      <w:r w:rsidRPr="001C7635">
        <w:rPr>
          <w:szCs w:val="24"/>
        </w:rPr>
        <w:t>. 2).  The issues are somewhat complex having already been the subject of one trial, one lengthy arbitration hearing, one appeal to the Divisional Court of Ontario, three appeals to the Ontario Court of Appeal, two applications to this Court, and one appeal to this Court.  At the same time, the Attorney General notes in his factum that the referral back to the Ontario Court of Appeal was on consent and “the Crown acknowledged before counsel filed any material at all in the Court of Appeal that the conviction should be set aside and this potential miscarriage of justice corrected through the ordering of a new trial”</w:t>
      </w:r>
      <w:r>
        <w:rPr>
          <w:szCs w:val="24"/>
        </w:rPr>
        <w:t xml:space="preserve"> (</w:t>
      </w:r>
      <w:proofErr w:type="spellStart"/>
      <w:r>
        <w:rPr>
          <w:szCs w:val="24"/>
        </w:rPr>
        <w:t>para</w:t>
      </w:r>
      <w:proofErr w:type="spellEnd"/>
      <w:r>
        <w:rPr>
          <w:szCs w:val="24"/>
        </w:rPr>
        <w:t>. 29)</w:t>
      </w:r>
      <w:r w:rsidRPr="001C7635">
        <w:rPr>
          <w:szCs w:val="24"/>
        </w:rPr>
        <w:t xml:space="preserve">.  These concessions certainly reduced </w:t>
      </w:r>
      <w:r w:rsidRPr="001C7635">
        <w:rPr>
          <w:szCs w:val="24"/>
        </w:rPr>
        <w:lastRenderedPageBreak/>
        <w:t xml:space="preserve">the scope of the demands made </w:t>
      </w:r>
      <w:r>
        <w:rPr>
          <w:szCs w:val="24"/>
        </w:rPr>
        <w:t>on</w:t>
      </w:r>
      <w:r w:rsidRPr="001C7635">
        <w:rPr>
          <w:szCs w:val="24"/>
        </w:rPr>
        <w:t xml:space="preserve"> counsel for the applicant, and (undoubtedly) the time required to be spent to reach a resolution.  However, counsel should not be penalized by a reduced hourly rate for the efficiency with which a dispute is resolved.  The efficiency will be reflected in the reduced number of hours charged.</w:t>
      </w:r>
    </w:p>
    <w:p w:rsidR="004479FC" w:rsidRPr="001C7635" w:rsidRDefault="004479FC" w:rsidP="004479FC">
      <w:pPr>
        <w:spacing w:line="480" w:lineRule="auto"/>
        <w:jc w:val="both"/>
        <w:rPr>
          <w:szCs w:val="24"/>
        </w:rPr>
      </w:pPr>
    </w:p>
    <w:p w:rsidR="004479FC" w:rsidRPr="001C7635" w:rsidRDefault="004479FC" w:rsidP="004479FC">
      <w:pPr>
        <w:spacing w:line="480" w:lineRule="auto"/>
        <w:jc w:val="both"/>
        <w:rPr>
          <w:szCs w:val="24"/>
        </w:rPr>
      </w:pPr>
      <w:r>
        <w:rPr>
          <w:szCs w:val="24"/>
        </w:rPr>
        <w:t>[6]</w:t>
      </w:r>
      <w:r>
        <w:rPr>
          <w:szCs w:val="24"/>
        </w:rPr>
        <w:tab/>
      </w:r>
      <w:r w:rsidRPr="001C7635">
        <w:rPr>
          <w:szCs w:val="24"/>
        </w:rPr>
        <w:t xml:space="preserve">Mr. </w:t>
      </w:r>
      <w:proofErr w:type="spellStart"/>
      <w:r w:rsidRPr="001C7635">
        <w:rPr>
          <w:szCs w:val="24"/>
        </w:rPr>
        <w:t>Lockyer</w:t>
      </w:r>
      <w:proofErr w:type="spellEnd"/>
      <w:r w:rsidRPr="001C7635">
        <w:rPr>
          <w:szCs w:val="24"/>
        </w:rPr>
        <w:t xml:space="preserve"> and his colleague</w:t>
      </w:r>
      <w:r>
        <w:rPr>
          <w:szCs w:val="24"/>
        </w:rPr>
        <w:t>,</w:t>
      </w:r>
      <w:r w:rsidRPr="001C7635">
        <w:rPr>
          <w:szCs w:val="24"/>
        </w:rPr>
        <w:t xml:space="preserve"> Ms. McLean</w:t>
      </w:r>
      <w:r>
        <w:rPr>
          <w:szCs w:val="24"/>
        </w:rPr>
        <w:t>,</w:t>
      </w:r>
      <w:r w:rsidRPr="001C7635">
        <w:rPr>
          <w:szCs w:val="24"/>
        </w:rPr>
        <w:t xml:space="preserve"> have over 30 years and 20 years experience respectively, and both have practised criminal law exclusively throughout their career</w:t>
      </w:r>
      <w:r>
        <w:rPr>
          <w:szCs w:val="24"/>
        </w:rPr>
        <w:t>s</w:t>
      </w:r>
      <w:r w:rsidRPr="001C7635">
        <w:rPr>
          <w:szCs w:val="24"/>
        </w:rPr>
        <w:t>.  Rates equivalent to those requested by counsel in this case, or higher, have previously been set in the Ontario Court of Appeal by the Registrar and by Rosenberg J.A. on applications under the comparable costs regime set out in s. 684(3)</w:t>
      </w:r>
      <w:r>
        <w:rPr>
          <w:szCs w:val="24"/>
        </w:rPr>
        <w:t xml:space="preserve"> of the </w:t>
      </w:r>
      <w:r>
        <w:rPr>
          <w:i/>
          <w:szCs w:val="24"/>
        </w:rPr>
        <w:t>Code</w:t>
      </w:r>
      <w:r>
        <w:rPr>
          <w:szCs w:val="24"/>
        </w:rPr>
        <w:t>; see</w:t>
      </w:r>
      <w:r w:rsidRPr="001C7635">
        <w:rPr>
          <w:i/>
          <w:szCs w:val="24"/>
        </w:rPr>
        <w:t xml:space="preserve"> </w:t>
      </w:r>
      <w:proofErr w:type="spellStart"/>
      <w:r w:rsidRPr="001C7635">
        <w:rPr>
          <w:i/>
          <w:szCs w:val="24"/>
        </w:rPr>
        <w:t>Pietrangelo</w:t>
      </w:r>
      <w:proofErr w:type="spellEnd"/>
      <w:r w:rsidRPr="001C7635">
        <w:rPr>
          <w:szCs w:val="24"/>
        </w:rPr>
        <w:t xml:space="preserve">, </w:t>
      </w:r>
      <w:r w:rsidRPr="001C7635">
        <w:rPr>
          <w:i/>
          <w:szCs w:val="24"/>
        </w:rPr>
        <w:t>R. v. Kumar</w:t>
      </w:r>
      <w:r w:rsidRPr="001C7635">
        <w:rPr>
          <w:szCs w:val="24"/>
        </w:rPr>
        <w:t xml:space="preserve"> </w:t>
      </w:r>
      <w:r>
        <w:rPr>
          <w:szCs w:val="24"/>
        </w:rPr>
        <w:t>(</w:t>
      </w:r>
      <w:r w:rsidR="005003F6">
        <w:rPr>
          <w:szCs w:val="24"/>
        </w:rPr>
        <w:t xml:space="preserve">Ont. C.A., C48821, </w:t>
      </w:r>
      <w:r>
        <w:rPr>
          <w:szCs w:val="24"/>
        </w:rPr>
        <w:t>endorsement dated</w:t>
      </w:r>
      <w:r w:rsidRPr="001C7635">
        <w:rPr>
          <w:szCs w:val="24"/>
        </w:rPr>
        <w:t xml:space="preserve"> October 2, 2008</w:t>
      </w:r>
      <w:r>
        <w:rPr>
          <w:szCs w:val="24"/>
        </w:rPr>
        <w:t>)</w:t>
      </w:r>
      <w:r w:rsidRPr="001C7635">
        <w:rPr>
          <w:szCs w:val="24"/>
        </w:rPr>
        <w:t xml:space="preserve">, </w:t>
      </w:r>
      <w:r w:rsidRPr="001C7635">
        <w:rPr>
          <w:i/>
          <w:szCs w:val="24"/>
        </w:rPr>
        <w:t>R. v. C.M</w:t>
      </w:r>
      <w:r w:rsidRPr="001C7635">
        <w:rPr>
          <w:szCs w:val="24"/>
        </w:rPr>
        <w:t xml:space="preserve">. </w:t>
      </w:r>
      <w:r>
        <w:rPr>
          <w:szCs w:val="24"/>
        </w:rPr>
        <w:t>(</w:t>
      </w:r>
      <w:r w:rsidR="005003F6">
        <w:rPr>
          <w:szCs w:val="24"/>
        </w:rPr>
        <w:t xml:space="preserve">Ont. C.A., C36764/M36765, </w:t>
      </w:r>
      <w:r w:rsidRPr="001C7635">
        <w:rPr>
          <w:szCs w:val="24"/>
        </w:rPr>
        <w:t xml:space="preserve">endorsement </w:t>
      </w:r>
      <w:r>
        <w:rPr>
          <w:szCs w:val="24"/>
        </w:rPr>
        <w:t>dated October 24</w:t>
      </w:r>
      <w:r w:rsidRPr="001C7635">
        <w:rPr>
          <w:szCs w:val="24"/>
        </w:rPr>
        <w:t>, 2008</w:t>
      </w:r>
      <w:r>
        <w:rPr>
          <w:szCs w:val="24"/>
        </w:rPr>
        <w:t>)</w:t>
      </w:r>
      <w:r w:rsidR="008B4EA4">
        <w:rPr>
          <w:szCs w:val="24"/>
        </w:rPr>
        <w:t>,</w:t>
      </w:r>
      <w:r w:rsidRPr="001C7635">
        <w:rPr>
          <w:szCs w:val="24"/>
        </w:rPr>
        <w:t xml:space="preserve"> and</w:t>
      </w:r>
      <w:r w:rsidRPr="001C7635">
        <w:rPr>
          <w:i/>
          <w:szCs w:val="24"/>
        </w:rPr>
        <w:t xml:space="preserve"> R. v. </w:t>
      </w:r>
      <w:proofErr w:type="spellStart"/>
      <w:r w:rsidRPr="001C7635">
        <w:rPr>
          <w:i/>
          <w:szCs w:val="24"/>
        </w:rPr>
        <w:t>Hanemaayer</w:t>
      </w:r>
      <w:proofErr w:type="spellEnd"/>
      <w:r w:rsidRPr="001C7635">
        <w:rPr>
          <w:szCs w:val="24"/>
        </w:rPr>
        <w:t xml:space="preserve"> </w:t>
      </w:r>
      <w:r>
        <w:rPr>
          <w:szCs w:val="24"/>
        </w:rPr>
        <w:t>(</w:t>
      </w:r>
      <w:r w:rsidR="005003F6">
        <w:rPr>
          <w:szCs w:val="24"/>
        </w:rPr>
        <w:t xml:space="preserve">Ont. C.A., C48928, </w:t>
      </w:r>
      <w:r w:rsidRPr="001C7635">
        <w:rPr>
          <w:szCs w:val="24"/>
        </w:rPr>
        <w:t xml:space="preserve">endorsement </w:t>
      </w:r>
      <w:r>
        <w:rPr>
          <w:szCs w:val="24"/>
        </w:rPr>
        <w:t xml:space="preserve">dated </w:t>
      </w:r>
      <w:r w:rsidRPr="001C7635">
        <w:rPr>
          <w:szCs w:val="24"/>
        </w:rPr>
        <w:t>January 13, 2009).</w:t>
      </w:r>
    </w:p>
    <w:p w:rsidR="004479FC" w:rsidRPr="001C7635" w:rsidRDefault="004479FC" w:rsidP="004479FC">
      <w:pPr>
        <w:spacing w:line="480" w:lineRule="auto"/>
        <w:jc w:val="both"/>
        <w:rPr>
          <w:szCs w:val="24"/>
        </w:rPr>
      </w:pPr>
    </w:p>
    <w:p w:rsidR="004479FC" w:rsidRPr="00EF6574" w:rsidRDefault="004479FC" w:rsidP="004479FC">
      <w:pPr>
        <w:spacing w:line="480" w:lineRule="auto"/>
        <w:jc w:val="both"/>
        <w:rPr>
          <w:szCs w:val="24"/>
        </w:rPr>
      </w:pPr>
      <w:r>
        <w:rPr>
          <w:szCs w:val="24"/>
        </w:rPr>
        <w:t>[7]</w:t>
      </w:r>
      <w:r>
        <w:rPr>
          <w:szCs w:val="24"/>
        </w:rPr>
        <w:tab/>
      </w:r>
      <w:r w:rsidRPr="001C7635">
        <w:rPr>
          <w:szCs w:val="24"/>
        </w:rPr>
        <w:t xml:space="preserve">In our respectful view, on a consideration of all the circumstances of this case, the rates proposed by Mr. </w:t>
      </w:r>
      <w:proofErr w:type="spellStart"/>
      <w:r w:rsidRPr="001C7635">
        <w:rPr>
          <w:szCs w:val="24"/>
        </w:rPr>
        <w:t>Lockyer</w:t>
      </w:r>
      <w:proofErr w:type="spellEnd"/>
      <w:r w:rsidRPr="001C7635">
        <w:rPr>
          <w:szCs w:val="24"/>
        </w:rPr>
        <w:t xml:space="preserve"> are fair and reasonable.  His hourly rate should therefore be fixed at $225 per hour and Ms. Mc</w:t>
      </w:r>
      <w:r>
        <w:rPr>
          <w:szCs w:val="24"/>
        </w:rPr>
        <w:t xml:space="preserve">Lean’s at $175 with respect to </w:t>
      </w:r>
      <w:r w:rsidRPr="001C7635">
        <w:rPr>
          <w:szCs w:val="24"/>
        </w:rPr>
        <w:t xml:space="preserve">proceedings in this Court and </w:t>
      </w:r>
      <w:r>
        <w:rPr>
          <w:szCs w:val="24"/>
        </w:rPr>
        <w:t>“</w:t>
      </w:r>
      <w:r w:rsidRPr="001C7635">
        <w:rPr>
          <w:szCs w:val="24"/>
        </w:rPr>
        <w:t>any incidental proceedings in the Ontario Court of Appeal”.</w:t>
      </w:r>
      <w:r>
        <w:rPr>
          <w:szCs w:val="24"/>
        </w:rPr>
        <w:t xml:space="preserve"> </w:t>
      </w:r>
    </w:p>
    <w:p w:rsidR="004479FC" w:rsidRPr="0031097F" w:rsidRDefault="004479FC" w:rsidP="004479FC">
      <w:pPr>
        <w:jc w:val="both"/>
      </w:pPr>
    </w:p>
    <w:p w:rsidR="009B57B3" w:rsidRDefault="009B57B3" w:rsidP="00BB529E">
      <w:pPr>
        <w:pStyle w:val="SCCNormalDoubleSpacing"/>
        <w:rPr>
          <w:i/>
        </w:rPr>
      </w:pPr>
      <w:r w:rsidRPr="001426A9">
        <w:tab/>
      </w:r>
      <w:r w:rsidR="00923A02" w:rsidRPr="00E56727">
        <w:rPr>
          <w:i/>
        </w:rPr>
        <w:t xml:space="preserve">Application </w:t>
      </w:r>
      <w:r w:rsidR="00E56727">
        <w:rPr>
          <w:i/>
        </w:rPr>
        <w:t>granted.</w:t>
      </w:r>
    </w:p>
    <w:p w:rsidR="00C85571" w:rsidRDefault="00C85571" w:rsidP="00C85571">
      <w:pPr>
        <w:pStyle w:val="SCCNormalDoubleSpacing"/>
        <w:rPr>
          <w:rStyle w:val="SCCCounselPartyRoleChar"/>
        </w:rPr>
      </w:pPr>
    </w:p>
    <w:p w:rsidR="00C85571" w:rsidRPr="00857828" w:rsidRDefault="00C85571" w:rsidP="00C85571">
      <w:pPr>
        <w:pStyle w:val="SCCLawFirm"/>
        <w:ind w:firstLine="720"/>
      </w:pPr>
      <w:r w:rsidRPr="00857828">
        <w:lastRenderedPageBreak/>
        <w:t>Solicitors for the app</w:t>
      </w:r>
      <w:r w:rsidR="00C4689F" w:rsidRPr="00857828">
        <w:t>licant</w:t>
      </w:r>
      <w:r w:rsidRPr="00857828">
        <w:t>:  </w:t>
      </w:r>
      <w:proofErr w:type="spellStart"/>
      <w:r w:rsidRPr="00857828">
        <w:t>Lockyer</w:t>
      </w:r>
      <w:proofErr w:type="spellEnd"/>
      <w:r w:rsidRPr="00857828">
        <w:t xml:space="preserve"> Campbell Posner, Toronto.</w:t>
      </w:r>
    </w:p>
    <w:p w:rsidR="00C85571" w:rsidRPr="00857828" w:rsidRDefault="00C85571" w:rsidP="00C85571">
      <w:pPr>
        <w:pStyle w:val="SCCLawFirm"/>
      </w:pPr>
      <w:r w:rsidRPr="00857828">
        <w:tab/>
      </w:r>
    </w:p>
    <w:p w:rsidR="00C85571" w:rsidRDefault="00C85571" w:rsidP="00C85571">
      <w:pPr>
        <w:pStyle w:val="SCCLawFirm"/>
        <w:ind w:firstLine="720"/>
      </w:pPr>
      <w:r w:rsidRPr="00857828">
        <w:t>Solicitor for the respondent:  Attorney General of Ontario, Toronto.</w:t>
      </w:r>
    </w:p>
    <w:sectPr w:rsidR="00C85571" w:rsidSect="007B7B02">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7B" w:rsidRDefault="0002027B">
      <w:r>
        <w:separator/>
      </w:r>
    </w:p>
  </w:endnote>
  <w:endnote w:type="continuationSeparator" w:id="0">
    <w:p w:rsidR="0002027B" w:rsidRDefault="0002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7B" w:rsidRDefault="0002027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7B" w:rsidRDefault="0002027B">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02" w:rsidRDefault="007B7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7B" w:rsidRDefault="0002027B">
      <w:r>
        <w:separator/>
      </w:r>
    </w:p>
  </w:footnote>
  <w:footnote w:type="continuationSeparator" w:id="0">
    <w:p w:rsidR="0002027B" w:rsidRDefault="00020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7B" w:rsidRDefault="0002027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7B" w:rsidRDefault="0002027B">
    <w:pPr>
      <w:pStyle w:val="Header"/>
      <w:jc w:val="center"/>
    </w:pPr>
    <w:r>
      <w:t xml:space="preserve">- </w:t>
    </w:r>
    <w:sdt>
      <w:sdtPr>
        <w:id w:val="4489865"/>
        <w:docPartObj>
          <w:docPartGallery w:val="Page Numbers (Top of Page)"/>
          <w:docPartUnique/>
        </w:docPartObj>
      </w:sdtPr>
      <w:sdtContent>
        <w:fldSimple w:instr=" PAGE   \* MERGEFORMAT ">
          <w:r w:rsidR="0034074A">
            <w:rPr>
              <w:noProof/>
            </w:rPr>
            <w:t>8</w:t>
          </w:r>
        </w:fldSimple>
        <w:r>
          <w:t xml:space="preserve"> -</w:t>
        </w:r>
      </w:sdtContent>
    </w:sdt>
  </w:p>
  <w:p w:rsidR="0002027B" w:rsidRDefault="00020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02" w:rsidRDefault="007B7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rsids>
    <w:rsidRoot w:val="0031414C"/>
    <w:rsid w:val="00000ED4"/>
    <w:rsid w:val="000146D9"/>
    <w:rsid w:val="0002027B"/>
    <w:rsid w:val="00025198"/>
    <w:rsid w:val="00031EDA"/>
    <w:rsid w:val="00037CD2"/>
    <w:rsid w:val="00051790"/>
    <w:rsid w:val="000578A3"/>
    <w:rsid w:val="000648CC"/>
    <w:rsid w:val="00081C42"/>
    <w:rsid w:val="000841BD"/>
    <w:rsid w:val="000A1EF1"/>
    <w:rsid w:val="000C1B6F"/>
    <w:rsid w:val="000C59B8"/>
    <w:rsid w:val="000F1492"/>
    <w:rsid w:val="0010343F"/>
    <w:rsid w:val="00111DE2"/>
    <w:rsid w:val="00116B38"/>
    <w:rsid w:val="00135406"/>
    <w:rsid w:val="00135972"/>
    <w:rsid w:val="001426A9"/>
    <w:rsid w:val="00143D31"/>
    <w:rsid w:val="00150FB0"/>
    <w:rsid w:val="00154D7C"/>
    <w:rsid w:val="001570B0"/>
    <w:rsid w:val="0015752C"/>
    <w:rsid w:val="00157737"/>
    <w:rsid w:val="00165277"/>
    <w:rsid w:val="00167270"/>
    <w:rsid w:val="00170592"/>
    <w:rsid w:val="00175D83"/>
    <w:rsid w:val="00197B5D"/>
    <w:rsid w:val="001B33E0"/>
    <w:rsid w:val="001B4573"/>
    <w:rsid w:val="001C0766"/>
    <w:rsid w:val="001C779F"/>
    <w:rsid w:val="001D2AC1"/>
    <w:rsid w:val="001D4E88"/>
    <w:rsid w:val="001F3E92"/>
    <w:rsid w:val="00207586"/>
    <w:rsid w:val="0021589D"/>
    <w:rsid w:val="00220FC2"/>
    <w:rsid w:val="00224FC0"/>
    <w:rsid w:val="00225EA4"/>
    <w:rsid w:val="00226EAF"/>
    <w:rsid w:val="00231F3A"/>
    <w:rsid w:val="002406EE"/>
    <w:rsid w:val="00243EC8"/>
    <w:rsid w:val="00245F53"/>
    <w:rsid w:val="00247151"/>
    <w:rsid w:val="002739DD"/>
    <w:rsid w:val="002745CC"/>
    <w:rsid w:val="002851D3"/>
    <w:rsid w:val="002913AF"/>
    <w:rsid w:val="00293251"/>
    <w:rsid w:val="002A12DD"/>
    <w:rsid w:val="002A46C3"/>
    <w:rsid w:val="002B7924"/>
    <w:rsid w:val="002C3C3B"/>
    <w:rsid w:val="002D39A4"/>
    <w:rsid w:val="002D47F5"/>
    <w:rsid w:val="002D7C6B"/>
    <w:rsid w:val="002E6705"/>
    <w:rsid w:val="002F0CD9"/>
    <w:rsid w:val="002F2DA3"/>
    <w:rsid w:val="00300A8C"/>
    <w:rsid w:val="0030329A"/>
    <w:rsid w:val="0031086F"/>
    <w:rsid w:val="0031414C"/>
    <w:rsid w:val="00314E01"/>
    <w:rsid w:val="0032089D"/>
    <w:rsid w:val="003310DE"/>
    <w:rsid w:val="003372ED"/>
    <w:rsid w:val="0034074A"/>
    <w:rsid w:val="0035169A"/>
    <w:rsid w:val="0035259D"/>
    <w:rsid w:val="00364B18"/>
    <w:rsid w:val="003A4C70"/>
    <w:rsid w:val="003B215F"/>
    <w:rsid w:val="003C5A5D"/>
    <w:rsid w:val="003C799C"/>
    <w:rsid w:val="003D0399"/>
    <w:rsid w:val="003E00AD"/>
    <w:rsid w:val="003E1C71"/>
    <w:rsid w:val="003F327B"/>
    <w:rsid w:val="003F6FAB"/>
    <w:rsid w:val="00406166"/>
    <w:rsid w:val="0040704B"/>
    <w:rsid w:val="00410A55"/>
    <w:rsid w:val="00411300"/>
    <w:rsid w:val="00415417"/>
    <w:rsid w:val="00415CDC"/>
    <w:rsid w:val="00426659"/>
    <w:rsid w:val="004373A9"/>
    <w:rsid w:val="0044655E"/>
    <w:rsid w:val="004479FC"/>
    <w:rsid w:val="00450352"/>
    <w:rsid w:val="004505CA"/>
    <w:rsid w:val="00454BDB"/>
    <w:rsid w:val="004616D9"/>
    <w:rsid w:val="00465132"/>
    <w:rsid w:val="00475463"/>
    <w:rsid w:val="00475AF2"/>
    <w:rsid w:val="00480C90"/>
    <w:rsid w:val="0048396F"/>
    <w:rsid w:val="00493C18"/>
    <w:rsid w:val="004A600C"/>
    <w:rsid w:val="004A6118"/>
    <w:rsid w:val="004C478D"/>
    <w:rsid w:val="004E2C26"/>
    <w:rsid w:val="004E5718"/>
    <w:rsid w:val="005003F6"/>
    <w:rsid w:val="00500CF0"/>
    <w:rsid w:val="0050136A"/>
    <w:rsid w:val="005125A8"/>
    <w:rsid w:val="0052176C"/>
    <w:rsid w:val="00521AE8"/>
    <w:rsid w:val="00527180"/>
    <w:rsid w:val="00536DAB"/>
    <w:rsid w:val="00542128"/>
    <w:rsid w:val="00543DC1"/>
    <w:rsid w:val="00555291"/>
    <w:rsid w:val="00575C8A"/>
    <w:rsid w:val="00583EDE"/>
    <w:rsid w:val="00585D3E"/>
    <w:rsid w:val="005873D8"/>
    <w:rsid w:val="005B5512"/>
    <w:rsid w:val="005D175B"/>
    <w:rsid w:val="005E4698"/>
    <w:rsid w:val="00610539"/>
    <w:rsid w:val="00613969"/>
    <w:rsid w:val="00625C35"/>
    <w:rsid w:val="00656313"/>
    <w:rsid w:val="006565F4"/>
    <w:rsid w:val="00684EEA"/>
    <w:rsid w:val="006B3B0D"/>
    <w:rsid w:val="006B5FF5"/>
    <w:rsid w:val="006C3948"/>
    <w:rsid w:val="006C3DBE"/>
    <w:rsid w:val="00701759"/>
    <w:rsid w:val="00730E69"/>
    <w:rsid w:val="007379B4"/>
    <w:rsid w:val="00747288"/>
    <w:rsid w:val="00747DD3"/>
    <w:rsid w:val="007549C8"/>
    <w:rsid w:val="00766D14"/>
    <w:rsid w:val="00767A0F"/>
    <w:rsid w:val="00784961"/>
    <w:rsid w:val="00795216"/>
    <w:rsid w:val="0079604D"/>
    <w:rsid w:val="007A05F6"/>
    <w:rsid w:val="007B6F4A"/>
    <w:rsid w:val="007B7B02"/>
    <w:rsid w:val="007E1C47"/>
    <w:rsid w:val="007E337A"/>
    <w:rsid w:val="007E5C70"/>
    <w:rsid w:val="007F2FF5"/>
    <w:rsid w:val="007F3F08"/>
    <w:rsid w:val="007F5F13"/>
    <w:rsid w:val="00804CC6"/>
    <w:rsid w:val="00817190"/>
    <w:rsid w:val="008260E2"/>
    <w:rsid w:val="00826284"/>
    <w:rsid w:val="008322BD"/>
    <w:rsid w:val="00834F73"/>
    <w:rsid w:val="00857828"/>
    <w:rsid w:val="00864CF8"/>
    <w:rsid w:val="00874914"/>
    <w:rsid w:val="00891422"/>
    <w:rsid w:val="00892E1A"/>
    <w:rsid w:val="008A40CD"/>
    <w:rsid w:val="008B4EA4"/>
    <w:rsid w:val="008C01DA"/>
    <w:rsid w:val="008C0536"/>
    <w:rsid w:val="008D2AE4"/>
    <w:rsid w:val="008F649A"/>
    <w:rsid w:val="008F6C25"/>
    <w:rsid w:val="008F78E9"/>
    <w:rsid w:val="009139FC"/>
    <w:rsid w:val="009179F9"/>
    <w:rsid w:val="00923A02"/>
    <w:rsid w:val="00933E5E"/>
    <w:rsid w:val="009346F9"/>
    <w:rsid w:val="00935218"/>
    <w:rsid w:val="009377A9"/>
    <w:rsid w:val="009403F3"/>
    <w:rsid w:val="009555B7"/>
    <w:rsid w:val="009567AA"/>
    <w:rsid w:val="00967374"/>
    <w:rsid w:val="009A3A76"/>
    <w:rsid w:val="009B2F23"/>
    <w:rsid w:val="009B57B3"/>
    <w:rsid w:val="009B5C8E"/>
    <w:rsid w:val="009C77D1"/>
    <w:rsid w:val="009D2920"/>
    <w:rsid w:val="009D5AEB"/>
    <w:rsid w:val="009F0E33"/>
    <w:rsid w:val="00A10A93"/>
    <w:rsid w:val="00A149DF"/>
    <w:rsid w:val="00A21B90"/>
    <w:rsid w:val="00A41805"/>
    <w:rsid w:val="00A42639"/>
    <w:rsid w:val="00A548CB"/>
    <w:rsid w:val="00A5521C"/>
    <w:rsid w:val="00A643E7"/>
    <w:rsid w:val="00A73C38"/>
    <w:rsid w:val="00A82310"/>
    <w:rsid w:val="00AA23DB"/>
    <w:rsid w:val="00AD1AA7"/>
    <w:rsid w:val="00AE0787"/>
    <w:rsid w:val="00AE1FF6"/>
    <w:rsid w:val="00AE5E57"/>
    <w:rsid w:val="00AF03C5"/>
    <w:rsid w:val="00B000D8"/>
    <w:rsid w:val="00B00F75"/>
    <w:rsid w:val="00B04459"/>
    <w:rsid w:val="00B145B6"/>
    <w:rsid w:val="00B429DF"/>
    <w:rsid w:val="00B50C81"/>
    <w:rsid w:val="00B557F8"/>
    <w:rsid w:val="00B55BD8"/>
    <w:rsid w:val="00B815FC"/>
    <w:rsid w:val="00B93FBC"/>
    <w:rsid w:val="00BA4E40"/>
    <w:rsid w:val="00BB2EE4"/>
    <w:rsid w:val="00BB529E"/>
    <w:rsid w:val="00BC1C4A"/>
    <w:rsid w:val="00BC2108"/>
    <w:rsid w:val="00BD00CE"/>
    <w:rsid w:val="00BD0E9E"/>
    <w:rsid w:val="00BD1BEC"/>
    <w:rsid w:val="00BD32FF"/>
    <w:rsid w:val="00BF336E"/>
    <w:rsid w:val="00C00942"/>
    <w:rsid w:val="00C02092"/>
    <w:rsid w:val="00C07ED0"/>
    <w:rsid w:val="00C24D91"/>
    <w:rsid w:val="00C462A5"/>
    <w:rsid w:val="00C4689F"/>
    <w:rsid w:val="00C53F14"/>
    <w:rsid w:val="00C600CF"/>
    <w:rsid w:val="00C6084F"/>
    <w:rsid w:val="00C62A66"/>
    <w:rsid w:val="00C71458"/>
    <w:rsid w:val="00C77613"/>
    <w:rsid w:val="00C828E7"/>
    <w:rsid w:val="00C85571"/>
    <w:rsid w:val="00C86719"/>
    <w:rsid w:val="00C921DD"/>
    <w:rsid w:val="00C92EB0"/>
    <w:rsid w:val="00CA3E63"/>
    <w:rsid w:val="00CA6391"/>
    <w:rsid w:val="00CD01C7"/>
    <w:rsid w:val="00CD68B5"/>
    <w:rsid w:val="00CE3171"/>
    <w:rsid w:val="00CF1601"/>
    <w:rsid w:val="00D0172F"/>
    <w:rsid w:val="00D068A7"/>
    <w:rsid w:val="00D32086"/>
    <w:rsid w:val="00D37A3F"/>
    <w:rsid w:val="00D4431D"/>
    <w:rsid w:val="00D4667A"/>
    <w:rsid w:val="00D538E3"/>
    <w:rsid w:val="00D73955"/>
    <w:rsid w:val="00D7516F"/>
    <w:rsid w:val="00D95F8E"/>
    <w:rsid w:val="00DA0590"/>
    <w:rsid w:val="00DC1788"/>
    <w:rsid w:val="00DC5426"/>
    <w:rsid w:val="00DD3FB0"/>
    <w:rsid w:val="00DD4B11"/>
    <w:rsid w:val="00DE319C"/>
    <w:rsid w:val="00DF0CA8"/>
    <w:rsid w:val="00DF2B48"/>
    <w:rsid w:val="00DF49A7"/>
    <w:rsid w:val="00DF5A6B"/>
    <w:rsid w:val="00E07EE2"/>
    <w:rsid w:val="00E07FD1"/>
    <w:rsid w:val="00E12734"/>
    <w:rsid w:val="00E24573"/>
    <w:rsid w:val="00E25E1E"/>
    <w:rsid w:val="00E27EE7"/>
    <w:rsid w:val="00E35404"/>
    <w:rsid w:val="00E45109"/>
    <w:rsid w:val="00E47B7A"/>
    <w:rsid w:val="00E545D0"/>
    <w:rsid w:val="00E56727"/>
    <w:rsid w:val="00E86E18"/>
    <w:rsid w:val="00E97830"/>
    <w:rsid w:val="00EF0683"/>
    <w:rsid w:val="00F0070C"/>
    <w:rsid w:val="00F00EB7"/>
    <w:rsid w:val="00F330AE"/>
    <w:rsid w:val="00F36AB6"/>
    <w:rsid w:val="00F37A09"/>
    <w:rsid w:val="00F409CE"/>
    <w:rsid w:val="00F4379D"/>
    <w:rsid w:val="00F71B0E"/>
    <w:rsid w:val="00F84DF4"/>
    <w:rsid w:val="00F85C97"/>
    <w:rsid w:val="00F97A41"/>
    <w:rsid w:val="00FB2512"/>
    <w:rsid w:val="00FB37D2"/>
    <w:rsid w:val="00FC290D"/>
    <w:rsid w:val="00FC3038"/>
    <w:rsid w:val="00FC4EFB"/>
    <w:rsid w:val="00FC74D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table" w:styleId="TableGrid">
    <w:name w:val="Table Grid"/>
    <w:basedOn w:val="TableNormal"/>
    <w:uiPriority w:val="59"/>
    <w:rsid w:val="004373A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4373A9"/>
    <w:rPr>
      <w:rFonts w:eastAsiaTheme="minorHAnsi" w:cstheme="minorBidi"/>
      <w:b/>
      <w:smallCaps/>
      <w:szCs w:val="24"/>
      <w:lang w:eastAsia="en-US"/>
    </w:rPr>
  </w:style>
  <w:style w:type="character" w:customStyle="1" w:styleId="SCCLsocPrefixChar">
    <w:name w:val="SCC.Lsoc.Prefix Char"/>
    <w:basedOn w:val="DefaultParagraphFont"/>
    <w:link w:val="SCCLsocPrefix"/>
    <w:rsid w:val="004373A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6F6B-BAB4-4BA5-A462-35F44F1E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1442</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2011-03-28T18:41:00Z</dcterms:created>
  <dcterms:modified xsi:type="dcterms:W3CDTF">2011-03-28T18:41:00Z</dcterms:modified>
</cp:coreProperties>
</file>