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C27" w:rsidRDefault="00BE7C27" w:rsidP="00BE7C27">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5pt;height:64.15pt" o:ole="">
            <v:imagedata r:id="rId8" o:title=""/>
          </v:shape>
          <o:OLEObject Type="Embed" ProgID="Presentations.Drawing.13" ShapeID="_x0000_i1025" DrawAspect="Content" ObjectID="_1362570319" r:id="rId9"/>
        </w:object>
      </w:r>
      <w:r>
        <w:t xml:space="preserve"> </w:t>
      </w:r>
      <w:r>
        <w:ptab w:relativeTo="margin" w:alignment="right" w:leader="none"/>
      </w:r>
    </w:p>
    <w:p w:rsidR="00BE7C27" w:rsidRDefault="00BE7C27" w:rsidP="00BE7C27">
      <w:pPr>
        <w:pStyle w:val="Header"/>
      </w:pPr>
    </w:p>
    <w:p w:rsidR="00BE7C27" w:rsidRPr="006B210C" w:rsidRDefault="00BE7C27" w:rsidP="00BE7C27">
      <w:pPr>
        <w:jc w:val="center"/>
        <w:rPr>
          <w:b/>
        </w:rPr>
      </w:pPr>
      <w:r w:rsidRPr="006B210C">
        <w:rPr>
          <w:b/>
        </w:rPr>
        <w:t>SUPREME COURT OF CANADA</w:t>
      </w:r>
    </w:p>
    <w:p w:rsidR="00BE7C27" w:rsidRDefault="00BE7C27"/>
    <w:p w:rsidR="00BE7C27" w:rsidRDefault="00BE7C27"/>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BE7C27" w:rsidRPr="006B210C" w:rsidTr="00EB3E9F">
        <w:trPr>
          <w:cantSplit/>
        </w:trPr>
        <w:tc>
          <w:tcPr>
            <w:tcW w:w="6768" w:type="dxa"/>
          </w:tcPr>
          <w:p w:rsidR="00BE7C27" w:rsidRPr="00FD751F" w:rsidRDefault="00BE7C27" w:rsidP="00EB3E9F">
            <w:pPr>
              <w:rPr>
                <w:lang w:val="fr-CA"/>
              </w:rPr>
            </w:pPr>
            <w:r w:rsidRPr="00FD751F">
              <w:rPr>
                <w:b/>
                <w:smallCaps/>
                <w:lang w:val="fr-CA"/>
              </w:rPr>
              <w:t xml:space="preserve">Citation </w:t>
            </w:r>
            <w:r w:rsidRPr="00FD751F">
              <w:rPr>
                <w:lang w:val="fr-CA"/>
              </w:rPr>
              <w:t xml:space="preserve">: R. </w:t>
            </w:r>
            <w:r w:rsidRPr="00FD751F">
              <w:rPr>
                <w:i/>
                <w:lang w:val="fr-CA"/>
              </w:rPr>
              <w:t>v.</w:t>
            </w:r>
            <w:r w:rsidRPr="00FD751F">
              <w:rPr>
                <w:lang w:val="fr-CA"/>
              </w:rPr>
              <w:t xml:space="preserve"> </w:t>
            </w:r>
            <w:r w:rsidRPr="00FD751F">
              <w:rPr>
                <w:rStyle w:val="SCCRespondentForIndexChar"/>
                <w:b w:val="0"/>
                <w:lang w:val="fr-CA"/>
              </w:rPr>
              <w:t>L</w:t>
            </w:r>
            <w:r>
              <w:rPr>
                <w:rStyle w:val="SCCRespondentForIndexChar"/>
                <w:b w:val="0"/>
                <w:lang w:val="fr-CA"/>
              </w:rPr>
              <w:t>utoslawski</w:t>
            </w:r>
            <w:r w:rsidRPr="00FD751F">
              <w:rPr>
                <w:rStyle w:val="SCCRespondentForIndexChar"/>
                <w:b w:val="0"/>
                <w:lang w:val="fr-CA"/>
              </w:rPr>
              <w:t>, 2010 SCC 4</w:t>
            </w:r>
            <w:r>
              <w:rPr>
                <w:rStyle w:val="SCCRespondentForIndexChar"/>
                <w:b w:val="0"/>
                <w:lang w:val="fr-CA"/>
              </w:rPr>
              <w:t>9, [2010] 3 S.C.R. 60</w:t>
            </w:r>
          </w:p>
        </w:tc>
        <w:tc>
          <w:tcPr>
            <w:tcW w:w="2808" w:type="dxa"/>
          </w:tcPr>
          <w:p w:rsidR="00BE7C27" w:rsidRPr="006B210C" w:rsidRDefault="00BE7C27" w:rsidP="00EB3E9F">
            <w:r w:rsidRPr="006B210C">
              <w:rPr>
                <w:b/>
                <w:smallCaps/>
              </w:rPr>
              <w:t xml:space="preserve">Date </w:t>
            </w:r>
            <w:r w:rsidRPr="006B210C">
              <w:t xml:space="preserve">: </w:t>
            </w:r>
            <w:r>
              <w:t>20101105</w:t>
            </w:r>
          </w:p>
          <w:p w:rsidR="00BE7C27" w:rsidRPr="006B210C" w:rsidRDefault="00BE7C27" w:rsidP="00EB3E9F">
            <w:r w:rsidRPr="006B210C">
              <w:rPr>
                <w:b/>
                <w:smallCaps/>
              </w:rPr>
              <w:t xml:space="preserve">Docket </w:t>
            </w:r>
            <w:r w:rsidRPr="006B210C">
              <w:t xml:space="preserve">: </w:t>
            </w:r>
            <w:r>
              <w:t>33723</w:t>
            </w:r>
          </w:p>
        </w:tc>
      </w:tr>
    </w:tbl>
    <w:p w:rsidR="00BE7C27" w:rsidRPr="006B210C" w:rsidRDefault="00BE7C27" w:rsidP="00BE7C27"/>
    <w:p w:rsidR="00BE7C27" w:rsidRDefault="00BE7C27" w:rsidP="00BE7C27">
      <w:pPr>
        <w:pStyle w:val="SCCLsocPrefix"/>
      </w:pPr>
      <w:r>
        <w:t>Between:</w:t>
      </w:r>
    </w:p>
    <w:p w:rsidR="00BE7C27" w:rsidRDefault="00BE7C27" w:rsidP="00BE7C27">
      <w:pPr>
        <w:pStyle w:val="SCCLsocParty"/>
        <w:jc w:val="center"/>
      </w:pPr>
      <w:proofErr w:type="spellStart"/>
      <w:r>
        <w:t>Jaroslaw</w:t>
      </w:r>
      <w:proofErr w:type="spellEnd"/>
      <w:r>
        <w:t xml:space="preserve"> </w:t>
      </w:r>
      <w:proofErr w:type="spellStart"/>
      <w:r>
        <w:t>Lutoslawski</w:t>
      </w:r>
      <w:proofErr w:type="spellEnd"/>
    </w:p>
    <w:p w:rsidR="00BE7C27" w:rsidRPr="00403DDF" w:rsidRDefault="00BE7C27" w:rsidP="00BE7C27">
      <w:pPr>
        <w:pStyle w:val="SCCLsocPartyRole"/>
        <w:jc w:val="center"/>
        <w:rPr>
          <w:i w:val="0"/>
        </w:rPr>
      </w:pPr>
      <w:r w:rsidRPr="00403DDF">
        <w:rPr>
          <w:i w:val="0"/>
        </w:rPr>
        <w:t>Appellant</w:t>
      </w:r>
    </w:p>
    <w:p w:rsidR="00BE7C27" w:rsidRPr="00403DDF" w:rsidRDefault="00BE7C27" w:rsidP="00BE7C27">
      <w:pPr>
        <w:pStyle w:val="SCCLsocVersus"/>
        <w:jc w:val="center"/>
        <w:rPr>
          <w:i w:val="0"/>
        </w:rPr>
      </w:pPr>
      <w:proofErr w:type="gramStart"/>
      <w:r w:rsidRPr="00403DDF">
        <w:rPr>
          <w:i w:val="0"/>
        </w:rPr>
        <w:t>and</w:t>
      </w:r>
      <w:proofErr w:type="gramEnd"/>
    </w:p>
    <w:p w:rsidR="00BE7C27" w:rsidRDefault="00BE7C27" w:rsidP="00BE7C27">
      <w:pPr>
        <w:pStyle w:val="SCCLsocParty"/>
        <w:jc w:val="center"/>
      </w:pPr>
      <w:r>
        <w:t xml:space="preserve">Her Majesty </w:t>
      </w:r>
      <w:proofErr w:type="gramStart"/>
      <w:r>
        <w:t>The</w:t>
      </w:r>
      <w:proofErr w:type="gramEnd"/>
      <w:r>
        <w:t xml:space="preserve"> Queen</w:t>
      </w:r>
    </w:p>
    <w:p w:rsidR="00BE7C27" w:rsidRPr="00403DDF" w:rsidRDefault="00BE7C27" w:rsidP="00BE7C27">
      <w:pPr>
        <w:pStyle w:val="SCCLsocPartyRole"/>
        <w:jc w:val="center"/>
        <w:rPr>
          <w:i w:val="0"/>
        </w:rPr>
      </w:pPr>
      <w:r w:rsidRPr="00403DDF">
        <w:rPr>
          <w:i w:val="0"/>
        </w:rPr>
        <w:t>Respondent</w:t>
      </w:r>
    </w:p>
    <w:p w:rsidR="00BE7C27" w:rsidRDefault="00BE7C27" w:rsidP="00BE7C27">
      <w:pPr>
        <w:jc w:val="center"/>
      </w:pPr>
    </w:p>
    <w:p w:rsidR="00BE7C27" w:rsidRPr="006B210C" w:rsidRDefault="00BE7C27" w:rsidP="00BE7C27"/>
    <w:p w:rsidR="00BE7C27" w:rsidRPr="006B210C" w:rsidRDefault="00BE7C27" w:rsidP="00BE7C27">
      <w:proofErr w:type="gramStart"/>
      <w:r w:rsidRPr="006B210C">
        <w:rPr>
          <w:b/>
          <w:smallCaps/>
        </w:rPr>
        <w:t xml:space="preserve">Coram </w:t>
      </w:r>
      <w:r w:rsidRPr="006B210C">
        <w:t>:</w:t>
      </w:r>
      <w:proofErr w:type="gramEnd"/>
      <w:r w:rsidRPr="006B210C">
        <w:t xml:space="preserve"> </w:t>
      </w:r>
      <w:proofErr w:type="spellStart"/>
      <w:r>
        <w:t>Binnie</w:t>
      </w:r>
      <w:proofErr w:type="spellEnd"/>
      <w:r>
        <w:t xml:space="preserve">, </w:t>
      </w:r>
      <w:proofErr w:type="spellStart"/>
      <w:r>
        <w:t>LeBel</w:t>
      </w:r>
      <w:proofErr w:type="spellEnd"/>
      <w:r>
        <w:t xml:space="preserve">, </w:t>
      </w:r>
      <w:proofErr w:type="spellStart"/>
      <w:r>
        <w:t>Deschamps</w:t>
      </w:r>
      <w:proofErr w:type="spellEnd"/>
      <w:r>
        <w:t xml:space="preserve">, Fish, </w:t>
      </w:r>
      <w:proofErr w:type="spellStart"/>
      <w:r>
        <w:t>Abella</w:t>
      </w:r>
      <w:proofErr w:type="spellEnd"/>
      <w:r>
        <w:t xml:space="preserve">, </w:t>
      </w:r>
      <w:proofErr w:type="spellStart"/>
      <w:r>
        <w:t>Charron</w:t>
      </w:r>
      <w:proofErr w:type="spellEnd"/>
      <w:r>
        <w:t xml:space="preserve"> and Rothstein JJ.</w:t>
      </w:r>
    </w:p>
    <w:p w:rsidR="00BE7C27" w:rsidRPr="006B210C" w:rsidRDefault="00BE7C27" w:rsidP="00BE7C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BE7C27" w:rsidRPr="006B210C" w:rsidTr="00EB3E9F">
        <w:trPr>
          <w:cantSplit/>
        </w:trPr>
        <w:tc>
          <w:tcPr>
            <w:tcW w:w="3618" w:type="dxa"/>
          </w:tcPr>
          <w:p w:rsidR="00BE7C27" w:rsidRDefault="00BE7C27" w:rsidP="00EB3E9F">
            <w:r w:rsidRPr="006B210C">
              <w:rPr>
                <w:b/>
                <w:smallCaps/>
              </w:rPr>
              <w:t>Reasons for Judgment</w:t>
            </w:r>
            <w:r w:rsidRPr="006B210C">
              <w:t xml:space="preserve"> :</w:t>
            </w:r>
          </w:p>
          <w:p w:rsidR="00BE7C27" w:rsidRPr="006B210C" w:rsidRDefault="00BE7C27" w:rsidP="00EB3E9F">
            <w:r>
              <w:t>(</w:t>
            </w:r>
            <w:proofErr w:type="spellStart"/>
            <w:r>
              <w:t>para</w:t>
            </w:r>
            <w:proofErr w:type="spellEnd"/>
            <w:r>
              <w:t>. 1)</w:t>
            </w:r>
          </w:p>
        </w:tc>
        <w:tc>
          <w:tcPr>
            <w:tcW w:w="5958" w:type="dxa"/>
          </w:tcPr>
          <w:p w:rsidR="00BE7C27" w:rsidRPr="006B210C" w:rsidRDefault="00BE7C27" w:rsidP="00EB3E9F">
            <w:proofErr w:type="spellStart"/>
            <w:r>
              <w:t>Binnie</w:t>
            </w:r>
            <w:proofErr w:type="spellEnd"/>
            <w:r>
              <w:t xml:space="preserve"> J. (</w:t>
            </w:r>
            <w:proofErr w:type="spellStart"/>
            <w:r>
              <w:t>LeBel</w:t>
            </w:r>
            <w:proofErr w:type="spellEnd"/>
            <w:r>
              <w:t xml:space="preserve">, </w:t>
            </w:r>
            <w:proofErr w:type="spellStart"/>
            <w:r>
              <w:t>Deschamps</w:t>
            </w:r>
            <w:proofErr w:type="spellEnd"/>
            <w:r>
              <w:t xml:space="preserve">, Fish, </w:t>
            </w:r>
            <w:proofErr w:type="spellStart"/>
            <w:r>
              <w:t>Abella</w:t>
            </w:r>
            <w:proofErr w:type="spellEnd"/>
            <w:r>
              <w:t xml:space="preserve">, </w:t>
            </w:r>
            <w:proofErr w:type="spellStart"/>
            <w:r>
              <w:t>Charron</w:t>
            </w:r>
            <w:proofErr w:type="spellEnd"/>
            <w:r>
              <w:t xml:space="preserve"> and Rothstein JJ. concurring) </w:t>
            </w:r>
          </w:p>
        </w:tc>
      </w:tr>
    </w:tbl>
    <w:p w:rsidR="00BE7C27" w:rsidRPr="006B210C" w:rsidRDefault="002652AA" w:rsidP="00BE7C27">
      <w:r w:rsidRPr="002652AA">
        <w:rPr>
          <w:noProof/>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mso-position-horizontal-relative:text;mso-position-vertical-relative:text" o:connectortype="straight"/>
        </w:pict>
      </w:r>
    </w:p>
    <w:p w:rsidR="00BE7C27" w:rsidRDefault="00BE7C27">
      <w:pPr>
        <w:rPr>
          <w:smallCaps/>
          <w:lang w:val="en-US"/>
        </w:rPr>
      </w:pPr>
      <w:r>
        <w:rPr>
          <w:smallCaps/>
          <w:lang w:val="en-US"/>
        </w:rPr>
        <w:br w:type="page"/>
      </w:r>
    </w:p>
    <w:p w:rsidR="008322BD" w:rsidRPr="00D04AC3" w:rsidRDefault="00241806" w:rsidP="00241806">
      <w:pPr>
        <w:spacing w:line="480" w:lineRule="auto"/>
        <w:jc w:val="both"/>
        <w:rPr>
          <w:lang w:val="en-US"/>
        </w:rPr>
      </w:pPr>
      <w:r w:rsidRPr="00D04AC3">
        <w:rPr>
          <w:smallCaps/>
          <w:lang w:val="en-US"/>
        </w:rPr>
        <w:lastRenderedPageBreak/>
        <w:t>R.</w:t>
      </w:r>
      <w:r w:rsidRPr="00D04AC3">
        <w:rPr>
          <w:lang w:val="en-US"/>
        </w:rPr>
        <w:t xml:space="preserve"> </w:t>
      </w:r>
      <w:r w:rsidRPr="00D04AC3">
        <w:rPr>
          <w:i/>
          <w:lang w:val="en-US"/>
        </w:rPr>
        <w:t>v.</w:t>
      </w:r>
      <w:r w:rsidRPr="00D04AC3">
        <w:rPr>
          <w:lang w:val="en-US"/>
        </w:rPr>
        <w:t xml:space="preserve"> </w:t>
      </w:r>
      <w:proofErr w:type="spellStart"/>
      <w:r w:rsidR="008F78E9" w:rsidRPr="00D04AC3">
        <w:rPr>
          <w:rStyle w:val="SCCAppellantForRunningHeadChar"/>
          <w:smallCaps w:val="0"/>
          <w:lang w:val="en-US"/>
        </w:rPr>
        <w:t>Lutoslawski</w:t>
      </w:r>
      <w:proofErr w:type="spellEnd"/>
      <w:r w:rsidR="00D04AC3" w:rsidRPr="00D04AC3">
        <w:rPr>
          <w:rStyle w:val="SCCAppellantForRunningHeadChar"/>
          <w:lang w:val="en-US"/>
        </w:rPr>
        <w:t>,</w:t>
      </w:r>
      <w:r w:rsidR="00D04AC3">
        <w:rPr>
          <w:rStyle w:val="SCCAppellantForRunningHeadChar"/>
          <w:lang w:val="en-US"/>
        </w:rPr>
        <w:t xml:space="preserve"> </w:t>
      </w:r>
      <w:r w:rsidR="00D04AC3">
        <w:rPr>
          <w:rStyle w:val="SCCAppellantForRunningHeadChar"/>
        </w:rPr>
        <w:t>2010</w:t>
      </w:r>
      <w:r w:rsidR="00D04AC3">
        <w:rPr>
          <w:rStyle w:val="SCCRespondentForRunningHeadChar"/>
          <w:smallCaps w:val="0"/>
        </w:rPr>
        <w:t xml:space="preserve"> SCC 49, [2010] 3 S.C.R. 60</w:t>
      </w:r>
    </w:p>
    <w:p w:rsidR="00A149DF" w:rsidRPr="00D04AC3" w:rsidRDefault="00A149DF" w:rsidP="00241806">
      <w:pPr>
        <w:spacing w:line="480" w:lineRule="auto"/>
        <w:jc w:val="both"/>
        <w:rPr>
          <w:lang w:val="en-US"/>
        </w:rPr>
      </w:pPr>
    </w:p>
    <w:p w:rsidR="00F075C6" w:rsidRPr="00D04AC3" w:rsidRDefault="00D21178" w:rsidP="00241806">
      <w:pPr>
        <w:pStyle w:val="SCCLsocParty"/>
        <w:tabs>
          <w:tab w:val="right" w:pos="8280"/>
        </w:tabs>
        <w:spacing w:line="480" w:lineRule="auto"/>
        <w:rPr>
          <w:lang w:val="en-US"/>
        </w:rPr>
      </w:pPr>
      <w:proofErr w:type="spellStart"/>
      <w:r w:rsidRPr="00D04AC3">
        <w:rPr>
          <w:lang w:val="en-US"/>
        </w:rPr>
        <w:t>Jaroslaw</w:t>
      </w:r>
      <w:proofErr w:type="spellEnd"/>
      <w:r w:rsidRPr="00D04AC3">
        <w:rPr>
          <w:lang w:val="en-US"/>
        </w:rPr>
        <w:t xml:space="preserve"> </w:t>
      </w:r>
      <w:proofErr w:type="spellStart"/>
      <w:r w:rsidRPr="00D04AC3">
        <w:rPr>
          <w:lang w:val="en-US"/>
        </w:rPr>
        <w:t>Lutoslawski</w:t>
      </w:r>
      <w:proofErr w:type="spellEnd"/>
      <w:r w:rsidR="00241806" w:rsidRPr="00D04AC3">
        <w:rPr>
          <w:lang w:val="en-US"/>
        </w:rPr>
        <w:tab/>
      </w:r>
      <w:r w:rsidRPr="00D04AC3">
        <w:rPr>
          <w:b w:val="0"/>
          <w:i/>
          <w:lang w:val="en-US"/>
        </w:rPr>
        <w:t>Appellant</w:t>
      </w:r>
    </w:p>
    <w:p w:rsidR="00241806" w:rsidRPr="00D04AC3" w:rsidRDefault="00241806" w:rsidP="00241806">
      <w:pPr>
        <w:pStyle w:val="SCCLsocVersus"/>
        <w:spacing w:line="480" w:lineRule="auto"/>
        <w:rPr>
          <w:lang w:val="en-US"/>
        </w:rPr>
      </w:pPr>
    </w:p>
    <w:p w:rsidR="00241806" w:rsidRPr="00241806" w:rsidRDefault="00D21178" w:rsidP="00241806">
      <w:pPr>
        <w:pStyle w:val="SCCLsocVersus"/>
        <w:spacing w:line="480" w:lineRule="auto"/>
      </w:pPr>
      <w:proofErr w:type="gramStart"/>
      <w:r>
        <w:t>v</w:t>
      </w:r>
      <w:proofErr w:type="gramEnd"/>
      <w:r>
        <w:t>.</w:t>
      </w:r>
      <w:r>
        <w:br/>
      </w:r>
    </w:p>
    <w:p w:rsidR="00F075C6" w:rsidRDefault="002963E1" w:rsidP="00241806">
      <w:pPr>
        <w:pStyle w:val="SCCLsocParty"/>
        <w:tabs>
          <w:tab w:val="right" w:pos="8280"/>
        </w:tabs>
        <w:spacing w:line="480" w:lineRule="auto"/>
      </w:pPr>
      <w:r>
        <w:t xml:space="preserve">Her Majesty </w:t>
      </w:r>
      <w:proofErr w:type="gramStart"/>
      <w:r>
        <w:t>T</w:t>
      </w:r>
      <w:r w:rsidR="00D21178">
        <w:t>he</w:t>
      </w:r>
      <w:proofErr w:type="gramEnd"/>
      <w:r w:rsidR="00D21178">
        <w:t xml:space="preserve"> Queen</w:t>
      </w:r>
      <w:r w:rsidR="00241806">
        <w:tab/>
      </w:r>
      <w:r w:rsidR="00D21178" w:rsidRPr="00241806">
        <w:rPr>
          <w:b w:val="0"/>
          <w:i/>
        </w:rPr>
        <w:t>Respondent</w:t>
      </w:r>
    </w:p>
    <w:p w:rsidR="00A149DF" w:rsidRPr="001426A9" w:rsidRDefault="00A149DF" w:rsidP="00241806">
      <w:pPr>
        <w:spacing w:line="480" w:lineRule="auto"/>
        <w:jc w:val="both"/>
      </w:pPr>
    </w:p>
    <w:p w:rsidR="00426659" w:rsidRPr="00426659" w:rsidRDefault="00426659" w:rsidP="00241806">
      <w:pPr>
        <w:spacing w:line="480" w:lineRule="auto"/>
        <w:jc w:val="both"/>
        <w:rPr>
          <w:b/>
        </w:rPr>
      </w:pPr>
      <w:r w:rsidRPr="00426659">
        <w:rPr>
          <w:b/>
        </w:rPr>
        <w:t>Indexed as:</w:t>
      </w:r>
      <w:r>
        <w:rPr>
          <w:b/>
        </w:rPr>
        <w:t xml:space="preserve"> </w:t>
      </w:r>
      <w:r w:rsidRPr="00426659">
        <w:rPr>
          <w:b/>
        </w:rPr>
        <w:t xml:space="preserve"> </w:t>
      </w:r>
      <w:r w:rsidR="00241806">
        <w:rPr>
          <w:b/>
        </w:rPr>
        <w:t xml:space="preserve">R. </w:t>
      </w:r>
      <w:r w:rsidR="00241806" w:rsidRPr="00241806">
        <w:rPr>
          <w:b/>
          <w:i/>
        </w:rPr>
        <w:t>v.</w:t>
      </w:r>
      <w:r w:rsidR="00241806">
        <w:rPr>
          <w:b/>
        </w:rPr>
        <w:t xml:space="preserve"> </w:t>
      </w:r>
      <w:proofErr w:type="spellStart"/>
      <w:r>
        <w:rPr>
          <w:rStyle w:val="SCCAppellantForIndexChar"/>
        </w:rPr>
        <w:t>Lutoslawski</w:t>
      </w:r>
      <w:proofErr w:type="spellEnd"/>
    </w:p>
    <w:p w:rsidR="00A149DF" w:rsidRDefault="00A149DF" w:rsidP="00241806">
      <w:pPr>
        <w:spacing w:line="480" w:lineRule="auto"/>
        <w:jc w:val="both"/>
      </w:pPr>
    </w:p>
    <w:p w:rsidR="00426659" w:rsidRPr="00C02092" w:rsidRDefault="007F3F08" w:rsidP="00241806">
      <w:pPr>
        <w:pStyle w:val="SCCSystemYear"/>
        <w:spacing w:line="480" w:lineRule="auto"/>
        <w:jc w:val="both"/>
      </w:pPr>
      <w:r>
        <w:t>2010</w:t>
      </w:r>
      <w:r w:rsidR="003D0399">
        <w:t xml:space="preserve"> </w:t>
      </w:r>
      <w:r w:rsidR="00241806">
        <w:t xml:space="preserve">SCC  </w:t>
      </w:r>
      <w:r w:rsidR="00394980">
        <w:t>49</w:t>
      </w:r>
    </w:p>
    <w:p w:rsidR="00A149DF" w:rsidRDefault="00A149DF" w:rsidP="007F4232">
      <w:pPr>
        <w:spacing w:line="480" w:lineRule="auto"/>
        <w:jc w:val="both"/>
      </w:pPr>
    </w:p>
    <w:p w:rsidR="008322BD" w:rsidRDefault="009B57B3" w:rsidP="007F4232">
      <w:pPr>
        <w:spacing w:line="480" w:lineRule="auto"/>
        <w:jc w:val="both"/>
      </w:pPr>
      <w:r w:rsidRPr="001426A9">
        <w:t xml:space="preserve">File No.:  </w:t>
      </w:r>
      <w:r>
        <w:t>33723</w:t>
      </w:r>
      <w:r w:rsidRPr="001426A9">
        <w:t>.</w:t>
      </w:r>
    </w:p>
    <w:p w:rsidR="00A149DF" w:rsidRDefault="00A149DF" w:rsidP="007F4232">
      <w:pPr>
        <w:spacing w:line="480" w:lineRule="auto"/>
        <w:jc w:val="both"/>
      </w:pPr>
    </w:p>
    <w:p w:rsidR="008322BD" w:rsidRDefault="007F3F08" w:rsidP="007F4232">
      <w:pPr>
        <w:spacing w:line="480" w:lineRule="auto"/>
        <w:jc w:val="both"/>
      </w:pPr>
      <w:r>
        <w:t>2010:  November 5</w:t>
      </w:r>
      <w:r w:rsidR="009B57B3" w:rsidRPr="001426A9">
        <w:t>.</w:t>
      </w:r>
    </w:p>
    <w:p w:rsidR="00E97830" w:rsidRDefault="00E97830" w:rsidP="007F4232">
      <w:pPr>
        <w:spacing w:line="480" w:lineRule="auto"/>
        <w:jc w:val="both"/>
      </w:pPr>
    </w:p>
    <w:p w:rsidR="008322BD" w:rsidRDefault="009B57B3" w:rsidP="007F4232">
      <w:pPr>
        <w:spacing w:line="480" w:lineRule="auto"/>
        <w:jc w:val="both"/>
      </w:pPr>
      <w:r w:rsidRPr="001426A9">
        <w:t xml:space="preserve">Present:  </w:t>
      </w:r>
      <w:proofErr w:type="spellStart"/>
      <w:r>
        <w:t>Binnie</w:t>
      </w:r>
      <w:proofErr w:type="spellEnd"/>
      <w:r>
        <w:t xml:space="preserve">, </w:t>
      </w:r>
      <w:proofErr w:type="spellStart"/>
      <w:r>
        <w:t>LeBel</w:t>
      </w:r>
      <w:proofErr w:type="spellEnd"/>
      <w:r>
        <w:t xml:space="preserve">, </w:t>
      </w:r>
      <w:proofErr w:type="spellStart"/>
      <w:r>
        <w:t>Deschamps</w:t>
      </w:r>
      <w:proofErr w:type="spellEnd"/>
      <w:r>
        <w:t xml:space="preserve">, Fish, </w:t>
      </w:r>
      <w:proofErr w:type="spellStart"/>
      <w:r>
        <w:t>Abella</w:t>
      </w:r>
      <w:proofErr w:type="spellEnd"/>
      <w:r>
        <w:t xml:space="preserve">, </w:t>
      </w:r>
      <w:proofErr w:type="spellStart"/>
      <w:r>
        <w:t>Charron</w:t>
      </w:r>
      <w:proofErr w:type="spellEnd"/>
      <w:r>
        <w:t xml:space="preserve"> and Rothstein</w:t>
      </w:r>
      <w:r w:rsidR="001C779F">
        <w:t> </w:t>
      </w:r>
      <w:r w:rsidRPr="001426A9">
        <w:t>JJ.</w:t>
      </w:r>
    </w:p>
    <w:p w:rsidR="00E97830" w:rsidRDefault="00E97830" w:rsidP="007F4232">
      <w:pPr>
        <w:spacing w:line="480" w:lineRule="auto"/>
        <w:jc w:val="both"/>
      </w:pPr>
    </w:p>
    <w:p w:rsidR="008322BD" w:rsidRPr="001C779F" w:rsidRDefault="00656313" w:rsidP="007F4232">
      <w:pPr>
        <w:pStyle w:val="SCCLowerCourtNameLowercase"/>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 xml:space="preserve">court of appeal for </w:t>
      </w:r>
      <w:proofErr w:type="spellStart"/>
      <w:r w:rsidR="009B57B3">
        <w:t>ontario</w:t>
      </w:r>
      <w:proofErr w:type="spellEnd"/>
    </w:p>
    <w:p w:rsidR="003A4C70" w:rsidRPr="001426A9" w:rsidRDefault="003A4C70" w:rsidP="007F4232">
      <w:pPr>
        <w:pStyle w:val="SCCNormalDoubleSpacing"/>
      </w:pPr>
    </w:p>
    <w:p w:rsidR="00A149DF" w:rsidRPr="00FB1E9C" w:rsidRDefault="009B57B3" w:rsidP="00FC4EFB">
      <w:pPr>
        <w:pStyle w:val="SCCNormalDoubleSpacing"/>
        <w:rPr>
          <w:i/>
        </w:rPr>
      </w:pPr>
      <w:r w:rsidRPr="00583EDE">
        <w:tab/>
      </w:r>
      <w:r w:rsidR="00C24ED0" w:rsidRPr="00FB1E9C">
        <w:rPr>
          <w:i/>
        </w:rPr>
        <w:t xml:space="preserve">Criminal law </w:t>
      </w:r>
      <w:r w:rsidR="00A1267C" w:rsidRPr="00FB1E9C">
        <w:rPr>
          <w:i/>
        </w:rPr>
        <w:t>––</w:t>
      </w:r>
      <w:r w:rsidR="00C24ED0" w:rsidRPr="00FB1E9C">
        <w:rPr>
          <w:i/>
        </w:rPr>
        <w:t xml:space="preserve"> </w:t>
      </w:r>
      <w:r w:rsidR="008B0B24">
        <w:rPr>
          <w:i/>
        </w:rPr>
        <w:t>Powers of Court of Appeal</w:t>
      </w:r>
      <w:r w:rsidR="00C24ED0" w:rsidRPr="00FB1E9C">
        <w:rPr>
          <w:i/>
        </w:rPr>
        <w:t xml:space="preserve"> </w:t>
      </w:r>
      <w:r w:rsidR="00A1267C" w:rsidRPr="00FB1E9C">
        <w:rPr>
          <w:i/>
        </w:rPr>
        <w:t>––</w:t>
      </w:r>
      <w:r w:rsidR="00A1267C">
        <w:rPr>
          <w:i/>
        </w:rPr>
        <w:t xml:space="preserve"> </w:t>
      </w:r>
      <w:r w:rsidR="00FB1E9C" w:rsidRPr="00FB1E9C">
        <w:rPr>
          <w:i/>
        </w:rPr>
        <w:t>T</w:t>
      </w:r>
      <w:r w:rsidR="00C24ED0" w:rsidRPr="00FB1E9C">
        <w:rPr>
          <w:i/>
        </w:rPr>
        <w:t>rial judge misdirect</w:t>
      </w:r>
      <w:r w:rsidR="008B0B24">
        <w:rPr>
          <w:i/>
        </w:rPr>
        <w:t>ing</w:t>
      </w:r>
      <w:r w:rsidR="00C24ED0" w:rsidRPr="00FB1E9C">
        <w:rPr>
          <w:i/>
        </w:rPr>
        <w:t xml:space="preserve"> himself on question of law ––</w:t>
      </w:r>
      <w:r w:rsidR="008B0B24">
        <w:rPr>
          <w:i/>
        </w:rPr>
        <w:t xml:space="preserve"> Court of Appeal did not err in substituting conviction </w:t>
      </w:r>
      <w:r w:rsidR="008B0B24">
        <w:rPr>
          <w:i/>
        </w:rPr>
        <w:lastRenderedPageBreak/>
        <w:t xml:space="preserve">instead of ordering a </w:t>
      </w:r>
      <w:r w:rsidR="00FB1E9C" w:rsidRPr="00FB1E9C">
        <w:rPr>
          <w:i/>
        </w:rPr>
        <w:t>new trial</w:t>
      </w:r>
      <w:r w:rsidR="008B0B24">
        <w:rPr>
          <w:i/>
        </w:rPr>
        <w:t xml:space="preserve"> </w:t>
      </w:r>
      <w:r w:rsidR="00A1267C" w:rsidRPr="00FB1E9C">
        <w:rPr>
          <w:i/>
        </w:rPr>
        <w:t>––</w:t>
      </w:r>
      <w:r w:rsidR="008B0B24">
        <w:rPr>
          <w:i/>
        </w:rPr>
        <w:t xml:space="preserve"> </w:t>
      </w:r>
      <w:r w:rsidR="00FB1E9C" w:rsidRPr="00FB1E9C">
        <w:rPr>
          <w:i/>
        </w:rPr>
        <w:t>Criminal Code, R.S.C. 1985, c. C-46, s. 686(4)(b)(ii).</w:t>
      </w:r>
    </w:p>
    <w:p w:rsidR="00A149DF" w:rsidRDefault="00A149DF" w:rsidP="00FC4EFB">
      <w:pPr>
        <w:pStyle w:val="SCCNormalDoubleSpacing"/>
      </w:pPr>
    </w:p>
    <w:p w:rsidR="007E1C47" w:rsidRDefault="002E6705" w:rsidP="00FC4EFB">
      <w:pPr>
        <w:pStyle w:val="SCCNormalDoubleSpacing"/>
        <w:keepNext/>
        <w:keepLines/>
        <w:rPr>
          <w:b/>
        </w:rPr>
      </w:pPr>
      <w:r w:rsidRPr="00314E01">
        <w:rPr>
          <w:b/>
        </w:rPr>
        <w:t>Cases Cited</w:t>
      </w:r>
    </w:p>
    <w:p w:rsidR="00A149DF" w:rsidRPr="00613969" w:rsidRDefault="00A149DF" w:rsidP="00FC4EFB">
      <w:pPr>
        <w:pStyle w:val="SCCNormalDoubleSpacing"/>
        <w:keepNext/>
        <w:keepLines/>
      </w:pPr>
    </w:p>
    <w:p w:rsidR="004E2C26" w:rsidRPr="007E1C47" w:rsidRDefault="002E6705" w:rsidP="00FC4EFB">
      <w:pPr>
        <w:pStyle w:val="SCCNormalDoubleSpacing"/>
        <w:keepNext/>
        <w:keepLines/>
      </w:pPr>
      <w:r>
        <w:tab/>
      </w:r>
      <w:r w:rsidR="00FB1E9C">
        <w:rPr>
          <w:b/>
        </w:rPr>
        <w:t>Applied</w:t>
      </w:r>
      <w:r w:rsidRPr="00314E01">
        <w:rPr>
          <w:b/>
        </w:rPr>
        <w:t>:</w:t>
      </w:r>
      <w:r w:rsidR="00BD0E9E" w:rsidRPr="00BD0E9E">
        <w:t xml:space="preserve"> </w:t>
      </w:r>
      <w:r w:rsidR="00BE16D2" w:rsidRPr="00BE16D2">
        <w:rPr>
          <w:i/>
        </w:rPr>
        <w:t>R. v. Chase</w:t>
      </w:r>
      <w:r w:rsidR="00BE16D2" w:rsidRPr="00334355">
        <w:t>, [1987] 2 S.C.R. 293</w:t>
      </w:r>
      <w:r w:rsidR="00BE16D2">
        <w:t>;</w:t>
      </w:r>
      <w:r w:rsidR="009850DB">
        <w:t xml:space="preserve"> </w:t>
      </w:r>
      <w:r w:rsidR="009850DB" w:rsidRPr="009850DB">
        <w:rPr>
          <w:i/>
        </w:rPr>
        <w:t>R. v. Cassidy</w:t>
      </w:r>
      <w:r w:rsidR="009850DB" w:rsidRPr="00334355">
        <w:t>, [1989] 2 S.C.R. 345</w:t>
      </w:r>
      <w:r w:rsidR="009850DB">
        <w:t>.</w:t>
      </w:r>
    </w:p>
    <w:p w:rsidR="00A149DF" w:rsidRDefault="00A149DF" w:rsidP="000C762E">
      <w:pPr>
        <w:pStyle w:val="SCCNormalDoubleSpacing"/>
      </w:pPr>
    </w:p>
    <w:p w:rsidR="003B215F" w:rsidRDefault="002E6705" w:rsidP="000C762E">
      <w:pPr>
        <w:pStyle w:val="SCCNormalDoubleSpacing"/>
      </w:pPr>
      <w:r w:rsidRPr="00314E01">
        <w:rPr>
          <w:b/>
        </w:rPr>
        <w:t>Statutes and Regulations Cite</w:t>
      </w:r>
      <w:r w:rsidR="00A41805">
        <w:rPr>
          <w:b/>
        </w:rPr>
        <w:t>d</w:t>
      </w:r>
    </w:p>
    <w:p w:rsidR="00A41805" w:rsidRDefault="00A41805" w:rsidP="000C762E">
      <w:pPr>
        <w:pStyle w:val="SCCNormalDoubleSpacing"/>
        <w:ind w:left="540" w:hanging="540"/>
      </w:pPr>
    </w:p>
    <w:p w:rsidR="000C762E" w:rsidRDefault="000C762E" w:rsidP="000C762E">
      <w:pPr>
        <w:pStyle w:val="SCCNormalDoubleSpacing"/>
        <w:ind w:left="540" w:hanging="540"/>
        <w:rPr>
          <w:lang w:val="fr-CA"/>
        </w:rPr>
      </w:pPr>
      <w:proofErr w:type="spellStart"/>
      <w:r w:rsidRPr="000C762E">
        <w:rPr>
          <w:i/>
          <w:lang w:val="fr-CA"/>
        </w:rPr>
        <w:t>Criminal</w:t>
      </w:r>
      <w:proofErr w:type="spellEnd"/>
      <w:r w:rsidRPr="000C762E">
        <w:rPr>
          <w:i/>
          <w:lang w:val="fr-CA"/>
        </w:rPr>
        <w:t xml:space="preserve"> Code</w:t>
      </w:r>
      <w:r w:rsidRPr="000C762E">
        <w:rPr>
          <w:lang w:val="fr-CA"/>
        </w:rPr>
        <w:t>, R.S.C. 1985, c. C-46</w:t>
      </w:r>
      <w:r>
        <w:rPr>
          <w:lang w:val="fr-CA"/>
        </w:rPr>
        <w:t>, s.</w:t>
      </w:r>
      <w:r w:rsidRPr="000C762E">
        <w:rPr>
          <w:lang w:val="fr-CA"/>
        </w:rPr>
        <w:t xml:space="preserve"> 686(4</w:t>
      </w:r>
      <w:proofErr w:type="gramStart"/>
      <w:r w:rsidRPr="000C762E">
        <w:rPr>
          <w:lang w:val="fr-CA"/>
        </w:rPr>
        <w:t>)(</w:t>
      </w:r>
      <w:proofErr w:type="gramEnd"/>
      <w:r w:rsidRPr="000C762E">
        <w:rPr>
          <w:i/>
          <w:lang w:val="fr-CA"/>
        </w:rPr>
        <w:t>b</w:t>
      </w:r>
      <w:r w:rsidRPr="000C762E">
        <w:rPr>
          <w:lang w:val="fr-CA"/>
        </w:rPr>
        <w:t>)(ii)</w:t>
      </w:r>
      <w:r>
        <w:rPr>
          <w:lang w:val="fr-CA"/>
        </w:rPr>
        <w:t>.</w:t>
      </w:r>
    </w:p>
    <w:p w:rsidR="00A149DF" w:rsidRPr="00586C09" w:rsidRDefault="00A149DF" w:rsidP="000C762E">
      <w:pPr>
        <w:pStyle w:val="SCCNormalDoubleSpacing"/>
        <w:ind w:left="540" w:hanging="540"/>
        <w:rPr>
          <w:lang w:val="fr-CA"/>
        </w:rPr>
      </w:pPr>
    </w:p>
    <w:p w:rsidR="00656313" w:rsidRDefault="009B57B3" w:rsidP="00FC4EFB">
      <w:pPr>
        <w:pStyle w:val="SCCNormalDoubleSpacing"/>
      </w:pPr>
      <w:r w:rsidRPr="00586C09">
        <w:rPr>
          <w:lang w:val="fr-CA"/>
        </w:rPr>
        <w:tab/>
      </w:r>
      <w:r w:rsidRPr="001426A9">
        <w:t xml:space="preserve">APPEAL from a judgment of the </w:t>
      </w:r>
      <w:r w:rsidR="00F52DB6">
        <w:t xml:space="preserve">Ontario </w:t>
      </w:r>
      <w:r>
        <w:t>Court of Appeal</w:t>
      </w:r>
      <w:r w:rsidR="00F52DB6">
        <w:t xml:space="preserve"> (Doherty, Blair and Watt JJ.A.), </w:t>
      </w:r>
      <w:r w:rsidR="007444A1">
        <w:t xml:space="preserve">2010 ONCA 207, 260 O.A.C. 161, 258 C.C.C. (3d) 1, [2010] O.J. No. 1094 (QL), 2010 </w:t>
      </w:r>
      <w:proofErr w:type="spellStart"/>
      <w:r w:rsidR="007444A1">
        <w:t>CarswellOnt</w:t>
      </w:r>
      <w:proofErr w:type="spellEnd"/>
      <w:r w:rsidR="007444A1">
        <w:t xml:space="preserve"> 1544</w:t>
      </w:r>
      <w:r w:rsidR="00BE16D2">
        <w:t xml:space="preserve">, </w:t>
      </w:r>
      <w:r w:rsidR="002F0CCB">
        <w:t xml:space="preserve">setting aside </w:t>
      </w:r>
      <w:r w:rsidR="00A1267C">
        <w:t xml:space="preserve">the </w:t>
      </w:r>
      <w:proofErr w:type="spellStart"/>
      <w:r w:rsidR="008B0B24">
        <w:t>accused’s</w:t>
      </w:r>
      <w:proofErr w:type="spellEnd"/>
      <w:r w:rsidR="008B0B24">
        <w:t xml:space="preserve"> </w:t>
      </w:r>
      <w:r w:rsidR="002F0CCB">
        <w:t xml:space="preserve">acquittal </w:t>
      </w:r>
      <w:r w:rsidR="00B46DB2">
        <w:t>on charges of sexual assault</w:t>
      </w:r>
      <w:r w:rsidR="008B0B24">
        <w:t xml:space="preserve"> and entering a conviction</w:t>
      </w:r>
      <w:r w:rsidR="00CF30D1">
        <w:t xml:space="preserve"> </w:t>
      </w:r>
      <w:r w:rsidR="00BE16D2">
        <w:t>.</w:t>
      </w:r>
      <w:r w:rsidR="002F0CCB">
        <w:t xml:space="preserve">  Appeal dismissed.</w:t>
      </w:r>
    </w:p>
    <w:p w:rsidR="00656313" w:rsidRDefault="00656313" w:rsidP="00FC4EFB">
      <w:pPr>
        <w:pStyle w:val="SCCNormalDoubleSpacing"/>
      </w:pPr>
    </w:p>
    <w:p w:rsidR="00F075C6" w:rsidRDefault="00D21178">
      <w:pPr>
        <w:pStyle w:val="SCCNormalDoubleSpacing"/>
      </w:pPr>
      <w:r>
        <w:rPr>
          <w:rStyle w:val="SCCCounselNameChar"/>
        </w:rPr>
        <w:tab/>
        <w:t>Anil K. Kapoor</w:t>
      </w:r>
      <w:r>
        <w:rPr>
          <w:rStyle w:val="SCCCounselSeparatorChar"/>
        </w:rPr>
        <w:t xml:space="preserve"> and </w:t>
      </w:r>
      <w:r>
        <w:rPr>
          <w:rStyle w:val="SCCCounselNameChar"/>
        </w:rPr>
        <w:t>Senem Ozkin</w:t>
      </w:r>
      <w:r>
        <w:rPr>
          <w:rStyle w:val="SCCCounselPartyRoleChar"/>
        </w:rPr>
        <w:t>, for the appellant.</w:t>
      </w:r>
    </w:p>
    <w:p w:rsidR="00F075C6" w:rsidRDefault="00F075C6">
      <w:pPr>
        <w:pStyle w:val="SCCNormalDoubleSpacing"/>
      </w:pPr>
    </w:p>
    <w:p w:rsidR="00F075C6" w:rsidRDefault="00D21178">
      <w:pPr>
        <w:pStyle w:val="SCCNormalDoubleSpacing"/>
        <w:rPr>
          <w:rStyle w:val="SCCCounselPartyRoleChar"/>
        </w:rPr>
      </w:pPr>
      <w:r>
        <w:rPr>
          <w:rStyle w:val="SCCCounselNameChar"/>
        </w:rPr>
        <w:tab/>
      </w:r>
      <w:proofErr w:type="gramStart"/>
      <w:r>
        <w:rPr>
          <w:rStyle w:val="SCCCounselNameChar"/>
        </w:rPr>
        <w:t>Christine Tier</w:t>
      </w:r>
      <w:r>
        <w:rPr>
          <w:rStyle w:val="SCCCounselPartyRoleChar"/>
        </w:rPr>
        <w:t>, for the respondent.</w:t>
      </w:r>
      <w:proofErr w:type="gramEnd"/>
    </w:p>
    <w:p w:rsidR="007444A1" w:rsidRDefault="007444A1">
      <w:pPr>
        <w:pStyle w:val="SCCNormalDoubleSpacing"/>
      </w:pPr>
    </w:p>
    <w:p w:rsidR="005C572A" w:rsidRDefault="005C572A" w:rsidP="005C572A">
      <w:pPr>
        <w:pStyle w:val="SCCNormalDoubleSpacing"/>
      </w:pPr>
      <w:r>
        <w:tab/>
        <w:t>The judgment of the Court was delivered orally by</w:t>
      </w:r>
    </w:p>
    <w:p w:rsidR="005C572A" w:rsidRDefault="005C572A">
      <w:pPr>
        <w:pStyle w:val="SCCNormalDoubleSpacing"/>
      </w:pPr>
    </w:p>
    <w:p w:rsidR="005C572A" w:rsidRDefault="005C572A" w:rsidP="005C572A">
      <w:pPr>
        <w:pStyle w:val="ListParagraph"/>
        <w:numPr>
          <w:ilvl w:val="0"/>
          <w:numId w:val="6"/>
        </w:numPr>
        <w:tabs>
          <w:tab w:val="left" w:pos="1170"/>
        </w:tabs>
        <w:spacing w:after="480" w:line="480" w:lineRule="auto"/>
        <w:ind w:left="0" w:firstLine="0"/>
        <w:jc w:val="both"/>
      </w:pPr>
      <w:proofErr w:type="spellStart"/>
      <w:r w:rsidRPr="007F4232">
        <w:rPr>
          <w:smallCaps/>
        </w:rPr>
        <w:lastRenderedPageBreak/>
        <w:t>Binnie</w:t>
      </w:r>
      <w:proofErr w:type="spellEnd"/>
      <w:r w:rsidRPr="007F4232">
        <w:rPr>
          <w:smallCaps/>
        </w:rPr>
        <w:t xml:space="preserve"> J.</w:t>
      </w:r>
      <w:r w:rsidRPr="00334355">
        <w:t xml:space="preserve"> — </w:t>
      </w:r>
      <w:proofErr w:type="gramStart"/>
      <w:r w:rsidRPr="00334355">
        <w:t>The</w:t>
      </w:r>
      <w:proofErr w:type="gramEnd"/>
      <w:r w:rsidRPr="00334355">
        <w:t xml:space="preserve"> only issue on this appeal is whether the Court of Appeal for Ontario erred in substituting a conviction instead of ordering a new trial on three counts of sexual assault.  It was established in </w:t>
      </w:r>
      <w:r w:rsidRPr="002963E1">
        <w:rPr>
          <w:i/>
        </w:rPr>
        <w:t>R. v. Chase</w:t>
      </w:r>
      <w:r w:rsidRPr="00334355">
        <w:t>, [1987] 2 S.C.R. 293, that “[t]he test to be applied in determining whether the impugned conduct has the requisite sexual nature is an objective one: ‘Viewed in the light of all the circumstances, is the sexual or carnal context of the assault visible to a reasonable observer?’” (p. 302).  As found by the Court of Appeal, the trial judge misdirected himself on this question of law.  Sexual assault does not require proof of an improper or ulterior purpose.  The Crown at trial proved beyond a reasonable doubt that the touching of the complainants occurred in circumstances of a sexual nature such as to compromise the sexual integrity of the complainants.  Section 686(4)(</w:t>
      </w:r>
      <w:r w:rsidRPr="002963E1">
        <w:rPr>
          <w:i/>
        </w:rPr>
        <w:t>b</w:t>
      </w:r>
      <w:r w:rsidRPr="00334355">
        <w:t xml:space="preserve">)(ii) of the </w:t>
      </w:r>
      <w:r w:rsidRPr="002963E1">
        <w:rPr>
          <w:i/>
        </w:rPr>
        <w:t>Criminal Code</w:t>
      </w:r>
      <w:r w:rsidRPr="00334355">
        <w:t>, R.S.C. 1985, c. C-46</w:t>
      </w:r>
      <w:r w:rsidR="002F4949">
        <w:t>,</w:t>
      </w:r>
      <w:r w:rsidRPr="00334355">
        <w:t xml:space="preserve"> permits an appellate court on appeal from a judge alone to “enter a v</w:t>
      </w:r>
      <w:r w:rsidR="002F4949">
        <w:t>erdict of guilty</w:t>
      </w:r>
      <w:r w:rsidRPr="00334355">
        <w:t xml:space="preserve"> with respect to the offence of which, in its opinion, the accused should have been found guilty but for the error in law”.  Here the Crown established that an error of law was committed at trial, and that but for that error the appellant would necessarily have been convicted: </w:t>
      </w:r>
      <w:r w:rsidRPr="002963E1">
        <w:rPr>
          <w:i/>
        </w:rPr>
        <w:t>R. v. Cassidy</w:t>
      </w:r>
      <w:r w:rsidRPr="00334355">
        <w:t xml:space="preserve">, [1989] 2 S.C.R. 345.  Accordingly, despite the able submissions of Mr. </w:t>
      </w:r>
      <w:proofErr w:type="spellStart"/>
      <w:r w:rsidRPr="00334355">
        <w:t>Kapoor</w:t>
      </w:r>
      <w:proofErr w:type="spellEnd"/>
      <w:r w:rsidRPr="00334355">
        <w:t>, we are all of the view that the Court of Appeal reached the proper conclusion.  Accordingly, the appeal is dismissed</w:t>
      </w:r>
      <w:r>
        <w:t>.</w:t>
      </w:r>
    </w:p>
    <w:p w:rsidR="009B57B3" w:rsidRPr="009850DB" w:rsidRDefault="009B57B3" w:rsidP="00B700E9">
      <w:pPr>
        <w:pStyle w:val="SCCNormalDoubleSpacing"/>
        <w:rPr>
          <w:i/>
        </w:rPr>
      </w:pPr>
      <w:r w:rsidRPr="001426A9">
        <w:tab/>
      </w:r>
      <w:proofErr w:type="gramStart"/>
      <w:r w:rsidR="009850DB" w:rsidRPr="009850DB">
        <w:rPr>
          <w:i/>
        </w:rPr>
        <w:t>Judgment accordingly.</w:t>
      </w:r>
      <w:proofErr w:type="gramEnd"/>
    </w:p>
    <w:p w:rsidR="00A149DF" w:rsidRPr="001426A9" w:rsidRDefault="00A149DF" w:rsidP="00FC4EFB">
      <w:pPr>
        <w:pStyle w:val="SCCNormalDoubleSpacing"/>
      </w:pPr>
    </w:p>
    <w:p w:rsidR="00F075C6" w:rsidRDefault="00D21178">
      <w:pPr>
        <w:pStyle w:val="SCCLawFirm"/>
      </w:pPr>
      <w:r>
        <w:tab/>
        <w:t>Solicitors for the appellant:  Kapoor Barristers, Toronto.</w:t>
      </w:r>
    </w:p>
    <w:p w:rsidR="00F075C6" w:rsidRDefault="00F075C6">
      <w:pPr>
        <w:pStyle w:val="SCCLawFirm"/>
      </w:pPr>
    </w:p>
    <w:p w:rsidR="009B57B3" w:rsidRPr="00394980" w:rsidRDefault="00D21178" w:rsidP="002963E1">
      <w:pPr>
        <w:pStyle w:val="SCCLawFirm"/>
        <w:rPr>
          <w:lang w:val="en-US"/>
        </w:rPr>
      </w:pPr>
      <w:r>
        <w:tab/>
        <w:t>Solicitor</w:t>
      </w:r>
      <w:r w:rsidR="009850DB">
        <w:t xml:space="preserve"> </w:t>
      </w:r>
      <w:r>
        <w:t>for the respondent:  Attorney General of Ontario, Toronto.</w:t>
      </w:r>
    </w:p>
    <w:sectPr w:rsidR="009B57B3" w:rsidRPr="00394980" w:rsidSect="00527476">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ED0" w:rsidRDefault="00C24ED0">
      <w:r>
        <w:separator/>
      </w:r>
    </w:p>
  </w:endnote>
  <w:endnote w:type="continuationSeparator" w:id="0">
    <w:p w:rsidR="00C24ED0" w:rsidRDefault="00C24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ED0" w:rsidRDefault="00C24ED0">
      <w:r>
        <w:separator/>
      </w:r>
    </w:p>
  </w:footnote>
  <w:footnote w:type="continuationSeparator" w:id="0">
    <w:p w:rsidR="00C24ED0" w:rsidRDefault="00C24E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ED0" w:rsidRDefault="00C24ED0" w:rsidP="0076352A">
    <w:pPr>
      <w:pStyle w:val="Header"/>
      <w:jc w:val="center"/>
    </w:pPr>
    <w:r>
      <w:t xml:space="preserve">- </w:t>
    </w:r>
    <w:sdt>
      <w:sdtPr>
        <w:id w:val="2768457"/>
        <w:docPartObj>
          <w:docPartGallery w:val="Page Numbers (Top of Page)"/>
          <w:docPartUnique/>
        </w:docPartObj>
      </w:sdtPr>
      <w:sdtContent>
        <w:fldSimple w:instr=" PAGE   \* MERGEFORMAT ">
          <w:r w:rsidR="00975D93">
            <w:rPr>
              <w:noProof/>
            </w:rPr>
            <w:t>2</w:t>
          </w:r>
        </w:fldSimple>
        <w:r>
          <w:t xml:space="preserve"> -</w:t>
        </w:r>
      </w:sdtContent>
    </w:sdt>
  </w:p>
  <w:p w:rsidR="00C24ED0" w:rsidRPr="00450352" w:rsidRDefault="00C24ED0"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E388E"/>
    <w:multiLevelType w:val="hybridMultilevel"/>
    <w:tmpl w:val="AFBAF640"/>
    <w:lvl w:ilvl="0" w:tplc="F9667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173E02"/>
    <w:multiLevelType w:val="hybridMultilevel"/>
    <w:tmpl w:val="BF70A388"/>
    <w:lvl w:ilvl="0" w:tplc="C08405A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3B240C"/>
    <w:multiLevelType w:val="hybridMultilevel"/>
    <w:tmpl w:val="E8A811EA"/>
    <w:lvl w:ilvl="0" w:tplc="F966779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3D9C4E01"/>
    <w:multiLevelType w:val="hybridMultilevel"/>
    <w:tmpl w:val="E0800D88"/>
    <w:lvl w:ilvl="0" w:tplc="38706B3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06569E1"/>
    <w:multiLevelType w:val="hybridMultilevel"/>
    <w:tmpl w:val="55FC117E"/>
    <w:lvl w:ilvl="0" w:tplc="F966779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rsids>
    <w:rsidRoot w:val="0031414C"/>
    <w:rsid w:val="00000ED4"/>
    <w:rsid w:val="00025198"/>
    <w:rsid w:val="0002795B"/>
    <w:rsid w:val="000578A3"/>
    <w:rsid w:val="000648CC"/>
    <w:rsid w:val="000C59B8"/>
    <w:rsid w:val="000C762E"/>
    <w:rsid w:val="001024D0"/>
    <w:rsid w:val="00111DE2"/>
    <w:rsid w:val="00116B38"/>
    <w:rsid w:val="00135406"/>
    <w:rsid w:val="00135972"/>
    <w:rsid w:val="001426A9"/>
    <w:rsid w:val="00154D7C"/>
    <w:rsid w:val="001570B0"/>
    <w:rsid w:val="0015752C"/>
    <w:rsid w:val="00157737"/>
    <w:rsid w:val="00165277"/>
    <w:rsid w:val="00170592"/>
    <w:rsid w:val="00196043"/>
    <w:rsid w:val="001B1C79"/>
    <w:rsid w:val="001B33E0"/>
    <w:rsid w:val="001B4573"/>
    <w:rsid w:val="001C779F"/>
    <w:rsid w:val="001D2AC1"/>
    <w:rsid w:val="001D4E88"/>
    <w:rsid w:val="00220FC2"/>
    <w:rsid w:val="00224FC0"/>
    <w:rsid w:val="00225EA4"/>
    <w:rsid w:val="00226EAF"/>
    <w:rsid w:val="00231F3A"/>
    <w:rsid w:val="002406EE"/>
    <w:rsid w:val="00241806"/>
    <w:rsid w:val="00243EC8"/>
    <w:rsid w:val="002652AA"/>
    <w:rsid w:val="002745CC"/>
    <w:rsid w:val="002963E1"/>
    <w:rsid w:val="002B7924"/>
    <w:rsid w:val="002D39A4"/>
    <w:rsid w:val="002E6705"/>
    <w:rsid w:val="002F0CCB"/>
    <w:rsid w:val="002F4949"/>
    <w:rsid w:val="0030329A"/>
    <w:rsid w:val="0031086F"/>
    <w:rsid w:val="0031414C"/>
    <w:rsid w:val="00314E01"/>
    <w:rsid w:val="0032089D"/>
    <w:rsid w:val="0032618A"/>
    <w:rsid w:val="003310DE"/>
    <w:rsid w:val="00334355"/>
    <w:rsid w:val="0035169A"/>
    <w:rsid w:val="0035259D"/>
    <w:rsid w:val="00353287"/>
    <w:rsid w:val="00364B18"/>
    <w:rsid w:val="00385A97"/>
    <w:rsid w:val="00394980"/>
    <w:rsid w:val="003A4C70"/>
    <w:rsid w:val="003B215F"/>
    <w:rsid w:val="003C799C"/>
    <w:rsid w:val="003D0399"/>
    <w:rsid w:val="003E1C71"/>
    <w:rsid w:val="003F327B"/>
    <w:rsid w:val="00403DDF"/>
    <w:rsid w:val="00406166"/>
    <w:rsid w:val="0040704B"/>
    <w:rsid w:val="00410A55"/>
    <w:rsid w:val="00411300"/>
    <w:rsid w:val="00415417"/>
    <w:rsid w:val="00426659"/>
    <w:rsid w:val="00450352"/>
    <w:rsid w:val="00454BDB"/>
    <w:rsid w:val="00465132"/>
    <w:rsid w:val="00480C90"/>
    <w:rsid w:val="0048396F"/>
    <w:rsid w:val="00493C18"/>
    <w:rsid w:val="004A600C"/>
    <w:rsid w:val="004A6118"/>
    <w:rsid w:val="004C478D"/>
    <w:rsid w:val="004E2C26"/>
    <w:rsid w:val="005125A8"/>
    <w:rsid w:val="00521AE8"/>
    <w:rsid w:val="00527180"/>
    <w:rsid w:val="00527476"/>
    <w:rsid w:val="0055254D"/>
    <w:rsid w:val="00555291"/>
    <w:rsid w:val="00565490"/>
    <w:rsid w:val="00583EDE"/>
    <w:rsid w:val="00586C09"/>
    <w:rsid w:val="005C572A"/>
    <w:rsid w:val="005E4698"/>
    <w:rsid w:val="00610539"/>
    <w:rsid w:val="00613969"/>
    <w:rsid w:val="00625C35"/>
    <w:rsid w:val="00656313"/>
    <w:rsid w:val="006565F4"/>
    <w:rsid w:val="00684EEA"/>
    <w:rsid w:val="006B0E03"/>
    <w:rsid w:val="006B5FF5"/>
    <w:rsid w:val="00701759"/>
    <w:rsid w:val="007444A1"/>
    <w:rsid w:val="00747288"/>
    <w:rsid w:val="00747DD3"/>
    <w:rsid w:val="007549C8"/>
    <w:rsid w:val="0076352A"/>
    <w:rsid w:val="00766D14"/>
    <w:rsid w:val="00767A0F"/>
    <w:rsid w:val="0078563E"/>
    <w:rsid w:val="007A05F6"/>
    <w:rsid w:val="007B6F4A"/>
    <w:rsid w:val="007E1C47"/>
    <w:rsid w:val="007E337A"/>
    <w:rsid w:val="007E5C70"/>
    <w:rsid w:val="007F2FF5"/>
    <w:rsid w:val="007F3F08"/>
    <w:rsid w:val="007F4232"/>
    <w:rsid w:val="00804CC6"/>
    <w:rsid w:val="00817190"/>
    <w:rsid w:val="008260E2"/>
    <w:rsid w:val="008322BD"/>
    <w:rsid w:val="00834F73"/>
    <w:rsid w:val="00834FE0"/>
    <w:rsid w:val="00864CF8"/>
    <w:rsid w:val="00874914"/>
    <w:rsid w:val="00891422"/>
    <w:rsid w:val="00892E1A"/>
    <w:rsid w:val="008B0B24"/>
    <w:rsid w:val="008C01DA"/>
    <w:rsid w:val="008F78E9"/>
    <w:rsid w:val="009179F9"/>
    <w:rsid w:val="00933E5E"/>
    <w:rsid w:val="00935218"/>
    <w:rsid w:val="009403F3"/>
    <w:rsid w:val="009555B7"/>
    <w:rsid w:val="009567AA"/>
    <w:rsid w:val="00967374"/>
    <w:rsid w:val="00975D93"/>
    <w:rsid w:val="009850DB"/>
    <w:rsid w:val="009B2F23"/>
    <w:rsid w:val="009B57B3"/>
    <w:rsid w:val="009D2920"/>
    <w:rsid w:val="009D5AEB"/>
    <w:rsid w:val="009F0E33"/>
    <w:rsid w:val="00A1267C"/>
    <w:rsid w:val="00A149DF"/>
    <w:rsid w:val="00A21B90"/>
    <w:rsid w:val="00A41805"/>
    <w:rsid w:val="00A548CB"/>
    <w:rsid w:val="00A5521C"/>
    <w:rsid w:val="00A643E7"/>
    <w:rsid w:val="00A73C38"/>
    <w:rsid w:val="00AF03C5"/>
    <w:rsid w:val="00B000D8"/>
    <w:rsid w:val="00B00F75"/>
    <w:rsid w:val="00B145B6"/>
    <w:rsid w:val="00B16A0C"/>
    <w:rsid w:val="00B23CDC"/>
    <w:rsid w:val="00B46DB2"/>
    <w:rsid w:val="00B50C81"/>
    <w:rsid w:val="00B513D7"/>
    <w:rsid w:val="00B557F8"/>
    <w:rsid w:val="00B700E9"/>
    <w:rsid w:val="00B815FC"/>
    <w:rsid w:val="00B93FBC"/>
    <w:rsid w:val="00B95D4E"/>
    <w:rsid w:val="00BB2EE4"/>
    <w:rsid w:val="00BC2108"/>
    <w:rsid w:val="00BD0E9E"/>
    <w:rsid w:val="00BD1BEC"/>
    <w:rsid w:val="00BD32FF"/>
    <w:rsid w:val="00BE16D2"/>
    <w:rsid w:val="00BE7C27"/>
    <w:rsid w:val="00C02092"/>
    <w:rsid w:val="00C24D91"/>
    <w:rsid w:val="00C24ED0"/>
    <w:rsid w:val="00C53F14"/>
    <w:rsid w:val="00C600CF"/>
    <w:rsid w:val="00C6084F"/>
    <w:rsid w:val="00C62A66"/>
    <w:rsid w:val="00C71458"/>
    <w:rsid w:val="00C77613"/>
    <w:rsid w:val="00C828E7"/>
    <w:rsid w:val="00C86719"/>
    <w:rsid w:val="00C921DD"/>
    <w:rsid w:val="00CA6391"/>
    <w:rsid w:val="00CE3171"/>
    <w:rsid w:val="00CF1601"/>
    <w:rsid w:val="00CF30D1"/>
    <w:rsid w:val="00D0172F"/>
    <w:rsid w:val="00D04AC3"/>
    <w:rsid w:val="00D068A7"/>
    <w:rsid w:val="00D21178"/>
    <w:rsid w:val="00D32086"/>
    <w:rsid w:val="00D37A3F"/>
    <w:rsid w:val="00D4431D"/>
    <w:rsid w:val="00D4667A"/>
    <w:rsid w:val="00D7516F"/>
    <w:rsid w:val="00D95F8E"/>
    <w:rsid w:val="00DA0590"/>
    <w:rsid w:val="00DC1788"/>
    <w:rsid w:val="00DE319C"/>
    <w:rsid w:val="00DF0CA8"/>
    <w:rsid w:val="00DF2B48"/>
    <w:rsid w:val="00DF49A7"/>
    <w:rsid w:val="00E07EE2"/>
    <w:rsid w:val="00E07FD1"/>
    <w:rsid w:val="00E24573"/>
    <w:rsid w:val="00E25E1E"/>
    <w:rsid w:val="00E27EE7"/>
    <w:rsid w:val="00E35404"/>
    <w:rsid w:val="00E45109"/>
    <w:rsid w:val="00E47B7A"/>
    <w:rsid w:val="00E86C13"/>
    <w:rsid w:val="00E97830"/>
    <w:rsid w:val="00EF0683"/>
    <w:rsid w:val="00F0070C"/>
    <w:rsid w:val="00F00EB7"/>
    <w:rsid w:val="00F075C6"/>
    <w:rsid w:val="00F35C4D"/>
    <w:rsid w:val="00F36AB6"/>
    <w:rsid w:val="00F37A09"/>
    <w:rsid w:val="00F409CE"/>
    <w:rsid w:val="00F4379D"/>
    <w:rsid w:val="00F52DB6"/>
    <w:rsid w:val="00F84DF4"/>
    <w:rsid w:val="00F85C97"/>
    <w:rsid w:val="00FB1E9C"/>
    <w:rsid w:val="00FB37D2"/>
    <w:rsid w:val="00FC4EFB"/>
    <w:rsid w:val="00FD068D"/>
    <w:rsid w:val="00FD4F28"/>
    <w:rsid w:val="00FE523F"/>
    <w:rsid w:val="00FE67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D95F8E"/>
    <w:pPr>
      <w:spacing w:line="480" w:lineRule="auto"/>
      <w:jc w:val="both"/>
    </w:pPr>
  </w:style>
  <w:style w:type="character" w:customStyle="1" w:styleId="SCCNormalDoubleSpacingChar">
    <w:name w:val="SCC.Normal.DoubleSpacing Char"/>
    <w:basedOn w:val="DefaultParagraphFont"/>
    <w:link w:val="SCCNormalDoubleSpacing"/>
    <w:rsid w:val="00D95F8E"/>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styleId="ListParagraph">
    <w:name w:val="List Paragraph"/>
    <w:basedOn w:val="Normal"/>
    <w:uiPriority w:val="34"/>
    <w:qFormat/>
    <w:rsid w:val="005C572A"/>
    <w:pPr>
      <w:ind w:left="720"/>
    </w:pPr>
  </w:style>
  <w:style w:type="table" w:styleId="TableGrid">
    <w:name w:val="Table Grid"/>
    <w:basedOn w:val="TableNormal"/>
    <w:uiPriority w:val="59"/>
    <w:rsid w:val="00BE7C27"/>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LsocPrefix">
    <w:name w:val="SCC.Lsoc.Prefix"/>
    <w:basedOn w:val="Normal"/>
    <w:next w:val="Normal"/>
    <w:link w:val="SCCLsocPrefixChar"/>
    <w:rsid w:val="00BE7C27"/>
    <w:rPr>
      <w:rFonts w:eastAsiaTheme="minorHAnsi" w:cstheme="minorBidi"/>
      <w:b/>
      <w:smallCaps/>
      <w:szCs w:val="24"/>
      <w:lang w:eastAsia="en-US"/>
    </w:rPr>
  </w:style>
  <w:style w:type="character" w:customStyle="1" w:styleId="SCCLsocPrefixChar">
    <w:name w:val="SCC.Lsoc.Prefix Char"/>
    <w:basedOn w:val="DefaultParagraphFont"/>
    <w:link w:val="SCCLsocPrefix"/>
    <w:rsid w:val="00BE7C27"/>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97A77-8C61-465A-ACD9-D64D04463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532</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2011-03-25T18:59:00Z</dcterms:created>
  <dcterms:modified xsi:type="dcterms:W3CDTF">2011-03-25T18:59:00Z</dcterms:modified>
</cp:coreProperties>
</file>